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1681" w14:textId="5A4C2462" w:rsidR="00177B08" w:rsidRDefault="00177B08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0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  <w:bookmarkStart w:id="0" w:name="_GoBack"/>
      <w:bookmarkEnd w:id="0"/>
      <w:r w:rsidRPr="00177B08">
        <w:rPr>
          <w:rFonts w:ascii="Times New Roman" w:hAnsi="Times New Roman" w:cs="Times New Roman"/>
          <w:b/>
          <w:sz w:val="28"/>
          <w:szCs w:val="28"/>
        </w:rPr>
        <w:t xml:space="preserve"> стаей и докладов</w:t>
      </w:r>
    </w:p>
    <w:p w14:paraId="157F1CAB" w14:textId="0E1DEED5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Объем статьи – от 10 до 20 тысяч печатных знаков с пробелами (0,25–0,5 а. л.).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7442D3">
        <w:rPr>
          <w:rFonts w:ascii="Times New Roman" w:hAnsi="Times New Roman" w:cs="Times New Roman"/>
          <w:sz w:val="28"/>
          <w:szCs w:val="28"/>
        </w:rPr>
        <w:t xml:space="preserve"> оставляет за собой право предварительного отбора поступивших материалов с оперативным извещением авторов о своём решении.</w:t>
      </w:r>
    </w:p>
    <w:p w14:paraId="4BA984FD" w14:textId="3A634635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Формат текста статей (докладов):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, поля – 2,5 см со всех сторон. Шрифт: кегль – 14; тип –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>одинарный</w:t>
      </w:r>
      <w:r w:rsidRPr="007442D3">
        <w:rPr>
          <w:rFonts w:ascii="Times New Roman" w:hAnsi="Times New Roman" w:cs="Times New Roman"/>
          <w:sz w:val="28"/>
          <w:szCs w:val="28"/>
        </w:rPr>
        <w:t>. Название печатается прописными буквами, шрифт – полужирный, выравнивание по центру (на русском и английском языках). Ниже через одну строку строчными буквами – инициалы и фамилия автора(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>) (на русском и английском языках). На следующей строке – полное название организации, её адрес (на русском и английском языках). Далее через одну строку следует аннотация (100–150 слов), ключевые слова (до 8 слов) на русском и английском языках, за которыми через одну строку – основной текст: без переносов, абзацный отступ – 1,25 см, выравнивание по ширине. Страницы не нумеруются. Сноски на литературу в квадратных скобках, нумерация в порядке упоминания в тексте статьи. Наличие списка источников обязательно (ГОСТ Р 0.7.5–2008 «Библиографическая ссылка»). Зарубежные источники указываются после перечня работ на русском языке. Автоматическая нумерация списка не допускается. Пример оформления текста статьи приводится ниже. </w:t>
      </w:r>
    </w:p>
    <w:p w14:paraId="63EA9D54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B6AE2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9F4EB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7E698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889F3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DDDFF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1BFCD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590B4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AD300" w14:textId="77777777" w:rsid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FAA30" w14:textId="5BBCF333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3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текста статьи</w:t>
      </w:r>
    </w:p>
    <w:p w14:paraId="0E10C9D5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BB46A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3">
        <w:rPr>
          <w:rFonts w:ascii="Times New Roman" w:hAnsi="Times New Roman" w:cs="Times New Roman"/>
          <w:b/>
          <w:sz w:val="28"/>
          <w:szCs w:val="28"/>
        </w:rPr>
        <w:t>ЯЗЫКОВЫЕ ПРАКТИКИ КАК ОТОБРАЖЕНИЕ</w:t>
      </w:r>
    </w:p>
    <w:p w14:paraId="02E51DA7" w14:textId="13BB662E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3">
        <w:rPr>
          <w:rFonts w:ascii="Times New Roman" w:hAnsi="Times New Roman" w:cs="Times New Roman"/>
          <w:b/>
          <w:sz w:val="28"/>
          <w:szCs w:val="28"/>
        </w:rPr>
        <w:t>ЭТНИЧЕСКОЙ ОБЩНОСТИ РУССКИХ СЛАВЯН</w:t>
      </w:r>
    </w:p>
    <w:p w14:paraId="2AAF4CA9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3">
        <w:rPr>
          <w:rFonts w:ascii="Times New Roman" w:hAnsi="Times New Roman" w:cs="Times New Roman"/>
          <w:b/>
          <w:sz w:val="28"/>
          <w:szCs w:val="28"/>
        </w:rPr>
        <w:t>ВО ВТОРОЙ ПОЛОВИНЕ XIX – НАЧАЛЕ XX в.</w:t>
      </w:r>
    </w:p>
    <w:p w14:paraId="448C350B" w14:textId="520DA148" w:rsid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2D3">
        <w:rPr>
          <w:rFonts w:ascii="Times New Roman" w:hAnsi="Times New Roman" w:cs="Times New Roman"/>
          <w:b/>
          <w:i/>
          <w:sz w:val="28"/>
          <w:szCs w:val="28"/>
        </w:rPr>
        <w:t>В.А. Матвеев</w:t>
      </w:r>
    </w:p>
    <w:p w14:paraId="6FF131C7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C9D733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42D3">
        <w:rPr>
          <w:rFonts w:ascii="Times New Roman" w:hAnsi="Times New Roman" w:cs="Times New Roman"/>
          <w:sz w:val="20"/>
          <w:szCs w:val="20"/>
        </w:rPr>
        <w:t>Южный федеральный университет</w:t>
      </w:r>
    </w:p>
    <w:p w14:paraId="7E51A99F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42D3">
        <w:rPr>
          <w:rFonts w:ascii="Times New Roman" w:hAnsi="Times New Roman" w:cs="Times New Roman"/>
          <w:sz w:val="20"/>
          <w:szCs w:val="20"/>
        </w:rPr>
        <w:t>344006, Ростов-на-Дону, ул. Б. Садовая, 33</w:t>
      </w:r>
    </w:p>
    <w:p w14:paraId="1DE540C2" w14:textId="68A5EBE1" w:rsidR="007442D3" w:rsidRPr="007442D3" w:rsidRDefault="0048471C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7442D3" w:rsidRPr="007442D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vamatveev2009@sfedu.ru</w:t>
        </w:r>
      </w:hyperlink>
    </w:p>
    <w:p w14:paraId="4C5E89F6" w14:textId="77777777" w:rsidR="007442D3" w:rsidRPr="007442D3" w:rsidRDefault="007442D3" w:rsidP="00744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EF22006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В статье представлен фрагмент исследования кодифицирующих отображений этнической общности русских славян, проявлявшихся накануне и в период революционного излома 1917 г. Состояние интегрированности прослеживается по существовавшим языковым практикам. Автором обосновывается по ходу изложения необходимость соотнесения связанных с ними показателей с самосознанием, которое тем не менее под воздействием искаженных исторических версий подвержено, как показывает в том числе опыт зарубежных стран, разрушению. Согласно отображенной концептуальной версии национальная сегментация существовавшей когда-то общности русских славян была произведена с использованием ретроспективных подлогов М.С. Грушевского по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субэтническим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признакам в советскую и постсоветскую эпохи. Критерию же исторической справедливости она не соответствовала.</w:t>
      </w:r>
    </w:p>
    <w:p w14:paraId="29C3864F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44F8D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442D3">
        <w:rPr>
          <w:rFonts w:ascii="Times New Roman" w:hAnsi="Times New Roman" w:cs="Times New Roman"/>
          <w:sz w:val="28"/>
          <w:szCs w:val="28"/>
        </w:rPr>
        <w:t xml:space="preserve"> кодифицирующие отображения, местные говоры, национальная сегментация, различие диалектов, русские славяне, сродные наречия, этническая общность, языковое сходство.</w:t>
      </w:r>
    </w:p>
    <w:p w14:paraId="396CBFAC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EF18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и т. д. [1].</w:t>
      </w:r>
    </w:p>
    <w:p w14:paraId="113E3BBF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[2] и т. д.</w:t>
      </w:r>
    </w:p>
    <w:p w14:paraId="1B86C191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C8D7A" w14:textId="77777777" w:rsidR="007442D3" w:rsidRPr="00177B08" w:rsidRDefault="007442D3" w:rsidP="00177B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08">
        <w:rPr>
          <w:rFonts w:ascii="Times New Roman" w:hAnsi="Times New Roman" w:cs="Times New Roman"/>
          <w:b/>
          <w:sz w:val="28"/>
          <w:szCs w:val="28"/>
        </w:rPr>
        <w:t>Библиографические ссылки</w:t>
      </w:r>
    </w:p>
    <w:p w14:paraId="2B8C44D5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96C1B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1.</w:t>
      </w:r>
      <w:r w:rsidRPr="007442D3">
        <w:rPr>
          <w:rFonts w:ascii="Times New Roman" w:hAnsi="Times New Roman" w:cs="Times New Roman"/>
          <w:sz w:val="28"/>
          <w:szCs w:val="28"/>
        </w:rPr>
        <w:tab/>
        <w:t xml:space="preserve">Кондрашов Н.А. Славянские языки. М., 1956. С. 13. </w:t>
      </w:r>
    </w:p>
    <w:p w14:paraId="18F521A6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2.</w:t>
      </w:r>
      <w:r w:rsidRPr="007442D3">
        <w:rPr>
          <w:rFonts w:ascii="Times New Roman" w:hAnsi="Times New Roman" w:cs="Times New Roman"/>
          <w:sz w:val="28"/>
          <w:szCs w:val="28"/>
        </w:rPr>
        <w:tab/>
        <w:t xml:space="preserve">Калашников М.,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Бунтовский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С. Независимая Украина. Крах проекта. М., 2009. С. 21. </w:t>
      </w:r>
    </w:p>
    <w:p w14:paraId="0F18AEFB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3.</w:t>
      </w:r>
      <w:r w:rsidRPr="007442D3">
        <w:rPr>
          <w:rFonts w:ascii="Times New Roman" w:hAnsi="Times New Roman" w:cs="Times New Roman"/>
          <w:sz w:val="28"/>
          <w:szCs w:val="28"/>
        </w:rPr>
        <w:tab/>
        <w:t xml:space="preserve">Волконский А.М. Историческая правда и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украинофильская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пропаганда // Украинский сепаратизм в России. Идеология национального раскола. Сборник / вступ. ст. и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. М.Б. Смолина. М., 1998. С. 75. </w:t>
      </w:r>
    </w:p>
    <w:p w14:paraId="40FD8636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4.</w:t>
      </w:r>
      <w:r w:rsidRPr="007442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А. Как и Бог наш – триедин русский народ! // Славянская нива. 2003. № 1–2. С. 44. </w:t>
      </w:r>
    </w:p>
    <w:p w14:paraId="591293D7" w14:textId="77777777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5.</w:t>
      </w:r>
      <w:r w:rsidRPr="007442D3">
        <w:rPr>
          <w:rFonts w:ascii="Times New Roman" w:hAnsi="Times New Roman" w:cs="Times New Roman"/>
          <w:sz w:val="28"/>
          <w:szCs w:val="28"/>
        </w:rPr>
        <w:tab/>
        <w:t xml:space="preserve">Воспоминания о Бакунине Адольфа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Рейхеля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// Приложение в кн.: Михаил Александрович Бакунин. Критико-биографический очерк М.П.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>. Дозволено цензурою. Г. Казань,18 ноября 1905 года. Казань, 1906. С. 89.</w:t>
      </w:r>
    </w:p>
    <w:p w14:paraId="51BF81A7" w14:textId="38BE9139" w:rsidR="007442D3" w:rsidRPr="007442D3" w:rsidRDefault="007442D3" w:rsidP="0074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6.</w:t>
      </w:r>
      <w:r w:rsidRPr="007442D3">
        <w:rPr>
          <w:rFonts w:ascii="Times New Roman" w:hAnsi="Times New Roman" w:cs="Times New Roman"/>
          <w:sz w:val="28"/>
          <w:szCs w:val="28"/>
        </w:rPr>
        <w:tab/>
        <w:t xml:space="preserve">Россия. Энциклопедический словарь (Б/ и.: Брокгауз Ф.А. и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 И.А. СПб., 1898). Л., 1991. С. 565.</w:t>
      </w:r>
    </w:p>
    <w:sectPr w:rsidR="007442D3" w:rsidRPr="007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F6"/>
    <w:rsid w:val="000A78F6"/>
    <w:rsid w:val="00177B08"/>
    <w:rsid w:val="0048471C"/>
    <w:rsid w:val="007442D3"/>
    <w:rsid w:val="00E120F6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AC0B"/>
  <w15:chartTrackingRefBased/>
  <w15:docId w15:val="{4492D360-F1CE-42E7-A4DD-331D76D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matveev2009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Игнатенко</cp:lastModifiedBy>
  <cp:revision>2</cp:revision>
  <dcterms:created xsi:type="dcterms:W3CDTF">2022-08-02T11:53:00Z</dcterms:created>
  <dcterms:modified xsi:type="dcterms:W3CDTF">2022-08-02T11:53:00Z</dcterms:modified>
</cp:coreProperties>
</file>