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03462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 НАУКИ РОССИЙСКОЙ ФЕДЕРАЦИИ</w:t>
      </w:r>
    </w:p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03462">
        <w:rPr>
          <w:rFonts w:ascii="Times New Roman" w:eastAsia="Times New Roman" w:hAnsi="Times New Roman" w:cs="Times New Roman"/>
          <w:color w:val="000000"/>
          <w:sz w:val="24"/>
        </w:rPr>
        <w:t>Федеральное государственное бюджетное образовательное учреждение</w:t>
      </w:r>
    </w:p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03462">
        <w:rPr>
          <w:rFonts w:ascii="Times New Roman" w:eastAsia="Times New Roman" w:hAnsi="Times New Roman" w:cs="Times New Roman"/>
          <w:color w:val="000000"/>
          <w:sz w:val="24"/>
        </w:rPr>
        <w:t>высшего образования</w:t>
      </w:r>
    </w:p>
    <w:p w:rsidR="00203462" w:rsidRPr="007E7AFC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203462" w:rsidRPr="007E7AFC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</w:p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Экономический факультет</w:t>
      </w:r>
    </w:p>
    <w:p w:rsidR="00203462" w:rsidRPr="00203462" w:rsidRDefault="00203462" w:rsidP="0020346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мировой экономики и менеджмента</w:t>
      </w:r>
    </w:p>
    <w:p w:rsidR="00203462" w:rsidRPr="00203462" w:rsidRDefault="00203462" w:rsidP="00203462">
      <w:pPr>
        <w:overflowPunct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03462" w:rsidRPr="00203462" w:rsidRDefault="00203462" w:rsidP="00203462">
      <w:pPr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3462" w:rsidRPr="00203462" w:rsidRDefault="00203462" w:rsidP="00203462">
      <w:pPr>
        <w:overflowPunct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203462" w:rsidRPr="00203462" w:rsidRDefault="00203462" w:rsidP="00203462">
      <w:pPr>
        <w:overflowPunct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3462" w:rsidRPr="00203462" w:rsidRDefault="00203462" w:rsidP="00203462">
      <w:pPr>
        <w:jc w:val="center"/>
        <w:rPr>
          <w:rFonts w:ascii="Times New Roman" w:hAnsi="Times New Roman" w:cs="Times New Roman"/>
          <w:sz w:val="28"/>
        </w:rPr>
      </w:pPr>
      <w:r w:rsidRPr="00203462">
        <w:rPr>
          <w:rFonts w:ascii="Times New Roman" w:hAnsi="Times New Roman" w:cs="Times New Roman"/>
          <w:sz w:val="28"/>
        </w:rPr>
        <w:t>ИНВЕСТИЦИОННАЯ БЕЗОПАСНОСТЬ ГОСУДАРСТВА: СОВРЕМЕННОЕ СОСТОЯНИЕ И ПЕРСПЕКТИВЫ УКРЕПЛЕНИЯ</w:t>
      </w:r>
    </w:p>
    <w:p w:rsidR="00203462" w:rsidRPr="00203462" w:rsidRDefault="00203462" w:rsidP="00203462">
      <w:pPr>
        <w:overflowPunct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462" w:rsidRPr="00203462" w:rsidRDefault="00203462" w:rsidP="002034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462" w:rsidRPr="00203462" w:rsidRDefault="00203462" w:rsidP="002034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выполнил(а)_________________________</w:t>
      </w:r>
      <w:r w:rsidRPr="00203462">
        <w:rPr>
          <w:rFonts w:ascii="Times New Roman" w:eastAsia="Times New Roman" w:hAnsi="Times New Roman" w:cs="Times New Roman"/>
          <w:snapToGrid w:val="0"/>
          <w:sz w:val="28"/>
          <w:szCs w:val="28"/>
        </w:rPr>
        <w:t>Хвостова Алина Евгеньевна</w:t>
      </w:r>
    </w:p>
    <w:tbl>
      <w:tblPr>
        <w:tblStyle w:val="a8"/>
        <w:tblW w:w="0" w:type="auto"/>
        <w:tblInd w:w="-147" w:type="dxa"/>
        <w:tblLook w:val="04A0"/>
      </w:tblPr>
      <w:tblGrid>
        <w:gridCol w:w="1919"/>
        <w:gridCol w:w="7507"/>
      </w:tblGrid>
      <w:tr w:rsidR="00203462" w:rsidRPr="00203462" w:rsidTr="003219F6"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03462" w:rsidRPr="00203462" w:rsidRDefault="00203462" w:rsidP="003219F6">
            <w:pPr>
              <w:tabs>
                <w:tab w:val="left" w:pos="17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Факультет</w:t>
            </w:r>
          </w:p>
        </w:tc>
        <w:tc>
          <w:tcPr>
            <w:tcW w:w="7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03462" w:rsidRPr="00203462" w:rsidRDefault="00203462" w:rsidP="003219F6">
            <w:pPr>
              <w:tabs>
                <w:tab w:val="left" w:pos="17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                                                 курс      3</w:t>
            </w:r>
          </w:p>
        </w:tc>
      </w:tr>
      <w:tr w:rsidR="00203462" w:rsidRPr="00203462" w:rsidTr="003219F6"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03462" w:rsidRPr="00203462" w:rsidRDefault="00203462" w:rsidP="003219F6">
            <w:pPr>
              <w:tabs>
                <w:tab w:val="left" w:pos="17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6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03462" w:rsidRPr="00203462" w:rsidRDefault="00203462" w:rsidP="003219F6">
            <w:pPr>
              <w:tabs>
                <w:tab w:val="left" w:pos="1701"/>
              </w:tabs>
              <w:ind w:lef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462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Экономическая безопасность</w:t>
            </w:r>
          </w:p>
        </w:tc>
      </w:tr>
    </w:tbl>
    <w:p w:rsidR="00203462" w:rsidRPr="00203462" w:rsidRDefault="00203462" w:rsidP="002034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3462" w:rsidRPr="00203462" w:rsidRDefault="00203462" w:rsidP="00203462">
      <w:pPr>
        <w:rPr>
          <w:rFonts w:ascii="Times New Roman" w:eastAsia="Times New Roman" w:hAnsi="Times New Roman" w:cs="Times New Roman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</w:p>
    <w:p w:rsidR="00203462" w:rsidRPr="00203462" w:rsidRDefault="00203462" w:rsidP="00203462">
      <w:pPr>
        <w:tabs>
          <w:tab w:val="left" w:pos="1125"/>
          <w:tab w:val="center" w:pos="4819"/>
          <w:tab w:val="right" w:pos="9355"/>
        </w:tabs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3462">
        <w:rPr>
          <w:rFonts w:ascii="Times New Roman" w:eastAsia="Arial Unicode MS" w:hAnsi="Times New Roman" w:cs="Times New Roman"/>
          <w:color w:val="000000"/>
          <w:sz w:val="28"/>
          <w:szCs w:val="28"/>
        </w:rPr>
        <w:t>доцент, канд. экон. наук, доцент ______________________Ю.Н. Александрин</w:t>
      </w:r>
    </w:p>
    <w:p w:rsidR="00203462" w:rsidRPr="00203462" w:rsidRDefault="00203462" w:rsidP="00203462">
      <w:pPr>
        <w:rPr>
          <w:rFonts w:ascii="Times New Roman" w:eastAsia="Times New Roman" w:hAnsi="Times New Roman" w:cs="Times New Roman"/>
          <w:sz w:val="28"/>
          <w:szCs w:val="28"/>
        </w:rPr>
      </w:pPr>
      <w:r w:rsidRPr="00203462">
        <w:rPr>
          <w:rFonts w:ascii="Times New Roman" w:eastAsia="Times New Roman" w:hAnsi="Times New Roman" w:cs="Times New Roman"/>
          <w:sz w:val="28"/>
          <w:szCs w:val="28"/>
        </w:rPr>
        <w:t>Нормоконтроль</w:t>
      </w:r>
    </w:p>
    <w:p w:rsidR="00203462" w:rsidRPr="00203462" w:rsidRDefault="00203462" w:rsidP="00203462">
      <w:pPr>
        <w:tabs>
          <w:tab w:val="left" w:pos="1125"/>
          <w:tab w:val="center" w:pos="4819"/>
          <w:tab w:val="right" w:pos="9355"/>
        </w:tabs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03462">
        <w:rPr>
          <w:rFonts w:ascii="Times New Roman" w:eastAsia="Arial Unicode MS" w:hAnsi="Times New Roman" w:cs="Times New Roman"/>
          <w:color w:val="000000"/>
          <w:sz w:val="28"/>
          <w:szCs w:val="28"/>
        </w:rPr>
        <w:t>доцент, канд. экон. наук, доцент ______________________Ю.Н. Александрин</w:t>
      </w:r>
    </w:p>
    <w:p w:rsidR="00203462" w:rsidRPr="00203462" w:rsidRDefault="00203462" w:rsidP="002034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462" w:rsidRPr="00203462" w:rsidRDefault="00203462" w:rsidP="00203462">
      <w:pPr>
        <w:jc w:val="center"/>
        <w:rPr>
          <w:rFonts w:ascii="Times New Roman" w:hAnsi="Times New Roman" w:cs="Times New Roman"/>
          <w:sz w:val="28"/>
        </w:rPr>
      </w:pPr>
      <w:r w:rsidRPr="0020346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 201</w:t>
      </w:r>
      <w:r w:rsidR="0065600E" w:rsidRPr="006560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Прямоугольник 1" o:spid="_x0000_s1027" style="position:absolute;left:0;text-align:left;margin-left:229.05pt;margin-top:46.5pt;width:54pt;height:24.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" fillcolor="window" strokecolor="window" strokeweight="1pt"/>
        </w:pict>
      </w:r>
      <w:r w:rsidRPr="004C763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15C91" w:rsidRDefault="00815C91" w:rsidP="00D93025">
      <w:pPr>
        <w:tabs>
          <w:tab w:val="right" w:leader="dot" w:pos="9072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8"/>
        </w:rPr>
      </w:pPr>
    </w:p>
    <w:p w:rsidR="00D93025" w:rsidRDefault="00D93025" w:rsidP="00D93025">
      <w:pPr>
        <w:tabs>
          <w:tab w:val="right" w:leader="dot" w:pos="9072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EB5521" w:rsidRDefault="00EB5521" w:rsidP="00D93025">
      <w:pPr>
        <w:tabs>
          <w:tab w:val="right" w:leader="dot" w:pos="9072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8"/>
        </w:rPr>
      </w:pPr>
    </w:p>
    <w:p w:rsidR="009A6017" w:rsidRDefault="009A6017" w:rsidP="00D93025">
      <w:pPr>
        <w:tabs>
          <w:tab w:val="right" w:leader="dot" w:pos="9072"/>
        </w:tabs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D93025">
        <w:rPr>
          <w:rFonts w:ascii="Times New Roman" w:hAnsi="Times New Roman" w:cs="Times New Roman"/>
          <w:sz w:val="28"/>
        </w:rPr>
        <w:tab/>
      </w:r>
      <w:r w:rsidR="007E7AFC">
        <w:rPr>
          <w:rFonts w:ascii="Times New Roman" w:hAnsi="Times New Roman" w:cs="Times New Roman"/>
          <w:sz w:val="28"/>
        </w:rPr>
        <w:t>3</w:t>
      </w:r>
    </w:p>
    <w:p w:rsidR="00EF7744" w:rsidRPr="00C37C2A" w:rsidRDefault="00C37C2A" w:rsidP="003D5D4E">
      <w:pPr>
        <w:tabs>
          <w:tab w:val="right" w:leader="dot" w:pos="9072"/>
        </w:tabs>
        <w:spacing w:after="0" w:line="360" w:lineRule="auto"/>
        <w:ind w:left="567" w:right="567" w:hanging="567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>1.</w:t>
      </w:r>
      <w:r w:rsidR="00EF7744" w:rsidRPr="00C37C2A">
        <w:rPr>
          <w:rFonts w:ascii="Times New Roman" w:hAnsi="Times New Roman" w:cs="Times New Roman"/>
          <w:sz w:val="28"/>
        </w:rPr>
        <w:t>Теоретико-методологические аспекты исследования инвестиционной безопасности как подсистемы экономической безопасности</w:t>
      </w:r>
      <w:r w:rsidR="007E7AFC">
        <w:rPr>
          <w:rFonts w:ascii="Times New Roman" w:hAnsi="Times New Roman" w:cs="Times New Roman"/>
          <w:sz w:val="28"/>
        </w:rPr>
        <w:tab/>
        <w:t>5</w:t>
      </w:r>
    </w:p>
    <w:p w:rsidR="00EF7744" w:rsidRPr="00C37C2A" w:rsidRDefault="00C37C2A" w:rsidP="003D5D4E">
      <w:pPr>
        <w:tabs>
          <w:tab w:val="right" w:leader="dot" w:pos="9072"/>
        </w:tabs>
        <w:spacing w:after="0" w:line="360" w:lineRule="auto"/>
        <w:ind w:left="567" w:right="567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 xml:space="preserve"> 1.1</w:t>
      </w:r>
      <w:r w:rsidR="00EF7744" w:rsidRPr="00C37C2A">
        <w:rPr>
          <w:rFonts w:ascii="Times New Roman" w:hAnsi="Times New Roman" w:cs="Times New Roman"/>
          <w:sz w:val="28"/>
        </w:rPr>
        <w:t xml:space="preserve"> Инвестиционная безопасность: сущность и место в рамках безопасности страны</w:t>
      </w:r>
      <w:r w:rsidR="003D5D4E">
        <w:rPr>
          <w:rFonts w:ascii="Times New Roman" w:hAnsi="Times New Roman" w:cs="Times New Roman"/>
          <w:sz w:val="28"/>
        </w:rPr>
        <w:tab/>
      </w:r>
      <w:r w:rsidR="007E7AFC">
        <w:rPr>
          <w:rFonts w:ascii="Times New Roman" w:hAnsi="Times New Roman" w:cs="Times New Roman"/>
          <w:sz w:val="28"/>
        </w:rPr>
        <w:t>5</w:t>
      </w:r>
    </w:p>
    <w:p w:rsidR="00EF7744" w:rsidRPr="00C37C2A" w:rsidRDefault="00C37C2A" w:rsidP="00D93025">
      <w:pPr>
        <w:tabs>
          <w:tab w:val="right" w:leader="dot" w:pos="9072"/>
        </w:tabs>
        <w:spacing w:after="0" w:line="360" w:lineRule="auto"/>
        <w:ind w:left="567" w:right="567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 xml:space="preserve"> 1.2 </w:t>
      </w:r>
      <w:r w:rsidR="00EF7744" w:rsidRPr="00C37C2A">
        <w:rPr>
          <w:rFonts w:ascii="Times New Roman" w:hAnsi="Times New Roman" w:cs="Times New Roman"/>
          <w:sz w:val="28"/>
        </w:rPr>
        <w:t xml:space="preserve">Инвестиционные </w:t>
      </w:r>
      <w:r w:rsidR="00D93025">
        <w:rPr>
          <w:rFonts w:ascii="Times New Roman" w:hAnsi="Times New Roman" w:cs="Times New Roman"/>
          <w:sz w:val="28"/>
        </w:rPr>
        <w:t>риски и рискообразующие факторы</w:t>
      </w:r>
      <w:r w:rsidR="003D5D4E">
        <w:rPr>
          <w:rFonts w:ascii="Times New Roman" w:hAnsi="Times New Roman" w:cs="Times New Roman"/>
          <w:sz w:val="28"/>
        </w:rPr>
        <w:tab/>
      </w:r>
      <w:r w:rsidR="007E7AFC">
        <w:rPr>
          <w:rFonts w:ascii="Times New Roman" w:hAnsi="Times New Roman" w:cs="Times New Roman"/>
          <w:sz w:val="28"/>
        </w:rPr>
        <w:t>7</w:t>
      </w:r>
    </w:p>
    <w:p w:rsidR="00EF7744" w:rsidRPr="00C37C2A" w:rsidRDefault="00C37C2A" w:rsidP="00D93025">
      <w:pPr>
        <w:tabs>
          <w:tab w:val="right" w:leader="dot" w:pos="9072"/>
        </w:tabs>
        <w:spacing w:after="0" w:line="360" w:lineRule="auto"/>
        <w:ind w:left="567" w:right="567" w:hanging="567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>2.</w:t>
      </w:r>
      <w:r w:rsidR="00EF7744" w:rsidRPr="00C37C2A">
        <w:rPr>
          <w:rFonts w:ascii="Times New Roman" w:hAnsi="Times New Roman" w:cs="Times New Roman"/>
          <w:sz w:val="28"/>
        </w:rPr>
        <w:t>Диагностика уровня инвестиционной безопасности Ро</w:t>
      </w:r>
      <w:r w:rsidRPr="00C37C2A">
        <w:rPr>
          <w:rFonts w:ascii="Times New Roman" w:hAnsi="Times New Roman" w:cs="Times New Roman"/>
          <w:sz w:val="28"/>
        </w:rPr>
        <w:t>с</w:t>
      </w:r>
      <w:r w:rsidR="00EF7744" w:rsidRPr="00C37C2A">
        <w:rPr>
          <w:rFonts w:ascii="Times New Roman" w:hAnsi="Times New Roman" w:cs="Times New Roman"/>
          <w:sz w:val="28"/>
        </w:rPr>
        <w:t>сийской Федерации</w:t>
      </w:r>
      <w:r w:rsidR="00D93025">
        <w:rPr>
          <w:rFonts w:ascii="Times New Roman" w:hAnsi="Times New Roman" w:cs="Times New Roman"/>
          <w:sz w:val="28"/>
        </w:rPr>
        <w:tab/>
      </w:r>
      <w:r w:rsidR="007E7AFC">
        <w:rPr>
          <w:rFonts w:ascii="Times New Roman" w:hAnsi="Times New Roman" w:cs="Times New Roman"/>
          <w:sz w:val="28"/>
        </w:rPr>
        <w:t>11</w:t>
      </w:r>
    </w:p>
    <w:p w:rsidR="00501D3C" w:rsidRDefault="00501D3C" w:rsidP="00501D3C">
      <w:pPr>
        <w:tabs>
          <w:tab w:val="right" w:leader="dot" w:pos="9072"/>
        </w:tabs>
        <w:spacing w:after="0" w:line="360" w:lineRule="auto"/>
        <w:ind w:left="567"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Pr="00C37C2A">
        <w:rPr>
          <w:rFonts w:ascii="Times New Roman" w:hAnsi="Times New Roman" w:cs="Times New Roman"/>
          <w:sz w:val="28"/>
        </w:rPr>
        <w:t xml:space="preserve"> Система индикаторов инвестиционной безопасности</w:t>
      </w:r>
      <w:r>
        <w:rPr>
          <w:rFonts w:ascii="Times New Roman" w:hAnsi="Times New Roman" w:cs="Times New Roman"/>
          <w:sz w:val="28"/>
        </w:rPr>
        <w:t xml:space="preserve"> страны</w:t>
      </w:r>
      <w:r>
        <w:rPr>
          <w:rFonts w:ascii="Times New Roman" w:hAnsi="Times New Roman" w:cs="Times New Roman"/>
          <w:sz w:val="28"/>
        </w:rPr>
        <w:tab/>
      </w:r>
      <w:r w:rsidR="007E7AFC">
        <w:rPr>
          <w:rFonts w:ascii="Times New Roman" w:hAnsi="Times New Roman" w:cs="Times New Roman"/>
          <w:sz w:val="28"/>
        </w:rPr>
        <w:t>11</w:t>
      </w:r>
    </w:p>
    <w:p w:rsidR="00EF7744" w:rsidRPr="00C37C2A" w:rsidRDefault="00501D3C" w:rsidP="00D93025">
      <w:pPr>
        <w:tabs>
          <w:tab w:val="right" w:leader="dot" w:pos="9072"/>
        </w:tabs>
        <w:spacing w:after="0" w:line="360" w:lineRule="auto"/>
        <w:ind w:left="567"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EF7744" w:rsidRPr="00C37C2A">
        <w:rPr>
          <w:rFonts w:ascii="Times New Roman" w:hAnsi="Times New Roman" w:cs="Times New Roman"/>
          <w:sz w:val="28"/>
        </w:rPr>
        <w:t xml:space="preserve"> Определение факторов оказывающих влияние на уровень инвестиционной безопасности</w:t>
      </w:r>
      <w:r w:rsidR="00D93025">
        <w:rPr>
          <w:rFonts w:ascii="Times New Roman" w:hAnsi="Times New Roman" w:cs="Times New Roman"/>
          <w:sz w:val="28"/>
        </w:rPr>
        <w:tab/>
      </w:r>
      <w:r w:rsidR="007A0305">
        <w:rPr>
          <w:rFonts w:ascii="Times New Roman" w:hAnsi="Times New Roman" w:cs="Times New Roman"/>
          <w:sz w:val="28"/>
        </w:rPr>
        <w:t>16</w:t>
      </w:r>
    </w:p>
    <w:p w:rsidR="00EF7744" w:rsidRPr="00C37C2A" w:rsidRDefault="00501D3C" w:rsidP="00D93025">
      <w:pPr>
        <w:tabs>
          <w:tab w:val="right" w:leader="dot" w:pos="9072"/>
        </w:tabs>
        <w:spacing w:after="0" w:line="360" w:lineRule="auto"/>
        <w:ind w:left="567"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EF7744" w:rsidRPr="00C37C2A">
        <w:rPr>
          <w:rFonts w:ascii="Times New Roman" w:hAnsi="Times New Roman" w:cs="Times New Roman"/>
          <w:sz w:val="28"/>
        </w:rPr>
        <w:t xml:space="preserve"> Современные угр</w:t>
      </w:r>
      <w:r w:rsidR="00D93025">
        <w:rPr>
          <w:rFonts w:ascii="Times New Roman" w:hAnsi="Times New Roman" w:cs="Times New Roman"/>
          <w:sz w:val="28"/>
        </w:rPr>
        <w:t>озы инвестиционной безопасности</w:t>
      </w:r>
      <w:r w:rsidR="00D93025">
        <w:rPr>
          <w:rFonts w:ascii="Times New Roman" w:hAnsi="Times New Roman" w:cs="Times New Roman"/>
          <w:sz w:val="28"/>
        </w:rPr>
        <w:tab/>
      </w:r>
      <w:r w:rsidR="007A0305">
        <w:rPr>
          <w:rFonts w:ascii="Times New Roman" w:hAnsi="Times New Roman" w:cs="Times New Roman"/>
          <w:sz w:val="28"/>
        </w:rPr>
        <w:t>18</w:t>
      </w:r>
    </w:p>
    <w:p w:rsidR="009A6017" w:rsidRDefault="00501D3C" w:rsidP="00D93025">
      <w:pPr>
        <w:tabs>
          <w:tab w:val="right" w:leader="dot" w:pos="9072"/>
        </w:tabs>
        <w:spacing w:after="0" w:line="360" w:lineRule="auto"/>
        <w:ind w:right="567" w:firstLine="567"/>
      </w:pPr>
      <w:r>
        <w:rPr>
          <w:rFonts w:ascii="Times New Roman" w:hAnsi="Times New Roman" w:cs="Times New Roman"/>
          <w:sz w:val="28"/>
        </w:rPr>
        <w:t>2.4</w:t>
      </w:r>
      <w:r w:rsidR="00EF7744" w:rsidRPr="00C37C2A">
        <w:rPr>
          <w:rFonts w:ascii="Times New Roman" w:hAnsi="Times New Roman" w:cs="Times New Roman"/>
          <w:sz w:val="28"/>
        </w:rPr>
        <w:t xml:space="preserve"> Анализ перспектив инвестиционной безопасности государства</w:t>
      </w:r>
      <w:r w:rsidR="00D93025">
        <w:rPr>
          <w:rFonts w:ascii="Times New Roman" w:hAnsi="Times New Roman" w:cs="Times New Roman"/>
          <w:sz w:val="28"/>
        </w:rPr>
        <w:tab/>
      </w:r>
      <w:r w:rsidR="007A0305">
        <w:rPr>
          <w:rFonts w:ascii="Times New Roman" w:hAnsi="Times New Roman" w:cs="Times New Roman"/>
          <w:sz w:val="28"/>
        </w:rPr>
        <w:t>21</w:t>
      </w:r>
      <w:r w:rsidR="00EF7744">
        <w:br/>
      </w:r>
      <w:r w:rsidR="009A6017" w:rsidRPr="003D5D4E">
        <w:rPr>
          <w:rFonts w:ascii="Times New Roman" w:hAnsi="Times New Roman" w:cs="Times New Roman"/>
          <w:sz w:val="28"/>
        </w:rPr>
        <w:t>3.</w:t>
      </w:r>
      <w:r w:rsidR="003D5D4E" w:rsidRPr="003D5D4E">
        <w:rPr>
          <w:rFonts w:ascii="Times New Roman" w:hAnsi="Times New Roman" w:cs="Times New Roman"/>
          <w:sz w:val="28"/>
        </w:rPr>
        <w:t xml:space="preserve"> Организация системы противодействия угрозам инвестиционной безопасности государства</w:t>
      </w:r>
      <w:r w:rsidR="00170444">
        <w:rPr>
          <w:rFonts w:ascii="Times New Roman" w:hAnsi="Times New Roman" w:cs="Times New Roman"/>
          <w:sz w:val="28"/>
        </w:rPr>
        <w:tab/>
        <w:t>2</w:t>
      </w:r>
      <w:r w:rsidR="007A0305">
        <w:rPr>
          <w:rFonts w:ascii="Times New Roman" w:hAnsi="Times New Roman" w:cs="Times New Roman"/>
          <w:sz w:val="28"/>
        </w:rPr>
        <w:t>9</w:t>
      </w:r>
    </w:p>
    <w:p w:rsidR="003D5D4E" w:rsidRDefault="003D5D4E" w:rsidP="003D5D4E">
      <w:pPr>
        <w:tabs>
          <w:tab w:val="right" w:leader="dot" w:pos="9072"/>
        </w:tabs>
        <w:spacing w:after="0" w:line="360" w:lineRule="auto"/>
        <w:ind w:left="567" w:righ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 w:rsidR="007A030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ab/>
      </w:r>
    </w:p>
    <w:p w:rsidR="003D5D4E" w:rsidRDefault="003D5D4E" w:rsidP="003D5D4E">
      <w:pPr>
        <w:tabs>
          <w:tab w:val="right" w:leader="dot" w:pos="9072"/>
        </w:tabs>
        <w:spacing w:after="0" w:line="360" w:lineRule="auto"/>
        <w:ind w:left="567" w:righ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ab/>
      </w:r>
      <w:r w:rsidR="007A0305">
        <w:rPr>
          <w:rFonts w:ascii="Times New Roman" w:hAnsi="Times New Roman"/>
          <w:sz w:val="28"/>
          <w:szCs w:val="28"/>
        </w:rPr>
        <w:t>36</w:t>
      </w:r>
    </w:p>
    <w:p w:rsidR="00B567B0" w:rsidRDefault="00B567B0" w:rsidP="00B567B0">
      <w:pPr>
        <w:tabs>
          <w:tab w:val="right" w:leader="dot" w:pos="9072"/>
        </w:tabs>
        <w:spacing w:after="0" w:line="360" w:lineRule="auto"/>
        <w:ind w:left="567" w:righ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 w:rsidR="00BD303C">
        <w:rPr>
          <w:rFonts w:ascii="Times New Roman" w:hAnsi="Times New Roman"/>
          <w:sz w:val="28"/>
          <w:szCs w:val="28"/>
        </w:rPr>
        <w:tab/>
        <w:t>40</w:t>
      </w:r>
    </w:p>
    <w:p w:rsidR="009A6017" w:rsidRDefault="009A6017" w:rsidP="00D93025">
      <w:pPr>
        <w:tabs>
          <w:tab w:val="right" w:leader="dot" w:pos="9072"/>
        </w:tabs>
      </w:pPr>
      <w:r>
        <w:br w:type="page"/>
      </w:r>
    </w:p>
    <w:p w:rsidR="00EF7744" w:rsidRDefault="00D93025" w:rsidP="00D93025">
      <w:pPr>
        <w:jc w:val="center"/>
        <w:rPr>
          <w:rFonts w:ascii="Times New Roman" w:hAnsi="Times New Roman" w:cs="Times New Roman"/>
          <w:sz w:val="28"/>
        </w:rPr>
      </w:pPr>
      <w:r w:rsidRPr="00D93025">
        <w:rPr>
          <w:rFonts w:ascii="Times New Roman" w:hAnsi="Times New Roman" w:cs="Times New Roman"/>
          <w:sz w:val="28"/>
        </w:rPr>
        <w:lastRenderedPageBreak/>
        <w:t>ВВЕДЕНИЕ</w:t>
      </w:r>
    </w:p>
    <w:p w:rsidR="00E948F1" w:rsidRDefault="00E948F1" w:rsidP="00D93025">
      <w:pPr>
        <w:jc w:val="center"/>
        <w:rPr>
          <w:rFonts w:ascii="Times New Roman" w:hAnsi="Times New Roman" w:cs="Times New Roman"/>
          <w:sz w:val="28"/>
        </w:rPr>
      </w:pPr>
    </w:p>
    <w:p w:rsidR="00421564" w:rsidRPr="00421564" w:rsidRDefault="00421564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появлением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масштабных экономических проблем, перед Россией, так и перед всем миром встал вопрос о разработке новой инвестиционной политики для формирования современной экономики.</w:t>
      </w:r>
    </w:p>
    <w:p w:rsidR="00421564" w:rsidRDefault="00B30D3E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9548AC">
        <w:rPr>
          <w:rFonts w:ascii="Times New Roman" w:hAnsi="Times New Roman" w:cs="Times New Roman"/>
          <w:sz w:val="28"/>
          <w:szCs w:val="28"/>
        </w:rPr>
        <w:t xml:space="preserve"> мы основываемся на теоретических и методологических подходах</w:t>
      </w:r>
      <w:r w:rsidR="002B6B27" w:rsidRPr="002B6B27">
        <w:rPr>
          <w:rFonts w:ascii="Times New Roman" w:hAnsi="Times New Roman" w:cs="Times New Roman"/>
          <w:sz w:val="28"/>
          <w:szCs w:val="28"/>
        </w:rPr>
        <w:t xml:space="preserve"> к степени разработанности темы обеспечения экономической безопасн</w:t>
      </w:r>
      <w:r w:rsidR="009548AC">
        <w:rPr>
          <w:rFonts w:ascii="Times New Roman" w:hAnsi="Times New Roman" w:cs="Times New Roman"/>
          <w:sz w:val="28"/>
          <w:szCs w:val="28"/>
        </w:rPr>
        <w:t>ости, которые, в свою очередь, базируются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27" w:rsidRPr="002B6B27">
        <w:rPr>
          <w:rFonts w:ascii="Times New Roman" w:hAnsi="Times New Roman" w:cs="Times New Roman"/>
          <w:sz w:val="28"/>
          <w:szCs w:val="28"/>
        </w:rPr>
        <w:t>на системных принципах развития экономи</w:t>
      </w:r>
      <w:r w:rsidR="009548AC">
        <w:rPr>
          <w:rFonts w:ascii="Times New Roman" w:hAnsi="Times New Roman" w:cs="Times New Roman"/>
          <w:sz w:val="28"/>
          <w:szCs w:val="28"/>
        </w:rPr>
        <w:t>ки, общества и государства. Одним</w:t>
      </w:r>
      <w:r w:rsidR="002B6B27" w:rsidRPr="002B6B2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27" w:rsidRPr="002B6B27">
        <w:rPr>
          <w:rFonts w:ascii="Times New Roman" w:hAnsi="Times New Roman" w:cs="Times New Roman"/>
          <w:sz w:val="28"/>
          <w:szCs w:val="28"/>
        </w:rPr>
        <w:t>направлений экономической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 и ее системная составляющая </w:t>
      </w:r>
      <w:r w:rsidR="009548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8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1D3C" w:rsidRPr="00501D3C">
        <w:rPr>
          <w:rFonts w:ascii="Times New Roman" w:hAnsi="Times New Roman" w:cs="Times New Roman"/>
          <w:sz w:val="28"/>
          <w:szCs w:val="28"/>
        </w:rPr>
        <w:t>и</w:t>
      </w:r>
      <w:r w:rsidR="00421564" w:rsidRPr="00501D3C">
        <w:rPr>
          <w:rFonts w:ascii="Times New Roman" w:hAnsi="Times New Roman" w:cs="Times New Roman"/>
          <w:sz w:val="28"/>
        </w:rPr>
        <w:t>нвестиционная безопасность</w:t>
      </w:r>
      <w:r w:rsidR="00501D3C" w:rsidRPr="00501D3C">
        <w:rPr>
          <w:rFonts w:ascii="Times New Roman" w:hAnsi="Times New Roman" w:cs="Times New Roman"/>
          <w:sz w:val="28"/>
        </w:rPr>
        <w:t>, которая</w:t>
      </w:r>
      <w:r w:rsidR="00421564" w:rsidRPr="00501D3C">
        <w:rPr>
          <w:rFonts w:ascii="Times New Roman" w:hAnsi="Times New Roman" w:cs="Times New Roman"/>
          <w:sz w:val="28"/>
        </w:rPr>
        <w:t xml:space="preserve"> </w:t>
      </w:r>
      <w:r w:rsidR="009548AC">
        <w:rPr>
          <w:rFonts w:ascii="Times New Roman" w:hAnsi="Times New Roman" w:cs="Times New Roman"/>
          <w:sz w:val="28"/>
        </w:rPr>
        <w:t>служит</w:t>
      </w:r>
      <w:r w:rsidR="00421564" w:rsidRPr="00501D3C">
        <w:rPr>
          <w:rFonts w:ascii="Times New Roman" w:hAnsi="Times New Roman" w:cs="Times New Roman"/>
          <w:sz w:val="28"/>
        </w:rPr>
        <w:t xml:space="preserve"> важнейшим элементом национальной экономической безопасности. В развитии экономики привлечение инвестиций выступает первоочередной стратегической задачей, играющей роль катализатора в обеспечении условий для инновационного развития станы, преодоления кризисных факторов, структурной перестройки экономики и достижения других целей, прописанных в «Стратегии развития России до 2020 г.»</w:t>
      </w:r>
    </w:p>
    <w:p w:rsidR="008B7868" w:rsidRDefault="008B7868" w:rsidP="008B78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Активизацию инвестиционной и инновационной деятельности можно выделить как основное условие, которое способно помочь России выйти из экономической стагнации, поскольку она создаст безопасное </w:t>
      </w:r>
      <w:r w:rsidRPr="002B6B27">
        <w:rPr>
          <w:rFonts w:ascii="Times New Roman" w:hAnsi="Times New Roman" w:cs="Times New Roman"/>
          <w:sz w:val="28"/>
          <w:szCs w:val="28"/>
        </w:rPr>
        <w:t>обновление и воспроизводство основного капитала и интеллектуального человеческого капитала с ориентацией на рост экономических результатов, на повышение эффективности производства, качества выпускаемых товаров и услуг, уровня жизни населения.</w:t>
      </w:r>
    </w:p>
    <w:p w:rsidR="008B7868" w:rsidRDefault="008B7868" w:rsidP="008B78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выделить, что между инвестиционной и экономической динамикой могут возникать как прямые, так и обратные связи. Например, увеличение инвестиций в реальной хозяйственной сфере приведет к экономическому росту, и, наоборот, их снижение может способствовать экономическому спаду</w:t>
      </w:r>
    </w:p>
    <w:p w:rsidR="008B7868" w:rsidRPr="00501D3C" w:rsidRDefault="008B7868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564" w:rsidRPr="00501D3C" w:rsidRDefault="00421564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15C91">
        <w:rPr>
          <w:rFonts w:ascii="Times New Roman" w:hAnsi="Times New Roman" w:cs="Times New Roman"/>
          <w:i/>
          <w:sz w:val="28"/>
        </w:rPr>
        <w:t>Актуальность исследования</w:t>
      </w:r>
      <w:r w:rsidRPr="00501D3C">
        <w:rPr>
          <w:rFonts w:ascii="Times New Roman" w:hAnsi="Times New Roman" w:cs="Times New Roman"/>
          <w:sz w:val="28"/>
        </w:rPr>
        <w:t xml:space="preserve"> системы экономической безопасности инвестиционной сферы России в современных условиях обусловлена важностью данной проблемы, ее значением для развития народного хозяйства. В этой связи большое значение приобретает теоретическая проработка всего комплекса проблем системы экономической безопасности и инвестиционной сферы России.</w:t>
      </w:r>
    </w:p>
    <w:p w:rsidR="002B6B27" w:rsidRDefault="002B6B27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91">
        <w:rPr>
          <w:rFonts w:ascii="Times New Roman" w:hAnsi="Times New Roman" w:cs="Times New Roman"/>
          <w:i/>
          <w:sz w:val="28"/>
          <w:szCs w:val="28"/>
        </w:rPr>
        <w:t>Целью</w:t>
      </w:r>
      <w:r w:rsidR="00421564" w:rsidRPr="00815C91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Pr="002B6B27">
        <w:rPr>
          <w:rFonts w:ascii="Times New Roman" w:hAnsi="Times New Roman" w:cs="Times New Roman"/>
          <w:sz w:val="28"/>
          <w:szCs w:val="28"/>
        </w:rPr>
        <w:t xml:space="preserve"> является разработка рекомендаций направленных на обеспечение инвестиционной безопасности </w:t>
      </w:r>
      <w:r w:rsidR="00501D3C">
        <w:rPr>
          <w:rFonts w:ascii="Times New Roman" w:hAnsi="Times New Roman" w:cs="Times New Roman"/>
          <w:sz w:val="28"/>
          <w:szCs w:val="28"/>
        </w:rPr>
        <w:t>страны</w:t>
      </w:r>
      <w:r w:rsidRPr="002B6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27" w:rsidRDefault="002B6B27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91">
        <w:rPr>
          <w:rFonts w:ascii="Times New Roman" w:hAnsi="Times New Roman" w:cs="Times New Roman"/>
          <w:i/>
          <w:sz w:val="28"/>
          <w:szCs w:val="28"/>
        </w:rPr>
        <w:t>Задачи исследования</w:t>
      </w:r>
      <w:r w:rsidRPr="002B6B27">
        <w:rPr>
          <w:rFonts w:ascii="Times New Roman" w:hAnsi="Times New Roman" w:cs="Times New Roman"/>
          <w:sz w:val="28"/>
          <w:szCs w:val="28"/>
        </w:rPr>
        <w:t xml:space="preserve">: Рассмотреть теоретико-методологические аспекты исследования инвестиционной безопасности как подсистемы экономической безопасности. </w:t>
      </w:r>
      <w:r w:rsidR="00501D3C">
        <w:rPr>
          <w:rFonts w:ascii="Times New Roman" w:hAnsi="Times New Roman" w:cs="Times New Roman"/>
          <w:sz w:val="28"/>
          <w:szCs w:val="28"/>
        </w:rPr>
        <w:t xml:space="preserve">Провести анализ соответствующих факторов и индикаторов. </w:t>
      </w:r>
      <w:r w:rsidRPr="002B6B27">
        <w:rPr>
          <w:rFonts w:ascii="Times New Roman" w:hAnsi="Times New Roman" w:cs="Times New Roman"/>
          <w:sz w:val="28"/>
          <w:szCs w:val="28"/>
        </w:rPr>
        <w:t xml:space="preserve">Разработать практические рекомендации. </w:t>
      </w:r>
    </w:p>
    <w:p w:rsidR="002B6B27" w:rsidRDefault="002B6B27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91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2B6B27">
        <w:rPr>
          <w:rFonts w:ascii="Times New Roman" w:hAnsi="Times New Roman" w:cs="Times New Roman"/>
          <w:sz w:val="28"/>
          <w:szCs w:val="28"/>
        </w:rPr>
        <w:t xml:space="preserve"> – инвестиционная безопасность </w:t>
      </w:r>
      <w:r w:rsidR="00501D3C">
        <w:rPr>
          <w:rFonts w:ascii="Times New Roman" w:hAnsi="Times New Roman" w:cs="Times New Roman"/>
          <w:sz w:val="28"/>
          <w:szCs w:val="28"/>
        </w:rPr>
        <w:t>России</w:t>
      </w:r>
      <w:r w:rsidRPr="002B6B27">
        <w:rPr>
          <w:rFonts w:ascii="Times New Roman" w:hAnsi="Times New Roman" w:cs="Times New Roman"/>
          <w:sz w:val="28"/>
          <w:szCs w:val="28"/>
        </w:rPr>
        <w:t>.</w:t>
      </w:r>
    </w:p>
    <w:p w:rsidR="002B6B27" w:rsidRDefault="002B6B27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91">
        <w:rPr>
          <w:rFonts w:ascii="Times New Roman" w:hAnsi="Times New Roman" w:cs="Times New Roman"/>
          <w:i/>
          <w:sz w:val="28"/>
          <w:szCs w:val="28"/>
        </w:rPr>
        <w:t xml:space="preserve"> Предмет исследования</w:t>
      </w:r>
      <w:r w:rsidRPr="002B6B27">
        <w:rPr>
          <w:rFonts w:ascii="Times New Roman" w:hAnsi="Times New Roman" w:cs="Times New Roman"/>
          <w:sz w:val="28"/>
          <w:szCs w:val="28"/>
        </w:rPr>
        <w:t xml:space="preserve"> – инвестиционная безопасность как подсистема экономической безопасности </w:t>
      </w:r>
      <w:r w:rsidR="00501D3C">
        <w:rPr>
          <w:rFonts w:ascii="Times New Roman" w:hAnsi="Times New Roman" w:cs="Times New Roman"/>
          <w:sz w:val="28"/>
          <w:szCs w:val="28"/>
        </w:rPr>
        <w:t>страны</w:t>
      </w:r>
      <w:r w:rsidRPr="002B6B27">
        <w:rPr>
          <w:rFonts w:ascii="Times New Roman" w:hAnsi="Times New Roman" w:cs="Times New Roman"/>
          <w:sz w:val="28"/>
          <w:szCs w:val="28"/>
        </w:rPr>
        <w:t>.</w:t>
      </w:r>
    </w:p>
    <w:p w:rsidR="008B7868" w:rsidRDefault="008B7868" w:rsidP="009449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C91">
        <w:rPr>
          <w:rFonts w:ascii="Times New Roman" w:hAnsi="Times New Roman" w:cs="Times New Roman"/>
          <w:i/>
          <w:sz w:val="28"/>
          <w:szCs w:val="28"/>
        </w:rPr>
        <w:t>Теоретико-методологической</w:t>
      </w:r>
      <w:r w:rsidR="002B6B27" w:rsidRPr="00815C91">
        <w:rPr>
          <w:rFonts w:ascii="Times New Roman" w:hAnsi="Times New Roman" w:cs="Times New Roman"/>
          <w:i/>
          <w:sz w:val="28"/>
          <w:szCs w:val="28"/>
        </w:rPr>
        <w:t xml:space="preserve"> базой</w:t>
      </w:r>
      <w:r w:rsidR="002B6B27" w:rsidRPr="002B6B27">
        <w:rPr>
          <w:rFonts w:ascii="Times New Roman" w:hAnsi="Times New Roman" w:cs="Times New Roman"/>
          <w:sz w:val="28"/>
          <w:szCs w:val="28"/>
        </w:rPr>
        <w:t xml:space="preserve"> исследования являются учебные и научные издания, публикации в специальной периодической литературе.</w:t>
      </w:r>
    </w:p>
    <w:p w:rsidR="00D93025" w:rsidRPr="00E948F1" w:rsidRDefault="00815C91" w:rsidP="00E948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A718D">
        <w:rPr>
          <w:rFonts w:ascii="Times New Roman" w:hAnsi="Times New Roman"/>
          <w:i/>
          <w:sz w:val="28"/>
          <w:szCs w:val="28"/>
        </w:rPr>
        <w:t xml:space="preserve">Структура </w:t>
      </w:r>
      <w:r>
        <w:rPr>
          <w:rFonts w:ascii="Times New Roman" w:hAnsi="Times New Roman"/>
          <w:i/>
          <w:sz w:val="28"/>
          <w:szCs w:val="28"/>
        </w:rPr>
        <w:t xml:space="preserve">курсовой </w:t>
      </w:r>
      <w:r w:rsidRPr="005A718D">
        <w:rPr>
          <w:rFonts w:ascii="Times New Roman" w:hAnsi="Times New Roman"/>
          <w:i/>
          <w:sz w:val="28"/>
          <w:szCs w:val="28"/>
        </w:rPr>
        <w:t>работы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5A718D">
        <w:rPr>
          <w:rFonts w:ascii="Times New Roman" w:hAnsi="Times New Roman"/>
          <w:sz w:val="28"/>
          <w:szCs w:val="28"/>
        </w:rPr>
        <w:t>Работа состоит из введения,</w:t>
      </w:r>
      <w:r>
        <w:rPr>
          <w:rFonts w:ascii="Times New Roman" w:hAnsi="Times New Roman"/>
          <w:sz w:val="28"/>
          <w:szCs w:val="28"/>
        </w:rPr>
        <w:t xml:space="preserve"> трех глав, заключения и списка литературы.</w:t>
      </w:r>
      <w:r w:rsidR="00893D49" w:rsidRPr="00893D49">
        <w:rPr>
          <w:rFonts w:ascii="Times New Roman" w:hAnsi="Times New Roman"/>
          <w:sz w:val="28"/>
          <w:szCs w:val="28"/>
        </w:rPr>
        <w:t xml:space="preserve"> </w:t>
      </w:r>
      <w:r w:rsidR="00893D49">
        <w:rPr>
          <w:rFonts w:ascii="Times New Roman" w:hAnsi="Times New Roman"/>
          <w:sz w:val="28"/>
          <w:szCs w:val="28"/>
        </w:rPr>
        <w:t>Во в</w:t>
      </w:r>
      <w:r w:rsidR="00893D49" w:rsidRPr="005A718D">
        <w:rPr>
          <w:rFonts w:ascii="Times New Roman" w:hAnsi="Times New Roman"/>
          <w:sz w:val="28"/>
          <w:szCs w:val="28"/>
        </w:rPr>
        <w:t>в</w:t>
      </w:r>
      <w:r w:rsidR="00893D49">
        <w:rPr>
          <w:rFonts w:ascii="Times New Roman" w:hAnsi="Times New Roman"/>
          <w:sz w:val="28"/>
          <w:szCs w:val="28"/>
        </w:rPr>
        <w:t>едении рассматривается актуальность темы</w:t>
      </w:r>
      <w:r w:rsidR="00893D49" w:rsidRPr="005A718D">
        <w:rPr>
          <w:rFonts w:ascii="Times New Roman" w:hAnsi="Times New Roman"/>
          <w:sz w:val="28"/>
          <w:szCs w:val="28"/>
        </w:rPr>
        <w:t>,</w:t>
      </w:r>
      <w:r w:rsidR="00893D49">
        <w:rPr>
          <w:rFonts w:ascii="Times New Roman" w:hAnsi="Times New Roman"/>
          <w:sz w:val="28"/>
          <w:szCs w:val="28"/>
        </w:rPr>
        <w:t xml:space="preserve"> предмет, объект, теоретико-методологическая база,</w:t>
      </w:r>
      <w:r w:rsidR="00893D49" w:rsidRPr="005A718D">
        <w:rPr>
          <w:rFonts w:ascii="Times New Roman" w:hAnsi="Times New Roman"/>
          <w:sz w:val="28"/>
          <w:szCs w:val="28"/>
        </w:rPr>
        <w:t xml:space="preserve"> цель и задачи исследования. </w:t>
      </w:r>
      <w:r w:rsidR="003219F6">
        <w:rPr>
          <w:rFonts w:ascii="Times New Roman" w:hAnsi="Times New Roman" w:cs="Times New Roman"/>
          <w:sz w:val="28"/>
          <w:szCs w:val="28"/>
        </w:rPr>
        <w:t>При структуризации КР хотелось бы обозначить детали, являющиеся основными при рассмотрении данной темы.</w:t>
      </w:r>
      <w:r w:rsidR="00893D49">
        <w:rPr>
          <w:rFonts w:ascii="Times New Roman" w:hAnsi="Times New Roman" w:cs="Times New Roman"/>
          <w:sz w:val="28"/>
          <w:szCs w:val="28"/>
        </w:rPr>
        <w:t xml:space="preserve"> В первой главе курсовой работы исследуются общие теоретико-методологические аспекты, относящиеся как к инвестиционной безопасности, так и к экономической безопасности в целом. Во второй главе работы проводится анализ, касающийся динамики участия инвестиций в основном капитале и динамики </w:t>
      </w:r>
      <w:r w:rsidR="003219F6">
        <w:rPr>
          <w:rFonts w:ascii="Times New Roman" w:hAnsi="Times New Roman" w:cs="Times New Roman"/>
          <w:sz w:val="28"/>
          <w:szCs w:val="28"/>
        </w:rPr>
        <w:t xml:space="preserve"> </w:t>
      </w:r>
      <w:r w:rsidR="00893D49" w:rsidRPr="006B71C2">
        <w:rPr>
          <w:rFonts w:ascii="Times New Roman" w:hAnsi="Times New Roman" w:cs="Times New Roman"/>
          <w:sz w:val="28"/>
        </w:rPr>
        <w:t>индикаторов показателей</w:t>
      </w:r>
      <w:r w:rsidR="00893D49">
        <w:rPr>
          <w:rFonts w:ascii="Times New Roman" w:hAnsi="Times New Roman" w:cs="Times New Roman"/>
          <w:sz w:val="28"/>
        </w:rPr>
        <w:t xml:space="preserve"> инвестиционного потенциала. Третья глава включает в себя рекомендации и предложения по улучшению положения страны в сфере инвестиций.</w:t>
      </w:r>
    </w:p>
    <w:p w:rsidR="00D93025" w:rsidRPr="00C37C2A" w:rsidRDefault="00D93025" w:rsidP="00D93025">
      <w:pPr>
        <w:tabs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lastRenderedPageBreak/>
        <w:t>1.Теоретико-методологические аспекты исследования инвестиционной безопасности как подсистемы экономической безопасности</w:t>
      </w:r>
    </w:p>
    <w:p w:rsidR="00D93025" w:rsidRPr="00203462" w:rsidRDefault="00D93025" w:rsidP="00D93025">
      <w:pPr>
        <w:jc w:val="both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>1.1 Инвестиционная безопасность: сущность и место в рамках безопасности страны</w:t>
      </w:r>
    </w:p>
    <w:p w:rsidR="00BE4D8D" w:rsidRPr="00BE4D8D" w:rsidRDefault="00BE4D8D" w:rsidP="00D93025">
      <w:pPr>
        <w:jc w:val="both"/>
        <w:rPr>
          <w:rFonts w:ascii="Times New Roman" w:hAnsi="Times New Roman" w:cs="Times New Roman"/>
          <w:sz w:val="28"/>
        </w:rPr>
      </w:pPr>
    </w:p>
    <w:p w:rsidR="00E1707E" w:rsidRPr="00773D00" w:rsidRDefault="001A6091" w:rsidP="003219F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A6091">
        <w:rPr>
          <w:rFonts w:ascii="Times New Roman" w:hAnsi="Times New Roman" w:cs="Times New Roman"/>
          <w:sz w:val="28"/>
        </w:rPr>
        <w:t>В современных условиях экономическая безопасность приобретает первостепенное значение. Особенно это важно сейчас, когда возникают разногласия между РФ с другими странами в</w:t>
      </w:r>
      <w:r w:rsidR="00E1707E">
        <w:rPr>
          <w:rFonts w:ascii="Times New Roman" w:hAnsi="Times New Roman" w:cs="Times New Roman"/>
          <w:sz w:val="28"/>
        </w:rPr>
        <w:t>о внешнеэкономической политике. Кроме того, экономическая безопасность страны напрямую связана с устойчивым и динамичным развитием её национальной экономики, а так же с эффективностью и конкурентоспособностью на внутреннем и мировом рынке</w:t>
      </w:r>
      <w:r w:rsidR="00773D00">
        <w:rPr>
          <w:rFonts w:ascii="Times New Roman" w:hAnsi="Times New Roman" w:cs="Times New Roman"/>
          <w:sz w:val="28"/>
        </w:rPr>
        <w:t xml:space="preserve">. </w:t>
      </w:r>
      <w:r w:rsidR="00773D00" w:rsidRPr="00773D00">
        <w:rPr>
          <w:rFonts w:ascii="Times New Roman" w:hAnsi="Times New Roman" w:cs="Times New Roman"/>
          <w:sz w:val="28"/>
        </w:rPr>
        <w:t>[</w:t>
      </w:r>
      <w:r w:rsidR="00773D00">
        <w:rPr>
          <w:rFonts w:ascii="Times New Roman" w:hAnsi="Times New Roman" w:cs="Times New Roman"/>
          <w:sz w:val="28"/>
        </w:rPr>
        <w:t>2</w:t>
      </w:r>
      <w:r w:rsidR="00BE4D8D">
        <w:rPr>
          <w:rFonts w:ascii="Times New Roman" w:hAnsi="Times New Roman" w:cs="Times New Roman"/>
          <w:sz w:val="28"/>
        </w:rPr>
        <w:t>0</w:t>
      </w:r>
      <w:r w:rsidR="00773D00">
        <w:rPr>
          <w:rFonts w:ascii="Times New Roman" w:hAnsi="Times New Roman" w:cs="Times New Roman"/>
          <w:sz w:val="28"/>
        </w:rPr>
        <w:t>, с 2</w:t>
      </w:r>
      <w:r w:rsidR="00773D00" w:rsidRPr="00773D00">
        <w:rPr>
          <w:rFonts w:ascii="Times New Roman" w:hAnsi="Times New Roman" w:cs="Times New Roman"/>
          <w:sz w:val="28"/>
        </w:rPr>
        <w:t>]</w:t>
      </w:r>
    </w:p>
    <w:p w:rsidR="004832FB" w:rsidRDefault="001A6091" w:rsidP="003219F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A6091">
        <w:rPr>
          <w:rFonts w:ascii="Times New Roman" w:hAnsi="Times New Roman" w:cs="Times New Roman"/>
          <w:sz w:val="28"/>
        </w:rPr>
        <w:t xml:space="preserve">Рассмотрим понятие экономической безопасности с разных точек зрения. </w:t>
      </w:r>
      <w:r>
        <w:rPr>
          <w:rFonts w:ascii="Times New Roman" w:hAnsi="Times New Roman" w:cs="Times New Roman"/>
          <w:sz w:val="28"/>
        </w:rPr>
        <w:t>Постоянный член Совета</w:t>
      </w:r>
      <w:r w:rsidR="000C7637">
        <w:rPr>
          <w:rFonts w:ascii="Times New Roman" w:hAnsi="Times New Roman" w:cs="Times New Roman"/>
          <w:sz w:val="28"/>
        </w:rPr>
        <w:t xml:space="preserve"> Безопасности Российской Федерации</w:t>
      </w:r>
      <w:r w:rsidRPr="001A6091">
        <w:rPr>
          <w:rFonts w:ascii="Times New Roman" w:hAnsi="Times New Roman" w:cs="Times New Roman"/>
          <w:sz w:val="28"/>
        </w:rPr>
        <w:t xml:space="preserve"> С. Нарышкин определяет данное понятие  как «состояние национальной социально-экономической системы, при котором она развивается, становясь более устойчивой к воздействию непредсказуемых факторов». Таким образом, чем выше устойчивость производства, уровень конкурентоспособности, тем выше эк</w:t>
      </w:r>
      <w:r w:rsidR="000C7637">
        <w:rPr>
          <w:rFonts w:ascii="Times New Roman" w:hAnsi="Times New Roman" w:cs="Times New Roman"/>
          <w:sz w:val="28"/>
        </w:rPr>
        <w:t>ономическая безопасность страны</w:t>
      </w:r>
      <w:r w:rsidRPr="001A6091">
        <w:rPr>
          <w:rFonts w:ascii="Times New Roman" w:hAnsi="Times New Roman" w:cs="Times New Roman"/>
          <w:sz w:val="28"/>
        </w:rPr>
        <w:t>.   В тоже время, В.К. Сенчагов считает, что сущность экономической безопасности – это «такое состояние экономики и институтов власти, при котором обеспечивается гарантированная защита национальных интересов», а  А. Колосов в свою очередь рассматривает экономическую безопасность как состояние защищенности от негативных воздействий и нанесения вреда хозяйственной деятельности. По его мнению, «безопасность как экономическая категория предполагает поддержание экономики на том уровне развития, который обеспечивал бы нормальную жизнедеятельность населения, в частности, его занятость, возможности дальнейшего экономического роста, поддержание в рабочем состоянии всех систем, необходимых для успешного развития и со</w:t>
      </w:r>
      <w:r w:rsidR="000C7637">
        <w:rPr>
          <w:rFonts w:ascii="Times New Roman" w:hAnsi="Times New Roman" w:cs="Times New Roman"/>
          <w:sz w:val="28"/>
        </w:rPr>
        <w:t>здания условий жизни населения»</w:t>
      </w:r>
      <w:r w:rsidRPr="001A6091">
        <w:rPr>
          <w:rFonts w:ascii="Times New Roman" w:hAnsi="Times New Roman" w:cs="Times New Roman"/>
          <w:sz w:val="28"/>
        </w:rPr>
        <w:t xml:space="preserve">.  </w:t>
      </w:r>
    </w:p>
    <w:p w:rsidR="001A6091" w:rsidRPr="00990051" w:rsidRDefault="00B90D7C" w:rsidP="003219F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Следовательно, экономическую</w:t>
      </w:r>
      <w:r w:rsidR="001A6091" w:rsidRPr="001A6091">
        <w:rPr>
          <w:rFonts w:ascii="Times New Roman" w:hAnsi="Times New Roman" w:cs="Times New Roman"/>
          <w:sz w:val="28"/>
        </w:rPr>
        <w:t xml:space="preserve"> безопасность</w:t>
      </w:r>
      <w:r w:rsidR="006A7B03">
        <w:rPr>
          <w:rFonts w:ascii="Times New Roman" w:hAnsi="Times New Roman" w:cs="Times New Roman"/>
          <w:sz w:val="28"/>
        </w:rPr>
        <w:t>,</w:t>
      </w:r>
      <w:r w:rsidR="001A6091" w:rsidRPr="001A6091">
        <w:rPr>
          <w:rFonts w:ascii="Times New Roman" w:hAnsi="Times New Roman" w:cs="Times New Roman"/>
          <w:sz w:val="28"/>
        </w:rPr>
        <w:t xml:space="preserve"> по </w:t>
      </w:r>
      <w:r w:rsidR="004832FB">
        <w:rPr>
          <w:rFonts w:ascii="Times New Roman" w:hAnsi="Times New Roman" w:cs="Times New Roman"/>
          <w:sz w:val="28"/>
        </w:rPr>
        <w:t>моему</w:t>
      </w:r>
      <w:r w:rsidR="001A6091" w:rsidRPr="001A6091">
        <w:rPr>
          <w:rFonts w:ascii="Times New Roman" w:hAnsi="Times New Roman" w:cs="Times New Roman"/>
          <w:sz w:val="28"/>
        </w:rPr>
        <w:t xml:space="preserve"> мнению, </w:t>
      </w:r>
      <w:r>
        <w:rPr>
          <w:rFonts w:ascii="Times New Roman" w:hAnsi="Times New Roman" w:cs="Times New Roman"/>
          <w:sz w:val="28"/>
        </w:rPr>
        <w:t>можно назвать особым состоянием</w:t>
      </w:r>
      <w:r w:rsidR="001A6091" w:rsidRPr="001A6091">
        <w:rPr>
          <w:rFonts w:ascii="Times New Roman" w:hAnsi="Times New Roman" w:cs="Times New Roman"/>
          <w:sz w:val="28"/>
        </w:rPr>
        <w:t xml:space="preserve"> экономики, при котором она способна адекватно реагировать и эффективно противостоять угрозам, как внешним, так и внутренним.  Неотъемлемой </w:t>
      </w:r>
      <w:r>
        <w:rPr>
          <w:rFonts w:ascii="Times New Roman" w:hAnsi="Times New Roman" w:cs="Times New Roman"/>
          <w:sz w:val="28"/>
        </w:rPr>
        <w:t>частью</w:t>
      </w:r>
      <w:r w:rsidR="001A6091" w:rsidRPr="001A6091">
        <w:rPr>
          <w:rFonts w:ascii="Times New Roman" w:hAnsi="Times New Roman" w:cs="Times New Roman"/>
          <w:sz w:val="28"/>
        </w:rPr>
        <w:t xml:space="preserve"> экономической безопасности нашего государства являются вопросы инвестиционной безопасности, </w:t>
      </w:r>
      <w:r>
        <w:rPr>
          <w:rFonts w:ascii="Times New Roman" w:hAnsi="Times New Roman" w:cs="Times New Roman"/>
          <w:sz w:val="28"/>
        </w:rPr>
        <w:t>поскольку</w:t>
      </w:r>
      <w:r w:rsidR="001A6091" w:rsidRPr="001A6091">
        <w:rPr>
          <w:rFonts w:ascii="Times New Roman" w:hAnsi="Times New Roman" w:cs="Times New Roman"/>
          <w:sz w:val="28"/>
        </w:rPr>
        <w:t xml:space="preserve"> они </w:t>
      </w:r>
      <w:r>
        <w:rPr>
          <w:rFonts w:ascii="Times New Roman" w:hAnsi="Times New Roman" w:cs="Times New Roman"/>
          <w:sz w:val="28"/>
        </w:rPr>
        <w:t>существенно влияют</w:t>
      </w:r>
      <w:r w:rsidR="001A6091" w:rsidRPr="001A6091">
        <w:rPr>
          <w:rFonts w:ascii="Times New Roman" w:hAnsi="Times New Roman" w:cs="Times New Roman"/>
          <w:sz w:val="28"/>
        </w:rPr>
        <w:t xml:space="preserve"> на стратегическую конкурентоспосо</w:t>
      </w:r>
      <w:r>
        <w:rPr>
          <w:rFonts w:ascii="Times New Roman" w:hAnsi="Times New Roman" w:cs="Times New Roman"/>
          <w:sz w:val="28"/>
        </w:rPr>
        <w:t>бность экономики и ее устойчивый</w:t>
      </w:r>
      <w:r w:rsidR="001A6091" w:rsidRPr="001A6091">
        <w:rPr>
          <w:rFonts w:ascii="Times New Roman" w:hAnsi="Times New Roman" w:cs="Times New Roman"/>
          <w:sz w:val="28"/>
        </w:rPr>
        <w:t xml:space="preserve"> рост. В свою очередь, экономическая безопасность государства, </w:t>
      </w:r>
      <w:r>
        <w:rPr>
          <w:rFonts w:ascii="Times New Roman" w:hAnsi="Times New Roman" w:cs="Times New Roman"/>
          <w:sz w:val="28"/>
        </w:rPr>
        <w:t>возможность предотвращать</w:t>
      </w:r>
      <w:r w:rsidR="001A6091" w:rsidRPr="001A6091">
        <w:rPr>
          <w:rFonts w:ascii="Times New Roman" w:hAnsi="Times New Roman" w:cs="Times New Roman"/>
          <w:sz w:val="28"/>
        </w:rPr>
        <w:t xml:space="preserve"> угроз</w:t>
      </w:r>
      <w:r>
        <w:rPr>
          <w:rFonts w:ascii="Times New Roman" w:hAnsi="Times New Roman" w:cs="Times New Roman"/>
          <w:sz w:val="28"/>
        </w:rPr>
        <w:t>ы, избегать риски и способность достигать</w:t>
      </w:r>
      <w:r w:rsidR="001A6091" w:rsidRPr="001A6091">
        <w:rPr>
          <w:rFonts w:ascii="Times New Roman" w:hAnsi="Times New Roman" w:cs="Times New Roman"/>
          <w:sz w:val="28"/>
        </w:rPr>
        <w:t xml:space="preserve"> поставленных целей в условиях конкуренции зависит от эффективной и безопасной организа</w:t>
      </w:r>
      <w:r w:rsidR="000C7637">
        <w:rPr>
          <w:rFonts w:ascii="Times New Roman" w:hAnsi="Times New Roman" w:cs="Times New Roman"/>
          <w:sz w:val="28"/>
        </w:rPr>
        <w:t>ции инвестиционной деятельности</w:t>
      </w:r>
      <w:r w:rsidR="001A6091" w:rsidRPr="001A6091">
        <w:rPr>
          <w:rFonts w:ascii="Times New Roman" w:hAnsi="Times New Roman" w:cs="Times New Roman"/>
          <w:sz w:val="28"/>
        </w:rPr>
        <w:t>.</w:t>
      </w:r>
    </w:p>
    <w:p w:rsidR="00990051" w:rsidRPr="00773D00" w:rsidRDefault="00990051" w:rsidP="003219F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этого, страна обладает ресурсоориентированной экономикой и при этом зависима от импорта, что становится серьезной проблемой в условиях санкций.</w:t>
      </w:r>
      <w:r w:rsidRPr="00B90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Подобная</w:t>
      </w:r>
      <w:r w:rsidRPr="007D1D12">
        <w:rPr>
          <w:rFonts w:ascii="Times New Roman" w:hAnsi="Times New Roman" w:cs="Times New Roman"/>
          <w:sz w:val="28"/>
        </w:rPr>
        <w:t xml:space="preserve"> ситуация </w:t>
      </w:r>
      <w:r>
        <w:rPr>
          <w:rFonts w:ascii="Times New Roman" w:hAnsi="Times New Roman" w:cs="Times New Roman"/>
          <w:sz w:val="28"/>
        </w:rPr>
        <w:t>возникает из-за низкого уровня</w:t>
      </w:r>
      <w:r w:rsidRPr="007D1D12">
        <w:rPr>
          <w:rFonts w:ascii="Times New Roman" w:hAnsi="Times New Roman" w:cs="Times New Roman"/>
          <w:sz w:val="28"/>
        </w:rPr>
        <w:t xml:space="preserve"> инвестиционной активности, </w:t>
      </w:r>
      <w:r>
        <w:rPr>
          <w:rFonts w:ascii="Times New Roman" w:hAnsi="Times New Roman" w:cs="Times New Roman"/>
          <w:sz w:val="28"/>
        </w:rPr>
        <w:t>а это способно привести к слабому уровню</w:t>
      </w:r>
      <w:r w:rsidRPr="007D1D12">
        <w:rPr>
          <w:rFonts w:ascii="Times New Roman" w:hAnsi="Times New Roman" w:cs="Times New Roman"/>
          <w:sz w:val="28"/>
        </w:rPr>
        <w:t xml:space="preserve"> инвестиционной безопасности</w:t>
      </w:r>
      <w:r w:rsidR="00773D00">
        <w:rPr>
          <w:rFonts w:ascii="Times New Roman" w:hAnsi="Times New Roman" w:cs="Times New Roman"/>
          <w:sz w:val="28"/>
        </w:rPr>
        <w:t>.</w:t>
      </w:r>
      <w:r w:rsidR="00773D00" w:rsidRPr="00773D00">
        <w:rPr>
          <w:rFonts w:ascii="Times New Roman" w:hAnsi="Times New Roman" w:cs="Times New Roman"/>
          <w:sz w:val="28"/>
        </w:rPr>
        <w:t>[</w:t>
      </w:r>
      <w:r w:rsidR="00773D00" w:rsidRPr="00BE4D8D">
        <w:rPr>
          <w:rFonts w:ascii="Times New Roman" w:hAnsi="Times New Roman" w:cs="Times New Roman"/>
          <w:sz w:val="28"/>
        </w:rPr>
        <w:t xml:space="preserve">13, </w:t>
      </w:r>
      <w:r w:rsidR="00BE4D8D">
        <w:rPr>
          <w:rFonts w:ascii="Times New Roman" w:hAnsi="Times New Roman" w:cs="Times New Roman"/>
          <w:sz w:val="28"/>
          <w:lang w:val="en-US"/>
        </w:rPr>
        <w:t>c</w:t>
      </w:r>
      <w:r w:rsidR="00BE4D8D" w:rsidRPr="00BE4D8D">
        <w:rPr>
          <w:rFonts w:ascii="Times New Roman" w:hAnsi="Times New Roman" w:cs="Times New Roman"/>
          <w:sz w:val="28"/>
        </w:rPr>
        <w:t xml:space="preserve"> </w:t>
      </w:r>
      <w:r w:rsidR="00773D00" w:rsidRPr="00BE4D8D">
        <w:rPr>
          <w:rFonts w:ascii="Times New Roman" w:hAnsi="Times New Roman" w:cs="Times New Roman"/>
          <w:sz w:val="28"/>
        </w:rPr>
        <w:t>113-114</w:t>
      </w:r>
      <w:r w:rsidR="00773D00" w:rsidRPr="00773D00">
        <w:rPr>
          <w:rFonts w:ascii="Times New Roman" w:hAnsi="Times New Roman" w:cs="Times New Roman"/>
          <w:sz w:val="28"/>
        </w:rPr>
        <w:t>]</w:t>
      </w:r>
    </w:p>
    <w:p w:rsidR="00165EB7" w:rsidRPr="006A7B03" w:rsidRDefault="00F4683C" w:rsidP="003219F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сказать, что и</w:t>
      </w:r>
      <w:r w:rsidR="00165EB7" w:rsidRPr="00165EB7">
        <w:rPr>
          <w:rFonts w:ascii="Times New Roman" w:hAnsi="Times New Roman" w:cs="Times New Roman"/>
          <w:sz w:val="28"/>
        </w:rPr>
        <w:t>н</w:t>
      </w:r>
      <w:r w:rsidR="00B52CD8">
        <w:rPr>
          <w:rFonts w:ascii="Times New Roman" w:hAnsi="Times New Roman" w:cs="Times New Roman"/>
          <w:sz w:val="28"/>
        </w:rPr>
        <w:t>вестиционная безопасность</w:t>
      </w:r>
      <w:r>
        <w:rPr>
          <w:rFonts w:ascii="Times New Roman" w:hAnsi="Times New Roman" w:cs="Times New Roman"/>
          <w:sz w:val="28"/>
        </w:rPr>
        <w:t xml:space="preserve"> </w:t>
      </w:r>
      <w:r w:rsidR="00B52CD8">
        <w:rPr>
          <w:rFonts w:ascii="Times New Roman" w:hAnsi="Times New Roman" w:cs="Times New Roman"/>
          <w:sz w:val="28"/>
        </w:rPr>
        <w:t>является таким</w:t>
      </w:r>
      <w:r w:rsidR="00165EB7" w:rsidRPr="00165EB7">
        <w:rPr>
          <w:rFonts w:ascii="Times New Roman" w:hAnsi="Times New Roman" w:cs="Times New Roman"/>
          <w:sz w:val="28"/>
        </w:rPr>
        <w:t xml:space="preserve"> состояние</w:t>
      </w:r>
      <w:r w:rsidR="00B52CD8">
        <w:rPr>
          <w:rFonts w:ascii="Times New Roman" w:hAnsi="Times New Roman" w:cs="Times New Roman"/>
          <w:sz w:val="28"/>
        </w:rPr>
        <w:t>м</w:t>
      </w:r>
      <w:r w:rsidR="00165EB7" w:rsidRPr="00165EB7">
        <w:rPr>
          <w:rFonts w:ascii="Times New Roman" w:hAnsi="Times New Roman" w:cs="Times New Roman"/>
          <w:sz w:val="28"/>
        </w:rPr>
        <w:t xml:space="preserve"> всех институтов инвестиционной</w:t>
      </w:r>
      <w:r w:rsidR="00B52CD8">
        <w:rPr>
          <w:rFonts w:ascii="Times New Roman" w:hAnsi="Times New Roman" w:cs="Times New Roman"/>
          <w:sz w:val="28"/>
        </w:rPr>
        <w:t xml:space="preserve"> </w:t>
      </w:r>
      <w:r w:rsidR="00165EB7" w:rsidRPr="00165EB7">
        <w:rPr>
          <w:rFonts w:ascii="Times New Roman" w:hAnsi="Times New Roman" w:cs="Times New Roman"/>
          <w:sz w:val="28"/>
        </w:rPr>
        <w:t xml:space="preserve">системы, при котором </w:t>
      </w:r>
      <w:r w:rsidR="00B52CD8">
        <w:rPr>
          <w:rFonts w:ascii="Times New Roman" w:hAnsi="Times New Roman" w:cs="Times New Roman"/>
          <w:sz w:val="28"/>
        </w:rPr>
        <w:t>гарантируется</w:t>
      </w:r>
      <w:r w:rsidR="00165EB7" w:rsidRPr="00165EB7">
        <w:rPr>
          <w:rFonts w:ascii="Times New Roman" w:hAnsi="Times New Roman" w:cs="Times New Roman"/>
          <w:sz w:val="28"/>
        </w:rPr>
        <w:t xml:space="preserve"> защита и </w:t>
      </w:r>
      <w:r w:rsidR="00B52CD8">
        <w:rPr>
          <w:rFonts w:ascii="Times New Roman" w:hAnsi="Times New Roman" w:cs="Times New Roman"/>
          <w:sz w:val="28"/>
        </w:rPr>
        <w:t>социальная ориентированность развития</w:t>
      </w:r>
      <w:r w:rsidR="00165EB7" w:rsidRPr="00165EB7">
        <w:rPr>
          <w:rFonts w:ascii="Times New Roman" w:hAnsi="Times New Roman" w:cs="Times New Roman"/>
          <w:sz w:val="28"/>
        </w:rPr>
        <w:t xml:space="preserve"> экономической системы и всей совокупности финансовых отношений и</w:t>
      </w:r>
      <w:r w:rsidR="00B52CD8">
        <w:rPr>
          <w:rFonts w:ascii="Times New Roman" w:hAnsi="Times New Roman" w:cs="Times New Roman"/>
          <w:sz w:val="28"/>
        </w:rPr>
        <w:t xml:space="preserve"> </w:t>
      </w:r>
      <w:r w:rsidR="00165EB7" w:rsidRPr="00165EB7">
        <w:rPr>
          <w:rFonts w:ascii="Times New Roman" w:hAnsi="Times New Roman" w:cs="Times New Roman"/>
          <w:sz w:val="28"/>
        </w:rPr>
        <w:t>процессов в стране.</w:t>
      </w:r>
      <w:r w:rsidR="00B52CD8">
        <w:rPr>
          <w:rFonts w:ascii="Times New Roman" w:hAnsi="Times New Roman" w:cs="Times New Roman"/>
          <w:sz w:val="28"/>
        </w:rPr>
        <w:t xml:space="preserve"> Данной сфере необходимо поддерживать непрерывное экономическое развитие страны и не</w:t>
      </w:r>
      <w:r w:rsidR="00D32F32">
        <w:rPr>
          <w:rFonts w:ascii="Times New Roman" w:hAnsi="Times New Roman" w:cs="Times New Roman"/>
          <w:sz w:val="28"/>
        </w:rPr>
        <w:t xml:space="preserve"> </w:t>
      </w:r>
      <w:r w:rsidR="00B52CD8">
        <w:rPr>
          <w:rFonts w:ascii="Times New Roman" w:hAnsi="Times New Roman" w:cs="Times New Roman"/>
          <w:sz w:val="28"/>
        </w:rPr>
        <w:t>допускать</w:t>
      </w:r>
      <w:r w:rsidR="00D32F32">
        <w:rPr>
          <w:rFonts w:ascii="Times New Roman" w:hAnsi="Times New Roman" w:cs="Times New Roman"/>
          <w:sz w:val="28"/>
        </w:rPr>
        <w:t xml:space="preserve"> падение конкурентоспособности России из-за недостатка инвестирования.</w:t>
      </w:r>
      <w:r w:rsidR="00165EB7" w:rsidRPr="00165EB7">
        <w:rPr>
          <w:rFonts w:ascii="Times New Roman" w:hAnsi="Times New Roman" w:cs="Times New Roman"/>
          <w:sz w:val="28"/>
        </w:rPr>
        <w:t xml:space="preserve"> Однако, в условиях кризиса, понятие инвестиционной безопасности несколько изменилось. Инвестиционной безопасностью России можно </w:t>
      </w:r>
      <w:r w:rsidR="00D32F32">
        <w:rPr>
          <w:rFonts w:ascii="Times New Roman" w:hAnsi="Times New Roman" w:cs="Times New Roman"/>
          <w:sz w:val="28"/>
        </w:rPr>
        <w:t>назвать</w:t>
      </w:r>
      <w:r w:rsidR="00165EB7" w:rsidRPr="00165EB7">
        <w:rPr>
          <w:rFonts w:ascii="Times New Roman" w:hAnsi="Times New Roman" w:cs="Times New Roman"/>
          <w:sz w:val="28"/>
        </w:rPr>
        <w:t xml:space="preserve"> независимость общероссийских и региональных процессов экономической деятельности и развития, а также связанных с ними производственных, научных и иных отраслей и предприятий от влияния иностранного капитала, инве</w:t>
      </w:r>
      <w:r w:rsidR="00D32F32">
        <w:rPr>
          <w:rFonts w:ascii="Times New Roman" w:hAnsi="Times New Roman" w:cs="Times New Roman"/>
          <w:sz w:val="28"/>
        </w:rPr>
        <w:t>стированного в экономику России</w:t>
      </w:r>
      <w:r w:rsidR="00165EB7" w:rsidRPr="00165EB7">
        <w:rPr>
          <w:rFonts w:ascii="Times New Roman" w:hAnsi="Times New Roman" w:cs="Times New Roman"/>
          <w:sz w:val="28"/>
        </w:rPr>
        <w:t>.</w:t>
      </w:r>
    </w:p>
    <w:p w:rsidR="00990051" w:rsidRPr="00990051" w:rsidRDefault="00990051" w:rsidP="000C76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32F32" w:rsidRPr="00203462" w:rsidRDefault="003B7400">
      <w:pPr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lastRenderedPageBreak/>
        <w:t xml:space="preserve">1.2 Инвестиционные </w:t>
      </w:r>
      <w:r>
        <w:rPr>
          <w:rFonts w:ascii="Times New Roman" w:hAnsi="Times New Roman" w:cs="Times New Roman"/>
          <w:sz w:val="28"/>
        </w:rPr>
        <w:t xml:space="preserve">риски и рискообразующие факторы </w:t>
      </w:r>
    </w:p>
    <w:p w:rsidR="00BE4D8D" w:rsidRPr="00203462" w:rsidRDefault="00BE4D8D">
      <w:pPr>
        <w:rPr>
          <w:rFonts w:ascii="Times New Roman" w:hAnsi="Times New Roman" w:cs="Times New Roman"/>
          <w:sz w:val="28"/>
        </w:rPr>
      </w:pPr>
    </w:p>
    <w:p w:rsidR="001E44C8" w:rsidRDefault="001E44C8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Рассматривая такое понятие как инвестиционная безопасность, можно заметить, что оно обладает  важными составляющими, без рассмотрения которых нельзя полностью раскрыть ее сущности. К таковым, в первую очередь, следует отнести общие рискообразующие факторы и инвестиционные риски, которые находятся в тесной взаимосвязи с рассматриваемым понятием. Рассмотрение </w:t>
      </w:r>
      <w:r w:rsidR="000013B5">
        <w:rPr>
          <w:rFonts w:ascii="Times New Roman" w:hAnsi="Times New Roman" w:cs="Times New Roman"/>
          <w:sz w:val="28"/>
        </w:rPr>
        <w:t>конкретно инвестиционных рискообразующих факторов будет предложено в пункте 2.2.</w:t>
      </w:r>
    </w:p>
    <w:p w:rsidR="00EA1019" w:rsidRDefault="00E178D4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2F32">
        <w:rPr>
          <w:rFonts w:ascii="Times New Roman" w:hAnsi="Times New Roman" w:cs="Times New Roman"/>
          <w:sz w:val="28"/>
        </w:rPr>
        <w:t>В специальной литературе отсутствует ед</w:t>
      </w:r>
      <w:r w:rsidR="009E0FB8">
        <w:rPr>
          <w:rFonts w:ascii="Times New Roman" w:hAnsi="Times New Roman" w:cs="Times New Roman"/>
          <w:sz w:val="28"/>
        </w:rPr>
        <w:t>иное мнение</w:t>
      </w:r>
      <w:r w:rsidRPr="00D32F32">
        <w:rPr>
          <w:rFonts w:ascii="Times New Roman" w:hAnsi="Times New Roman" w:cs="Times New Roman"/>
          <w:sz w:val="28"/>
        </w:rPr>
        <w:t xml:space="preserve"> среди ученых </w:t>
      </w:r>
      <w:r w:rsidR="009E0FB8">
        <w:rPr>
          <w:rFonts w:ascii="Times New Roman" w:hAnsi="Times New Roman" w:cs="Times New Roman"/>
          <w:sz w:val="28"/>
        </w:rPr>
        <w:t>касающееся вопросов</w:t>
      </w:r>
      <w:r w:rsidRPr="00D32F32">
        <w:rPr>
          <w:rFonts w:ascii="Times New Roman" w:hAnsi="Times New Roman" w:cs="Times New Roman"/>
          <w:sz w:val="28"/>
        </w:rPr>
        <w:t xml:space="preserve"> классификации рискообразующих факторов инвестиционной безопасности. Однако </w:t>
      </w:r>
      <w:r w:rsidR="009E0FB8">
        <w:rPr>
          <w:rFonts w:ascii="Times New Roman" w:hAnsi="Times New Roman" w:cs="Times New Roman"/>
          <w:sz w:val="28"/>
        </w:rPr>
        <w:t>чаще всего можно встретить</w:t>
      </w:r>
      <w:r w:rsidR="00EA1019">
        <w:rPr>
          <w:rFonts w:ascii="Times New Roman" w:hAnsi="Times New Roman" w:cs="Times New Roman"/>
          <w:sz w:val="28"/>
        </w:rPr>
        <w:t xml:space="preserve"> подход утверждающий, что э</w:t>
      </w:r>
      <w:r w:rsidR="00EA1019" w:rsidRPr="00B101A7">
        <w:rPr>
          <w:rFonts w:ascii="Times New Roman" w:hAnsi="Times New Roman" w:cs="Times New Roman"/>
          <w:sz w:val="28"/>
        </w:rPr>
        <w:t>кономическая безопасность</w:t>
      </w:r>
      <w:r w:rsidR="001E44C8">
        <w:rPr>
          <w:rFonts w:ascii="Times New Roman" w:hAnsi="Times New Roman" w:cs="Times New Roman"/>
          <w:sz w:val="28"/>
        </w:rPr>
        <w:t>, частью которой является инвестиционная безопасность,</w:t>
      </w:r>
      <w:r w:rsidR="00EA1019" w:rsidRPr="00B101A7">
        <w:rPr>
          <w:rFonts w:ascii="Times New Roman" w:hAnsi="Times New Roman" w:cs="Times New Roman"/>
          <w:sz w:val="28"/>
        </w:rPr>
        <w:t xml:space="preserve"> </w:t>
      </w:r>
      <w:r w:rsidR="001E44C8">
        <w:rPr>
          <w:rFonts w:ascii="Times New Roman" w:hAnsi="Times New Roman" w:cs="Times New Roman"/>
          <w:sz w:val="28"/>
        </w:rPr>
        <w:t>представляет собой</w:t>
      </w:r>
      <w:r w:rsidR="00EA1019" w:rsidRPr="00B101A7">
        <w:rPr>
          <w:rFonts w:ascii="Times New Roman" w:hAnsi="Times New Roman" w:cs="Times New Roman"/>
          <w:sz w:val="28"/>
        </w:rPr>
        <w:t xml:space="preserve"> совокупность внутренних и внешних </w:t>
      </w:r>
      <w:r w:rsidR="00494914">
        <w:rPr>
          <w:rFonts w:ascii="Times New Roman" w:hAnsi="Times New Roman" w:cs="Times New Roman"/>
          <w:sz w:val="28"/>
        </w:rPr>
        <w:t>факторов</w:t>
      </w:r>
      <w:r w:rsidR="00EA1019" w:rsidRPr="00B101A7">
        <w:rPr>
          <w:rFonts w:ascii="Times New Roman" w:hAnsi="Times New Roman" w:cs="Times New Roman"/>
          <w:sz w:val="28"/>
        </w:rPr>
        <w:t>,</w:t>
      </w:r>
      <w:r w:rsidR="00494914">
        <w:rPr>
          <w:rFonts w:ascii="Times New Roman" w:hAnsi="Times New Roman" w:cs="Times New Roman"/>
          <w:sz w:val="28"/>
        </w:rPr>
        <w:t xml:space="preserve"> влияющих на возникновение эффективного динамического роста</w:t>
      </w:r>
      <w:r w:rsidR="00EA1019" w:rsidRPr="00B101A7">
        <w:rPr>
          <w:rFonts w:ascii="Times New Roman" w:hAnsi="Times New Roman" w:cs="Times New Roman"/>
          <w:sz w:val="28"/>
        </w:rPr>
        <w:t xml:space="preserve"> национальной экономики, ее способности удовлетворять потребности общества, государства, индивида,</w:t>
      </w:r>
      <w:r w:rsidR="00494914">
        <w:rPr>
          <w:rFonts w:ascii="Times New Roman" w:hAnsi="Times New Roman" w:cs="Times New Roman"/>
          <w:sz w:val="28"/>
        </w:rPr>
        <w:t xml:space="preserve"> а также</w:t>
      </w:r>
      <w:r w:rsidR="00EA1019" w:rsidRPr="00B101A7">
        <w:rPr>
          <w:rFonts w:ascii="Times New Roman" w:hAnsi="Times New Roman" w:cs="Times New Roman"/>
          <w:sz w:val="28"/>
        </w:rPr>
        <w:t xml:space="preserve"> обеспечивать конкурентоспособность на внешних рынках, </w:t>
      </w:r>
      <w:r w:rsidR="00494914">
        <w:rPr>
          <w:rFonts w:ascii="Times New Roman" w:hAnsi="Times New Roman" w:cs="Times New Roman"/>
          <w:sz w:val="28"/>
        </w:rPr>
        <w:t>которая дает гарантию о</w:t>
      </w:r>
      <w:r w:rsidR="00EA1019" w:rsidRPr="00B101A7">
        <w:rPr>
          <w:rFonts w:ascii="Times New Roman" w:hAnsi="Times New Roman" w:cs="Times New Roman"/>
          <w:sz w:val="28"/>
        </w:rPr>
        <w:t xml:space="preserve">т различного рода </w:t>
      </w:r>
      <w:r w:rsidR="00494914">
        <w:rPr>
          <w:rFonts w:ascii="Times New Roman" w:hAnsi="Times New Roman" w:cs="Times New Roman"/>
          <w:sz w:val="28"/>
        </w:rPr>
        <w:t>угроз и потерь. Следует выделить, что влияние</w:t>
      </w:r>
      <w:r w:rsidR="00EA1019" w:rsidRPr="00B101A7">
        <w:rPr>
          <w:rFonts w:ascii="Times New Roman" w:hAnsi="Times New Roman" w:cs="Times New Roman"/>
          <w:sz w:val="28"/>
        </w:rPr>
        <w:t xml:space="preserve"> всех внешних и большинства внутренних </w:t>
      </w:r>
      <w:r w:rsidR="00EA1019">
        <w:rPr>
          <w:rFonts w:ascii="Times New Roman" w:hAnsi="Times New Roman" w:cs="Times New Roman"/>
          <w:sz w:val="28"/>
        </w:rPr>
        <w:t>факторов</w:t>
      </w:r>
      <w:r w:rsidR="00EA1019" w:rsidRPr="00B101A7">
        <w:rPr>
          <w:rFonts w:ascii="Times New Roman" w:hAnsi="Times New Roman" w:cs="Times New Roman"/>
          <w:sz w:val="28"/>
        </w:rPr>
        <w:t xml:space="preserve"> экономической безопасности России </w:t>
      </w:r>
      <w:r w:rsidR="00494914">
        <w:rPr>
          <w:rFonts w:ascii="Times New Roman" w:hAnsi="Times New Roman" w:cs="Times New Roman"/>
          <w:sz w:val="28"/>
        </w:rPr>
        <w:t xml:space="preserve">наиболее ярко </w:t>
      </w:r>
      <w:r w:rsidR="00EA1019" w:rsidRPr="00B101A7">
        <w:rPr>
          <w:rFonts w:ascii="Times New Roman" w:hAnsi="Times New Roman" w:cs="Times New Roman"/>
          <w:sz w:val="28"/>
        </w:rPr>
        <w:t>проявляется</w:t>
      </w:r>
      <w:r w:rsidR="00BE4D8D" w:rsidRPr="00BE4D8D">
        <w:rPr>
          <w:rFonts w:ascii="Times New Roman" w:hAnsi="Times New Roman" w:cs="Times New Roman"/>
          <w:sz w:val="28"/>
        </w:rPr>
        <w:t>,</w:t>
      </w:r>
      <w:r w:rsidR="00EA1019" w:rsidRPr="00B101A7">
        <w:rPr>
          <w:rFonts w:ascii="Times New Roman" w:hAnsi="Times New Roman" w:cs="Times New Roman"/>
          <w:sz w:val="28"/>
        </w:rPr>
        <w:t xml:space="preserve"> прежде всего</w:t>
      </w:r>
      <w:r w:rsidR="00BE4D8D" w:rsidRPr="00BE4D8D">
        <w:rPr>
          <w:rFonts w:ascii="Times New Roman" w:hAnsi="Times New Roman" w:cs="Times New Roman"/>
          <w:sz w:val="28"/>
        </w:rPr>
        <w:t>,</w:t>
      </w:r>
      <w:r w:rsidR="00EA1019" w:rsidRPr="00B101A7">
        <w:rPr>
          <w:rFonts w:ascii="Times New Roman" w:hAnsi="Times New Roman" w:cs="Times New Roman"/>
          <w:sz w:val="28"/>
        </w:rPr>
        <w:t xml:space="preserve"> на государственной границе. Соответственно, </w:t>
      </w:r>
      <w:r w:rsidR="00494914">
        <w:rPr>
          <w:rFonts w:ascii="Times New Roman" w:hAnsi="Times New Roman" w:cs="Times New Roman"/>
          <w:sz w:val="28"/>
        </w:rPr>
        <w:t>мероприятия</w:t>
      </w:r>
      <w:r w:rsidR="00EA1019" w:rsidRPr="00B101A7">
        <w:rPr>
          <w:rFonts w:ascii="Times New Roman" w:hAnsi="Times New Roman" w:cs="Times New Roman"/>
          <w:sz w:val="28"/>
        </w:rPr>
        <w:t xml:space="preserve"> по защите эконо</w:t>
      </w:r>
      <w:r w:rsidR="00494914">
        <w:rPr>
          <w:rFonts w:ascii="Times New Roman" w:hAnsi="Times New Roman" w:cs="Times New Roman"/>
          <w:sz w:val="28"/>
        </w:rPr>
        <w:t>мических интересов страны должны</w:t>
      </w:r>
      <w:r w:rsidR="00EA1019" w:rsidRPr="00B101A7">
        <w:rPr>
          <w:rFonts w:ascii="Times New Roman" w:hAnsi="Times New Roman" w:cs="Times New Roman"/>
          <w:sz w:val="28"/>
        </w:rPr>
        <w:t xml:space="preserve"> </w:t>
      </w:r>
      <w:r w:rsidR="00494914">
        <w:rPr>
          <w:rFonts w:ascii="Times New Roman" w:hAnsi="Times New Roman" w:cs="Times New Roman"/>
          <w:sz w:val="28"/>
        </w:rPr>
        <w:t>проводиться</w:t>
      </w:r>
      <w:r w:rsidR="00EA1019" w:rsidRPr="00B101A7">
        <w:rPr>
          <w:rFonts w:ascii="Times New Roman" w:hAnsi="Times New Roman" w:cs="Times New Roman"/>
          <w:sz w:val="28"/>
        </w:rPr>
        <w:t xml:space="preserve"> в первую очередь в пограничном пространстве России.  </w:t>
      </w:r>
      <w:r w:rsidR="000A01F8">
        <w:rPr>
          <w:rFonts w:ascii="Times New Roman" w:hAnsi="Times New Roman" w:cs="Times New Roman"/>
          <w:sz w:val="28"/>
        </w:rPr>
        <w:t>На данный момент можно обозначить набор факторов, которые проявляются при возникновении угроз</w:t>
      </w:r>
      <w:r w:rsidR="00EA1019" w:rsidRPr="00B101A7">
        <w:rPr>
          <w:rFonts w:ascii="Times New Roman" w:hAnsi="Times New Roman" w:cs="Times New Roman"/>
          <w:sz w:val="28"/>
        </w:rPr>
        <w:t>:</w:t>
      </w:r>
    </w:p>
    <w:p w:rsidR="000A01F8" w:rsidRDefault="00EA1019" w:rsidP="001B648C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1. </w:t>
      </w:r>
      <w:r w:rsidR="000A01F8">
        <w:rPr>
          <w:rFonts w:ascii="Times New Roman" w:hAnsi="Times New Roman" w:cs="Times New Roman"/>
          <w:sz w:val="28"/>
        </w:rPr>
        <w:t xml:space="preserve">Угрозы способны обострить противоречия между экономическими интересами, что вызовет необходимость </w:t>
      </w:r>
      <w:r w:rsidR="001B648C">
        <w:rPr>
          <w:rFonts w:ascii="Times New Roman" w:hAnsi="Times New Roman" w:cs="Times New Roman"/>
          <w:sz w:val="28"/>
        </w:rPr>
        <w:t xml:space="preserve">воспользоваться средствами экономической безопасности для их защиты. Данные мероприятия, с одной </w:t>
      </w:r>
      <w:r w:rsidR="001B648C">
        <w:rPr>
          <w:rFonts w:ascii="Times New Roman" w:hAnsi="Times New Roman" w:cs="Times New Roman"/>
          <w:sz w:val="28"/>
        </w:rPr>
        <w:lastRenderedPageBreak/>
        <w:t xml:space="preserve">стороны, создают дополнительную нагрузку на бюджет страны, а с другой – служат источником экономического развития.    </w:t>
      </w:r>
    </w:p>
    <w:p w:rsidR="001B648C" w:rsidRPr="00203462" w:rsidRDefault="00EA1019" w:rsidP="00BE4D8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2. Угрозы, выполняя преимущественно деструктивную роль по отношению к экономическим интересам и экономической безопасности государства, в то же время </w:t>
      </w:r>
      <w:r w:rsidR="00B47D25">
        <w:rPr>
          <w:rFonts w:ascii="Times New Roman" w:hAnsi="Times New Roman" w:cs="Times New Roman"/>
          <w:sz w:val="28"/>
        </w:rPr>
        <w:t>выступают</w:t>
      </w:r>
      <w:r w:rsidRPr="00B101A7">
        <w:rPr>
          <w:rFonts w:ascii="Times New Roman" w:hAnsi="Times New Roman" w:cs="Times New Roman"/>
          <w:sz w:val="28"/>
        </w:rPr>
        <w:t xml:space="preserve"> сигнализаторами о неблагополучии в</w:t>
      </w:r>
      <w:r w:rsidR="00B47D25">
        <w:rPr>
          <w:rFonts w:ascii="Times New Roman" w:hAnsi="Times New Roman" w:cs="Times New Roman"/>
          <w:sz w:val="28"/>
        </w:rPr>
        <w:t xml:space="preserve"> тех или иных сферах экономики и </w:t>
      </w:r>
      <w:r w:rsidRPr="00B101A7">
        <w:rPr>
          <w:rFonts w:ascii="Times New Roman" w:hAnsi="Times New Roman" w:cs="Times New Roman"/>
          <w:sz w:val="28"/>
        </w:rPr>
        <w:t xml:space="preserve">социальной жизни. </w:t>
      </w:r>
    </w:p>
    <w:p w:rsidR="00EA1019" w:rsidRDefault="00EA1019" w:rsidP="00EA1019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3. Угрозы способствуют возникновению у </w:t>
      </w:r>
      <w:r w:rsidR="007B38A0">
        <w:rPr>
          <w:rFonts w:ascii="Times New Roman" w:hAnsi="Times New Roman" w:cs="Times New Roman"/>
          <w:sz w:val="28"/>
        </w:rPr>
        <w:t xml:space="preserve">экономических субъектов </w:t>
      </w:r>
      <w:r w:rsidRPr="00B101A7">
        <w:rPr>
          <w:rFonts w:ascii="Times New Roman" w:hAnsi="Times New Roman" w:cs="Times New Roman"/>
          <w:sz w:val="28"/>
        </w:rPr>
        <w:t xml:space="preserve">дополнительной внутренней готовности к прогнозированию, блокированию и нейтрализации </w:t>
      </w:r>
      <w:r w:rsidR="007B38A0">
        <w:rPr>
          <w:rFonts w:ascii="Times New Roman" w:hAnsi="Times New Roman" w:cs="Times New Roman"/>
          <w:sz w:val="28"/>
        </w:rPr>
        <w:t>возможных</w:t>
      </w:r>
      <w:r w:rsidRPr="00B101A7">
        <w:rPr>
          <w:rFonts w:ascii="Times New Roman" w:hAnsi="Times New Roman" w:cs="Times New Roman"/>
          <w:sz w:val="28"/>
        </w:rPr>
        <w:t xml:space="preserve"> опасностей, рисков, катаклизмов, факторов, которые могут нанести ущерб экономике страны. </w:t>
      </w:r>
    </w:p>
    <w:p w:rsidR="00EA1019" w:rsidRDefault="00EA1019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Непосредственную опасность экономическим интересам создают экономические угрозы, нарушающие нормальный ход общественного воспроизводства. </w:t>
      </w:r>
    </w:p>
    <w:p w:rsidR="00BE4D8D" w:rsidRDefault="00EA1019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К внешним </w:t>
      </w:r>
      <w:r w:rsidR="000013B5">
        <w:rPr>
          <w:rFonts w:ascii="Times New Roman" w:hAnsi="Times New Roman" w:cs="Times New Roman"/>
          <w:sz w:val="28"/>
        </w:rPr>
        <w:t>следует отнести</w:t>
      </w:r>
      <w:r w:rsidR="00BE4D8D">
        <w:rPr>
          <w:rFonts w:ascii="Times New Roman" w:hAnsi="Times New Roman" w:cs="Times New Roman"/>
          <w:sz w:val="28"/>
        </w:rPr>
        <w:t>,</w:t>
      </w:r>
      <w:r w:rsidRPr="00B101A7">
        <w:rPr>
          <w:rFonts w:ascii="Times New Roman" w:hAnsi="Times New Roman" w:cs="Times New Roman"/>
          <w:sz w:val="28"/>
        </w:rPr>
        <w:t xml:space="preserve"> преж</w:t>
      </w:r>
      <w:r w:rsidR="007B38A0">
        <w:rPr>
          <w:rFonts w:ascii="Times New Roman" w:hAnsi="Times New Roman" w:cs="Times New Roman"/>
          <w:sz w:val="28"/>
        </w:rPr>
        <w:t>де всего</w:t>
      </w:r>
      <w:r w:rsidR="00BE4D8D">
        <w:rPr>
          <w:rFonts w:ascii="Times New Roman" w:hAnsi="Times New Roman" w:cs="Times New Roman"/>
          <w:sz w:val="28"/>
        </w:rPr>
        <w:t>,</w:t>
      </w:r>
      <w:r w:rsidR="007B38A0">
        <w:rPr>
          <w:rFonts w:ascii="Times New Roman" w:hAnsi="Times New Roman" w:cs="Times New Roman"/>
          <w:sz w:val="28"/>
        </w:rPr>
        <w:t xml:space="preserve"> факторы геополитического</w:t>
      </w:r>
      <w:r w:rsidRPr="00B101A7">
        <w:rPr>
          <w:rFonts w:ascii="Times New Roman" w:hAnsi="Times New Roman" w:cs="Times New Roman"/>
          <w:sz w:val="28"/>
        </w:rPr>
        <w:t xml:space="preserve"> и внешнеэкономическ</w:t>
      </w:r>
      <w:r w:rsidR="007B38A0">
        <w:rPr>
          <w:rFonts w:ascii="Times New Roman" w:hAnsi="Times New Roman" w:cs="Times New Roman"/>
          <w:sz w:val="28"/>
        </w:rPr>
        <w:t>ого характера</w:t>
      </w:r>
      <w:r w:rsidRPr="00B101A7">
        <w:rPr>
          <w:rFonts w:ascii="Times New Roman" w:hAnsi="Times New Roman" w:cs="Times New Roman"/>
          <w:sz w:val="28"/>
        </w:rPr>
        <w:t>, а также глобальные экологические процессы. Внешнеэкономическая безопасность в условиях открытой экономики требует:</w:t>
      </w:r>
    </w:p>
    <w:p w:rsidR="00BE4D8D" w:rsidRDefault="00EA1019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во-первых, чтобы участие страны в мирохозяйственных связях создавало наиболее благоприятные условия национального производства;</w:t>
      </w:r>
    </w:p>
    <w:p w:rsidR="00EA1019" w:rsidRPr="00BE4D8D" w:rsidRDefault="00EA1019" w:rsidP="00EA10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во-вторых, чтобы национальная экономика в наименьшей степени ощущала неблагоприятное развитие событий в мире, как в экономической, так и в политической области, хотя полностью избежать этого влияния в условиях открытой экономики невозможно.</w:t>
      </w:r>
      <w:r w:rsidR="00BE4D8D">
        <w:rPr>
          <w:rFonts w:ascii="Times New Roman" w:hAnsi="Times New Roman" w:cs="Times New Roman"/>
          <w:sz w:val="28"/>
        </w:rPr>
        <w:t xml:space="preserve"> </w:t>
      </w:r>
      <w:r w:rsidR="00BE4D8D" w:rsidRPr="00BE4D8D">
        <w:rPr>
          <w:rFonts w:ascii="Times New Roman" w:hAnsi="Times New Roman" w:cs="Times New Roman"/>
          <w:sz w:val="28"/>
        </w:rPr>
        <w:t>[</w:t>
      </w:r>
      <w:r w:rsidR="00BE4D8D">
        <w:rPr>
          <w:rFonts w:ascii="Times New Roman" w:hAnsi="Times New Roman" w:cs="Times New Roman"/>
          <w:sz w:val="28"/>
        </w:rPr>
        <w:t>5, с 190</w:t>
      </w:r>
      <w:r w:rsidR="00BE4D8D" w:rsidRPr="00BE4D8D">
        <w:rPr>
          <w:rFonts w:ascii="Times New Roman" w:hAnsi="Times New Roman" w:cs="Times New Roman"/>
          <w:sz w:val="28"/>
        </w:rPr>
        <w:t>]</w:t>
      </w:r>
    </w:p>
    <w:p w:rsidR="00507AE8" w:rsidRDefault="00E178D4" w:rsidP="00D32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2F32">
        <w:rPr>
          <w:rFonts w:ascii="Times New Roman" w:hAnsi="Times New Roman" w:cs="Times New Roman"/>
          <w:sz w:val="28"/>
        </w:rPr>
        <w:t xml:space="preserve"> </w:t>
      </w:r>
      <w:r w:rsidR="000013B5">
        <w:rPr>
          <w:rFonts w:ascii="Times New Roman" w:hAnsi="Times New Roman" w:cs="Times New Roman"/>
          <w:sz w:val="28"/>
        </w:rPr>
        <w:t xml:space="preserve">Рассмотрим следующую составляющую. </w:t>
      </w:r>
      <w:r w:rsidR="009E0FB8">
        <w:rPr>
          <w:rFonts w:ascii="Times New Roman" w:hAnsi="Times New Roman" w:cs="Times New Roman"/>
          <w:sz w:val="28"/>
        </w:rPr>
        <w:t xml:space="preserve">Рано или поздно любому вкладчику средств в активы приходится столкнуться с таким понятием, как инвестиционные риски. </w:t>
      </w:r>
      <w:r w:rsidRPr="00D32F32">
        <w:rPr>
          <w:rFonts w:ascii="Times New Roman" w:hAnsi="Times New Roman" w:cs="Times New Roman"/>
          <w:sz w:val="28"/>
        </w:rPr>
        <w:t xml:space="preserve">Они </w:t>
      </w:r>
      <w:r w:rsidR="009E0FB8">
        <w:rPr>
          <w:rFonts w:ascii="Times New Roman" w:hAnsi="Times New Roman" w:cs="Times New Roman"/>
          <w:sz w:val="28"/>
        </w:rPr>
        <w:t>подразумевают вероятность столкнуться с отсутствием прибыли, либо возможност</w:t>
      </w:r>
      <w:r w:rsidR="00507AE8">
        <w:rPr>
          <w:rFonts w:ascii="Times New Roman" w:hAnsi="Times New Roman" w:cs="Times New Roman"/>
          <w:sz w:val="28"/>
        </w:rPr>
        <w:t>ь</w:t>
      </w:r>
      <w:r w:rsidR="009E0FB8">
        <w:rPr>
          <w:rFonts w:ascii="Times New Roman" w:hAnsi="Times New Roman" w:cs="Times New Roman"/>
          <w:sz w:val="28"/>
        </w:rPr>
        <w:t>ю понести убытки от совершенной сделки под воздействием ряда факторов</w:t>
      </w:r>
      <w:r w:rsidRPr="00D32F32">
        <w:rPr>
          <w:rFonts w:ascii="Times New Roman" w:hAnsi="Times New Roman" w:cs="Times New Roman"/>
          <w:sz w:val="28"/>
        </w:rPr>
        <w:t>. Инвестору</w:t>
      </w:r>
      <w:r w:rsidR="00507AE8">
        <w:rPr>
          <w:rFonts w:ascii="Times New Roman" w:hAnsi="Times New Roman" w:cs="Times New Roman"/>
          <w:sz w:val="28"/>
        </w:rPr>
        <w:t xml:space="preserve"> следует</w:t>
      </w:r>
      <w:r w:rsidRPr="00D32F32">
        <w:rPr>
          <w:rFonts w:ascii="Times New Roman" w:hAnsi="Times New Roman" w:cs="Times New Roman"/>
          <w:sz w:val="28"/>
        </w:rPr>
        <w:t xml:space="preserve"> помнить </w:t>
      </w:r>
      <w:r w:rsidR="00507AE8">
        <w:rPr>
          <w:rFonts w:ascii="Times New Roman" w:hAnsi="Times New Roman" w:cs="Times New Roman"/>
          <w:sz w:val="28"/>
        </w:rPr>
        <w:t>основное</w:t>
      </w:r>
      <w:r w:rsidRPr="00D32F32">
        <w:rPr>
          <w:rFonts w:ascii="Times New Roman" w:hAnsi="Times New Roman" w:cs="Times New Roman"/>
          <w:sz w:val="28"/>
        </w:rPr>
        <w:t xml:space="preserve"> правило, которое </w:t>
      </w:r>
      <w:r w:rsidR="00507AE8">
        <w:rPr>
          <w:rFonts w:ascii="Times New Roman" w:hAnsi="Times New Roman" w:cs="Times New Roman"/>
          <w:sz w:val="28"/>
        </w:rPr>
        <w:t>говорит о том</w:t>
      </w:r>
      <w:r w:rsidRPr="00D32F32">
        <w:rPr>
          <w:rFonts w:ascii="Times New Roman" w:hAnsi="Times New Roman" w:cs="Times New Roman"/>
          <w:sz w:val="28"/>
        </w:rPr>
        <w:t>, что прибыль и риск</w:t>
      </w:r>
      <w:r w:rsidR="00507AE8">
        <w:rPr>
          <w:rFonts w:ascii="Times New Roman" w:hAnsi="Times New Roman" w:cs="Times New Roman"/>
          <w:sz w:val="28"/>
        </w:rPr>
        <w:t xml:space="preserve"> прямо </w:t>
      </w:r>
      <w:r w:rsidR="00507AE8">
        <w:rPr>
          <w:rFonts w:ascii="Times New Roman" w:hAnsi="Times New Roman" w:cs="Times New Roman"/>
          <w:sz w:val="28"/>
        </w:rPr>
        <w:lastRenderedPageBreak/>
        <w:t>зависимы друг от друга</w:t>
      </w:r>
      <w:r w:rsidRPr="00D32F32">
        <w:rPr>
          <w:rFonts w:ascii="Times New Roman" w:hAnsi="Times New Roman" w:cs="Times New Roman"/>
          <w:sz w:val="28"/>
        </w:rPr>
        <w:t xml:space="preserve">. То есть, чем больше </w:t>
      </w:r>
      <w:r w:rsidR="00507AE8">
        <w:rPr>
          <w:rFonts w:ascii="Times New Roman" w:hAnsi="Times New Roman" w:cs="Times New Roman"/>
          <w:sz w:val="28"/>
        </w:rPr>
        <w:t>уровень планируемого дохода, тем выш</w:t>
      </w:r>
      <w:r w:rsidRPr="00D32F32">
        <w:rPr>
          <w:rFonts w:ascii="Times New Roman" w:hAnsi="Times New Roman" w:cs="Times New Roman"/>
          <w:sz w:val="28"/>
        </w:rPr>
        <w:t>е вероятность наступления неблагоприятной ситуации</w:t>
      </w:r>
      <w:r w:rsidR="00BE4D8D">
        <w:rPr>
          <w:rFonts w:ascii="Times New Roman" w:hAnsi="Times New Roman" w:cs="Times New Roman"/>
          <w:sz w:val="28"/>
        </w:rPr>
        <w:t xml:space="preserve">. </w:t>
      </w:r>
      <w:r w:rsidRPr="00BE4D8D">
        <w:rPr>
          <w:rFonts w:ascii="Times New Roman" w:hAnsi="Times New Roman" w:cs="Times New Roman"/>
          <w:sz w:val="28"/>
        </w:rPr>
        <w:t>[</w:t>
      </w:r>
      <w:r w:rsidR="00BE4D8D" w:rsidRPr="00BE4D8D">
        <w:rPr>
          <w:rFonts w:ascii="Times New Roman" w:hAnsi="Times New Roman" w:cs="Times New Roman"/>
          <w:sz w:val="28"/>
        </w:rPr>
        <w:t>18</w:t>
      </w:r>
      <w:r w:rsidR="00BE4D8D">
        <w:rPr>
          <w:rFonts w:ascii="Times New Roman" w:hAnsi="Times New Roman" w:cs="Times New Roman"/>
          <w:sz w:val="28"/>
        </w:rPr>
        <w:t>, с</w:t>
      </w:r>
      <w:r w:rsidRPr="00BE4D8D">
        <w:rPr>
          <w:rFonts w:ascii="Times New Roman" w:hAnsi="Times New Roman" w:cs="Times New Roman"/>
          <w:sz w:val="28"/>
        </w:rPr>
        <w:t xml:space="preserve"> 331].</w:t>
      </w:r>
    </w:p>
    <w:p w:rsidR="00E72425" w:rsidRDefault="00E178D4" w:rsidP="00D32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2F32">
        <w:rPr>
          <w:rFonts w:ascii="Times New Roman" w:hAnsi="Times New Roman" w:cs="Times New Roman"/>
          <w:sz w:val="28"/>
        </w:rPr>
        <w:t xml:space="preserve">Инвестиционные риски </w:t>
      </w:r>
      <w:r w:rsidR="00180A1D">
        <w:rPr>
          <w:rFonts w:ascii="Times New Roman" w:hAnsi="Times New Roman" w:cs="Times New Roman"/>
          <w:sz w:val="28"/>
        </w:rPr>
        <w:t>подлежат контролю</w:t>
      </w:r>
      <w:r w:rsidRPr="00D32F32">
        <w:rPr>
          <w:rFonts w:ascii="Times New Roman" w:hAnsi="Times New Roman" w:cs="Times New Roman"/>
          <w:sz w:val="28"/>
        </w:rPr>
        <w:t xml:space="preserve">, </w:t>
      </w:r>
      <w:r w:rsidR="00180A1D">
        <w:rPr>
          <w:rFonts w:ascii="Times New Roman" w:hAnsi="Times New Roman" w:cs="Times New Roman"/>
          <w:sz w:val="28"/>
        </w:rPr>
        <w:t>но</w:t>
      </w:r>
      <w:r w:rsidRPr="00D32F32">
        <w:rPr>
          <w:rFonts w:ascii="Times New Roman" w:hAnsi="Times New Roman" w:cs="Times New Roman"/>
          <w:sz w:val="28"/>
        </w:rPr>
        <w:t xml:space="preserve"> для этого следует знать, какие их виды существуют, а также изучить </w:t>
      </w:r>
      <w:r w:rsidR="00180A1D">
        <w:rPr>
          <w:rFonts w:ascii="Times New Roman" w:hAnsi="Times New Roman" w:cs="Times New Roman"/>
          <w:sz w:val="28"/>
        </w:rPr>
        <w:t>какими способами можно на них воздействовать</w:t>
      </w:r>
      <w:r w:rsidRPr="00D32F32">
        <w:rPr>
          <w:rFonts w:ascii="Times New Roman" w:hAnsi="Times New Roman" w:cs="Times New Roman"/>
          <w:sz w:val="28"/>
        </w:rPr>
        <w:t xml:space="preserve">. Бизнесмену </w:t>
      </w:r>
      <w:r w:rsidR="00180A1D">
        <w:rPr>
          <w:rFonts w:ascii="Times New Roman" w:hAnsi="Times New Roman" w:cs="Times New Roman"/>
          <w:sz w:val="28"/>
        </w:rPr>
        <w:t>для начала нужно определиться с результатом</w:t>
      </w:r>
      <w:r w:rsidRPr="00D32F32">
        <w:rPr>
          <w:rFonts w:ascii="Times New Roman" w:hAnsi="Times New Roman" w:cs="Times New Roman"/>
          <w:sz w:val="28"/>
        </w:rPr>
        <w:t xml:space="preserve">, который он </w:t>
      </w:r>
      <w:r w:rsidR="00180A1D">
        <w:rPr>
          <w:rFonts w:ascii="Times New Roman" w:hAnsi="Times New Roman" w:cs="Times New Roman"/>
          <w:sz w:val="28"/>
        </w:rPr>
        <w:t>ожидает</w:t>
      </w:r>
      <w:r w:rsidRPr="00D32F32">
        <w:rPr>
          <w:rFonts w:ascii="Times New Roman" w:hAnsi="Times New Roman" w:cs="Times New Roman"/>
          <w:sz w:val="28"/>
        </w:rPr>
        <w:t xml:space="preserve"> </w:t>
      </w:r>
      <w:r w:rsidR="00180A1D">
        <w:rPr>
          <w:rFonts w:ascii="Times New Roman" w:hAnsi="Times New Roman" w:cs="Times New Roman"/>
          <w:sz w:val="28"/>
        </w:rPr>
        <w:t>по итогу сделки</w:t>
      </w:r>
      <w:r w:rsidRPr="00D32F32">
        <w:rPr>
          <w:rFonts w:ascii="Times New Roman" w:hAnsi="Times New Roman" w:cs="Times New Roman"/>
          <w:sz w:val="28"/>
        </w:rPr>
        <w:t>. Можно</w:t>
      </w:r>
      <w:r w:rsidR="00180A1D">
        <w:rPr>
          <w:rFonts w:ascii="Times New Roman" w:hAnsi="Times New Roman" w:cs="Times New Roman"/>
          <w:sz w:val="28"/>
        </w:rPr>
        <w:t xml:space="preserve"> выделить две крайние позиции, в первой из которых</w:t>
      </w:r>
      <w:r w:rsidRPr="00D32F32">
        <w:rPr>
          <w:rFonts w:ascii="Times New Roman" w:hAnsi="Times New Roman" w:cs="Times New Roman"/>
          <w:sz w:val="28"/>
        </w:rPr>
        <w:t xml:space="preserve"> предприниматель решает, что размер прибыли </w:t>
      </w:r>
      <w:r w:rsidR="00180A1D">
        <w:rPr>
          <w:rFonts w:ascii="Times New Roman" w:hAnsi="Times New Roman" w:cs="Times New Roman"/>
          <w:sz w:val="28"/>
        </w:rPr>
        <w:t>второстепенен</w:t>
      </w:r>
      <w:r w:rsidRPr="00D32F32">
        <w:rPr>
          <w:rFonts w:ascii="Times New Roman" w:hAnsi="Times New Roman" w:cs="Times New Roman"/>
          <w:sz w:val="28"/>
        </w:rPr>
        <w:t>,</w:t>
      </w:r>
      <w:r w:rsidR="00180A1D">
        <w:rPr>
          <w:rFonts w:ascii="Times New Roman" w:hAnsi="Times New Roman" w:cs="Times New Roman"/>
          <w:sz w:val="28"/>
        </w:rPr>
        <w:t xml:space="preserve"> по сравнению с низким</w:t>
      </w:r>
      <w:r w:rsidRPr="00D32F32">
        <w:rPr>
          <w:rFonts w:ascii="Times New Roman" w:hAnsi="Times New Roman" w:cs="Times New Roman"/>
          <w:sz w:val="28"/>
        </w:rPr>
        <w:t xml:space="preserve"> уровн</w:t>
      </w:r>
      <w:r w:rsidR="00180A1D">
        <w:rPr>
          <w:rFonts w:ascii="Times New Roman" w:hAnsi="Times New Roman" w:cs="Times New Roman"/>
          <w:sz w:val="28"/>
        </w:rPr>
        <w:t xml:space="preserve">ем риска. Согласно второй позиции, предпочтение отдается возможности получить хорошую доходность, несмотря на </w:t>
      </w:r>
      <w:r w:rsidRPr="00D32F32">
        <w:rPr>
          <w:rFonts w:ascii="Times New Roman" w:hAnsi="Times New Roman" w:cs="Times New Roman"/>
          <w:sz w:val="28"/>
        </w:rPr>
        <w:t>вы</w:t>
      </w:r>
      <w:r w:rsidR="00180A1D">
        <w:rPr>
          <w:rFonts w:ascii="Times New Roman" w:hAnsi="Times New Roman" w:cs="Times New Roman"/>
          <w:sz w:val="28"/>
        </w:rPr>
        <w:t>сокую рискованность проекта</w:t>
      </w:r>
      <w:r w:rsidRPr="00D32F32">
        <w:rPr>
          <w:rFonts w:ascii="Times New Roman" w:hAnsi="Times New Roman" w:cs="Times New Roman"/>
          <w:sz w:val="28"/>
        </w:rPr>
        <w:t xml:space="preserve">. </w:t>
      </w:r>
      <w:r w:rsidR="00180A1D">
        <w:rPr>
          <w:rFonts w:ascii="Times New Roman" w:hAnsi="Times New Roman" w:cs="Times New Roman"/>
          <w:sz w:val="28"/>
        </w:rPr>
        <w:t>Идеалом для каждого вкладчика будет считаться</w:t>
      </w:r>
      <w:r w:rsidRPr="00D32F32">
        <w:rPr>
          <w:rFonts w:ascii="Times New Roman" w:hAnsi="Times New Roman" w:cs="Times New Roman"/>
          <w:sz w:val="28"/>
        </w:rPr>
        <w:t xml:space="preserve"> высок</w:t>
      </w:r>
      <w:r w:rsidR="00180A1D">
        <w:rPr>
          <w:rFonts w:ascii="Times New Roman" w:hAnsi="Times New Roman" w:cs="Times New Roman"/>
          <w:sz w:val="28"/>
        </w:rPr>
        <w:t>ий уровень дохода</w:t>
      </w:r>
      <w:r w:rsidRPr="00D32F32">
        <w:rPr>
          <w:rFonts w:ascii="Times New Roman" w:hAnsi="Times New Roman" w:cs="Times New Roman"/>
          <w:sz w:val="28"/>
        </w:rPr>
        <w:t xml:space="preserve"> проекта,</w:t>
      </w:r>
      <w:r w:rsidR="00180A1D">
        <w:rPr>
          <w:rFonts w:ascii="Times New Roman" w:hAnsi="Times New Roman" w:cs="Times New Roman"/>
          <w:sz w:val="28"/>
        </w:rPr>
        <w:t xml:space="preserve"> при этом с минимальными рисками потери прибыли</w:t>
      </w:r>
      <w:r w:rsidRPr="00D32F32">
        <w:rPr>
          <w:rFonts w:ascii="Times New Roman" w:hAnsi="Times New Roman" w:cs="Times New Roman"/>
          <w:sz w:val="28"/>
        </w:rPr>
        <w:t xml:space="preserve">. </w:t>
      </w:r>
    </w:p>
    <w:p w:rsidR="00507AE8" w:rsidRDefault="00E178D4" w:rsidP="00D32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2F32">
        <w:rPr>
          <w:rFonts w:ascii="Times New Roman" w:hAnsi="Times New Roman" w:cs="Times New Roman"/>
          <w:sz w:val="28"/>
        </w:rPr>
        <w:t xml:space="preserve">Управление рисками инвестиционного проекта </w:t>
      </w:r>
      <w:r w:rsidR="00E72425">
        <w:rPr>
          <w:rFonts w:ascii="Times New Roman" w:hAnsi="Times New Roman" w:cs="Times New Roman"/>
          <w:sz w:val="28"/>
        </w:rPr>
        <w:t>необходимо</w:t>
      </w:r>
      <w:r w:rsidRPr="00D32F32">
        <w:rPr>
          <w:rFonts w:ascii="Times New Roman" w:hAnsi="Times New Roman" w:cs="Times New Roman"/>
          <w:sz w:val="28"/>
        </w:rPr>
        <w:t xml:space="preserve"> для достижения компромисса, </w:t>
      </w:r>
      <w:r w:rsidR="00E72425">
        <w:rPr>
          <w:rFonts w:ascii="Times New Roman" w:hAnsi="Times New Roman" w:cs="Times New Roman"/>
          <w:sz w:val="28"/>
        </w:rPr>
        <w:t xml:space="preserve">который бы </w:t>
      </w:r>
      <w:r w:rsidRPr="00D32F32">
        <w:rPr>
          <w:rFonts w:ascii="Times New Roman" w:hAnsi="Times New Roman" w:cs="Times New Roman"/>
          <w:sz w:val="28"/>
        </w:rPr>
        <w:t>максимально удовлетвор</w:t>
      </w:r>
      <w:r w:rsidR="00E72425">
        <w:rPr>
          <w:rFonts w:ascii="Times New Roman" w:hAnsi="Times New Roman" w:cs="Times New Roman"/>
          <w:sz w:val="28"/>
        </w:rPr>
        <w:t>ил</w:t>
      </w:r>
      <w:r w:rsidRPr="00D32F32">
        <w:rPr>
          <w:rFonts w:ascii="Times New Roman" w:hAnsi="Times New Roman" w:cs="Times New Roman"/>
          <w:sz w:val="28"/>
        </w:rPr>
        <w:t xml:space="preserve"> требования предпринимателя. Эксперты предлагают </w:t>
      </w:r>
      <w:r w:rsidR="00E72425">
        <w:rPr>
          <w:rFonts w:ascii="Times New Roman" w:hAnsi="Times New Roman" w:cs="Times New Roman"/>
          <w:sz w:val="28"/>
        </w:rPr>
        <w:t>с</w:t>
      </w:r>
      <w:r w:rsidRPr="00D32F32">
        <w:rPr>
          <w:rFonts w:ascii="Times New Roman" w:hAnsi="Times New Roman" w:cs="Times New Roman"/>
          <w:sz w:val="28"/>
        </w:rPr>
        <w:t xml:space="preserve">корректировать уже </w:t>
      </w:r>
      <w:r w:rsidR="00E72425">
        <w:rPr>
          <w:rFonts w:ascii="Times New Roman" w:hAnsi="Times New Roman" w:cs="Times New Roman"/>
          <w:sz w:val="28"/>
        </w:rPr>
        <w:t>созданный</w:t>
      </w:r>
      <w:r w:rsidRPr="00D32F32">
        <w:rPr>
          <w:rFonts w:ascii="Times New Roman" w:hAnsi="Times New Roman" w:cs="Times New Roman"/>
          <w:sz w:val="28"/>
        </w:rPr>
        <w:t xml:space="preserve"> проект, то есть либо </w:t>
      </w:r>
      <w:r w:rsidR="00E72425">
        <w:rPr>
          <w:rFonts w:ascii="Times New Roman" w:hAnsi="Times New Roman" w:cs="Times New Roman"/>
          <w:sz w:val="28"/>
        </w:rPr>
        <w:t>всячески минимизировать</w:t>
      </w:r>
      <w:r w:rsidRPr="00D32F32">
        <w:rPr>
          <w:rFonts w:ascii="Times New Roman" w:hAnsi="Times New Roman" w:cs="Times New Roman"/>
          <w:sz w:val="28"/>
        </w:rPr>
        <w:t xml:space="preserve"> риск при заданной сумме прибыли, либо </w:t>
      </w:r>
      <w:r w:rsidR="00E72425">
        <w:rPr>
          <w:rFonts w:ascii="Times New Roman" w:hAnsi="Times New Roman" w:cs="Times New Roman"/>
          <w:sz w:val="28"/>
        </w:rPr>
        <w:t>направить внимание на</w:t>
      </w:r>
      <w:r w:rsidRPr="00D32F32">
        <w:rPr>
          <w:rFonts w:ascii="Times New Roman" w:hAnsi="Times New Roman" w:cs="Times New Roman"/>
          <w:sz w:val="28"/>
        </w:rPr>
        <w:t xml:space="preserve"> увелич</w:t>
      </w:r>
      <w:r w:rsidR="00E72425">
        <w:rPr>
          <w:rFonts w:ascii="Times New Roman" w:hAnsi="Times New Roman" w:cs="Times New Roman"/>
          <w:sz w:val="28"/>
        </w:rPr>
        <w:t>ение</w:t>
      </w:r>
      <w:r w:rsidRPr="00D32F32">
        <w:rPr>
          <w:rFonts w:ascii="Times New Roman" w:hAnsi="Times New Roman" w:cs="Times New Roman"/>
          <w:sz w:val="28"/>
        </w:rPr>
        <w:t xml:space="preserve"> доход</w:t>
      </w:r>
      <w:r w:rsidR="00E72425">
        <w:rPr>
          <w:rFonts w:ascii="Times New Roman" w:hAnsi="Times New Roman" w:cs="Times New Roman"/>
          <w:sz w:val="28"/>
        </w:rPr>
        <w:t>ности при меньших</w:t>
      </w:r>
      <w:r w:rsidRPr="00D32F32">
        <w:rPr>
          <w:rFonts w:ascii="Times New Roman" w:hAnsi="Times New Roman" w:cs="Times New Roman"/>
          <w:sz w:val="28"/>
        </w:rPr>
        <w:t xml:space="preserve"> </w:t>
      </w:r>
      <w:r w:rsidR="00E72425">
        <w:rPr>
          <w:rFonts w:ascii="Times New Roman" w:hAnsi="Times New Roman" w:cs="Times New Roman"/>
          <w:sz w:val="28"/>
        </w:rPr>
        <w:t>рисках</w:t>
      </w:r>
      <w:r w:rsidR="004861FF">
        <w:rPr>
          <w:rFonts w:ascii="Times New Roman" w:hAnsi="Times New Roman" w:cs="Times New Roman"/>
          <w:sz w:val="28"/>
        </w:rPr>
        <w:t>. Среди большей части экономистов принято полагать</w:t>
      </w:r>
      <w:r w:rsidRPr="00D32F32">
        <w:rPr>
          <w:rFonts w:ascii="Times New Roman" w:hAnsi="Times New Roman" w:cs="Times New Roman"/>
          <w:sz w:val="28"/>
        </w:rPr>
        <w:t>, что качественно</w:t>
      </w:r>
      <w:r w:rsidR="004861FF">
        <w:rPr>
          <w:rFonts w:ascii="Times New Roman" w:hAnsi="Times New Roman" w:cs="Times New Roman"/>
          <w:sz w:val="28"/>
        </w:rPr>
        <w:t>е регулирование</w:t>
      </w:r>
      <w:r w:rsidRPr="00D32F32">
        <w:rPr>
          <w:rFonts w:ascii="Times New Roman" w:hAnsi="Times New Roman" w:cs="Times New Roman"/>
          <w:sz w:val="28"/>
        </w:rPr>
        <w:t xml:space="preserve"> риск</w:t>
      </w:r>
      <w:r w:rsidR="004861FF">
        <w:rPr>
          <w:rFonts w:ascii="Times New Roman" w:hAnsi="Times New Roman" w:cs="Times New Roman"/>
          <w:sz w:val="28"/>
        </w:rPr>
        <w:t>ов</w:t>
      </w:r>
      <w:r w:rsidRPr="00D32F32">
        <w:rPr>
          <w:rFonts w:ascii="Times New Roman" w:hAnsi="Times New Roman" w:cs="Times New Roman"/>
          <w:sz w:val="28"/>
        </w:rPr>
        <w:t xml:space="preserve">, </w:t>
      </w:r>
      <w:r w:rsidR="004861FF">
        <w:rPr>
          <w:rFonts w:ascii="Times New Roman" w:hAnsi="Times New Roman" w:cs="Times New Roman"/>
          <w:sz w:val="28"/>
        </w:rPr>
        <w:t xml:space="preserve">с </w:t>
      </w:r>
      <w:r w:rsidRPr="00D32F32">
        <w:rPr>
          <w:rFonts w:ascii="Times New Roman" w:hAnsi="Times New Roman" w:cs="Times New Roman"/>
          <w:sz w:val="28"/>
        </w:rPr>
        <w:t>получ</w:t>
      </w:r>
      <w:r w:rsidR="004861FF">
        <w:rPr>
          <w:rFonts w:ascii="Times New Roman" w:hAnsi="Times New Roman" w:cs="Times New Roman"/>
          <w:sz w:val="28"/>
        </w:rPr>
        <w:t>ением при этом максимального</w:t>
      </w:r>
      <w:r w:rsidRPr="00D32F32">
        <w:rPr>
          <w:rFonts w:ascii="Times New Roman" w:hAnsi="Times New Roman" w:cs="Times New Roman"/>
          <w:sz w:val="28"/>
        </w:rPr>
        <w:t xml:space="preserve"> эффект</w:t>
      </w:r>
      <w:r w:rsidR="004861FF">
        <w:rPr>
          <w:rFonts w:ascii="Times New Roman" w:hAnsi="Times New Roman" w:cs="Times New Roman"/>
          <w:sz w:val="28"/>
        </w:rPr>
        <w:t>а</w:t>
      </w:r>
      <w:r w:rsidRPr="00D32F32">
        <w:rPr>
          <w:rFonts w:ascii="Times New Roman" w:hAnsi="Times New Roman" w:cs="Times New Roman"/>
          <w:sz w:val="28"/>
        </w:rPr>
        <w:t xml:space="preserve">, </w:t>
      </w:r>
      <w:r w:rsidR="004861FF">
        <w:rPr>
          <w:rFonts w:ascii="Times New Roman" w:hAnsi="Times New Roman" w:cs="Times New Roman"/>
          <w:sz w:val="28"/>
        </w:rPr>
        <w:t>воз</w:t>
      </w:r>
      <w:r w:rsidRPr="00D32F32">
        <w:rPr>
          <w:rFonts w:ascii="Times New Roman" w:hAnsi="Times New Roman" w:cs="Times New Roman"/>
          <w:sz w:val="28"/>
        </w:rPr>
        <w:t xml:space="preserve">можно только с помощью </w:t>
      </w:r>
      <w:r w:rsidR="004861FF">
        <w:rPr>
          <w:rFonts w:ascii="Times New Roman" w:hAnsi="Times New Roman" w:cs="Times New Roman"/>
          <w:sz w:val="28"/>
        </w:rPr>
        <w:t>разработки собственного</w:t>
      </w:r>
      <w:r w:rsidRPr="00D32F32">
        <w:rPr>
          <w:rFonts w:ascii="Times New Roman" w:hAnsi="Times New Roman" w:cs="Times New Roman"/>
          <w:sz w:val="28"/>
        </w:rPr>
        <w:t xml:space="preserve"> стратегического плана. Экономические инвестиционные риски </w:t>
      </w:r>
      <w:r w:rsidR="00AA1185">
        <w:rPr>
          <w:rFonts w:ascii="Times New Roman" w:hAnsi="Times New Roman" w:cs="Times New Roman"/>
          <w:sz w:val="28"/>
        </w:rPr>
        <w:t xml:space="preserve">обладают наибольшим </w:t>
      </w:r>
      <w:r w:rsidRPr="00D32F32">
        <w:rPr>
          <w:rFonts w:ascii="Times New Roman" w:hAnsi="Times New Roman" w:cs="Times New Roman"/>
          <w:sz w:val="28"/>
        </w:rPr>
        <w:t>воздействие</w:t>
      </w:r>
      <w:r w:rsidR="00AA1185">
        <w:rPr>
          <w:rFonts w:ascii="Times New Roman" w:hAnsi="Times New Roman" w:cs="Times New Roman"/>
          <w:sz w:val="28"/>
        </w:rPr>
        <w:t>м</w:t>
      </w:r>
      <w:r w:rsidRPr="00D32F32">
        <w:rPr>
          <w:rFonts w:ascii="Times New Roman" w:hAnsi="Times New Roman" w:cs="Times New Roman"/>
          <w:sz w:val="28"/>
        </w:rPr>
        <w:t xml:space="preserve"> на сферу инвестирования и п</w:t>
      </w:r>
      <w:r w:rsidR="00AA1185">
        <w:rPr>
          <w:rFonts w:ascii="Times New Roman" w:hAnsi="Times New Roman" w:cs="Times New Roman"/>
          <w:sz w:val="28"/>
        </w:rPr>
        <w:t>редполагаю</w:t>
      </w:r>
      <w:r w:rsidRPr="00D32F32">
        <w:rPr>
          <w:rFonts w:ascii="Times New Roman" w:hAnsi="Times New Roman" w:cs="Times New Roman"/>
          <w:sz w:val="28"/>
        </w:rPr>
        <w:t xml:space="preserve">т наличие неблагоприятных изменений в экономике страны. </w:t>
      </w:r>
      <w:r w:rsidR="00AA1185">
        <w:rPr>
          <w:rFonts w:ascii="Times New Roman" w:hAnsi="Times New Roman" w:cs="Times New Roman"/>
          <w:sz w:val="28"/>
        </w:rPr>
        <w:t xml:space="preserve">Часто предприниматели </w:t>
      </w:r>
      <w:r w:rsidRPr="00D32F32">
        <w:rPr>
          <w:rFonts w:ascii="Times New Roman" w:hAnsi="Times New Roman" w:cs="Times New Roman"/>
          <w:sz w:val="28"/>
        </w:rPr>
        <w:t xml:space="preserve"> </w:t>
      </w:r>
      <w:r w:rsidR="007B38A0">
        <w:rPr>
          <w:rFonts w:ascii="Times New Roman" w:hAnsi="Times New Roman" w:cs="Times New Roman"/>
          <w:sz w:val="28"/>
        </w:rPr>
        <w:t>терпят убытки</w:t>
      </w:r>
      <w:r w:rsidRPr="00D32F32">
        <w:rPr>
          <w:rFonts w:ascii="Times New Roman" w:hAnsi="Times New Roman" w:cs="Times New Roman"/>
          <w:sz w:val="28"/>
        </w:rPr>
        <w:t xml:space="preserve"> от инфляционного риска, </w:t>
      </w:r>
      <w:r w:rsidR="00AA1185">
        <w:rPr>
          <w:rFonts w:ascii="Times New Roman" w:hAnsi="Times New Roman" w:cs="Times New Roman"/>
          <w:sz w:val="28"/>
        </w:rPr>
        <w:t>поскольку</w:t>
      </w:r>
      <w:r w:rsidRPr="00D32F32">
        <w:rPr>
          <w:rFonts w:ascii="Times New Roman" w:hAnsi="Times New Roman" w:cs="Times New Roman"/>
          <w:sz w:val="28"/>
        </w:rPr>
        <w:t xml:space="preserve"> стоимость ценных бумаг снижается при росте уровня инфляции, а при его пад</w:t>
      </w:r>
      <w:r w:rsidR="00E31290">
        <w:rPr>
          <w:rFonts w:ascii="Times New Roman" w:hAnsi="Times New Roman" w:cs="Times New Roman"/>
          <w:sz w:val="28"/>
        </w:rPr>
        <w:t>ении происходит обратная реакция</w:t>
      </w:r>
      <w:r w:rsidRPr="00D32F32">
        <w:rPr>
          <w:rFonts w:ascii="Times New Roman" w:hAnsi="Times New Roman" w:cs="Times New Roman"/>
          <w:sz w:val="28"/>
        </w:rPr>
        <w:t xml:space="preserve">. </w:t>
      </w:r>
      <w:r w:rsidR="00E31290">
        <w:rPr>
          <w:rFonts w:ascii="Times New Roman" w:hAnsi="Times New Roman" w:cs="Times New Roman"/>
          <w:sz w:val="28"/>
        </w:rPr>
        <w:t>Однако существуют способы по предотвращению по предотвращению подобных рисков</w:t>
      </w:r>
      <w:r w:rsidRPr="00D32F32">
        <w:rPr>
          <w:rFonts w:ascii="Times New Roman" w:hAnsi="Times New Roman" w:cs="Times New Roman"/>
          <w:sz w:val="28"/>
        </w:rPr>
        <w:t xml:space="preserve">, </w:t>
      </w:r>
      <w:r w:rsidR="00E31290">
        <w:rPr>
          <w:rFonts w:ascii="Times New Roman" w:hAnsi="Times New Roman" w:cs="Times New Roman"/>
          <w:sz w:val="28"/>
        </w:rPr>
        <w:t xml:space="preserve">в качестве самого распространенного можно выделить </w:t>
      </w:r>
      <w:r w:rsidRPr="00D32F32">
        <w:rPr>
          <w:rFonts w:ascii="Times New Roman" w:hAnsi="Times New Roman" w:cs="Times New Roman"/>
          <w:sz w:val="28"/>
        </w:rPr>
        <w:t>дифференцированный портфель ценных бумаг, то есть вложение средств в различные сегменты рынка. Тогда снижение прибыли в одной области обязательно окупи</w:t>
      </w:r>
      <w:r w:rsidR="009E0FB8">
        <w:rPr>
          <w:rFonts w:ascii="Times New Roman" w:hAnsi="Times New Roman" w:cs="Times New Roman"/>
          <w:sz w:val="28"/>
        </w:rPr>
        <w:t>тся за счет повышения в другой.</w:t>
      </w:r>
    </w:p>
    <w:p w:rsidR="003B7400" w:rsidRDefault="00165EB7" w:rsidP="00D32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2F32">
        <w:rPr>
          <w:rFonts w:ascii="Times New Roman" w:hAnsi="Times New Roman" w:cs="Times New Roman"/>
          <w:sz w:val="28"/>
        </w:rPr>
        <w:lastRenderedPageBreak/>
        <w:t xml:space="preserve">Инвестиционные риски находятся в прямой взаимосвязи с доходностью объекта инвестирования: чем выше доходность, тем выше риск, и наоборот, чем меньше доходность, тем меньше риск. </w:t>
      </w:r>
      <w:r w:rsidR="00811651">
        <w:rPr>
          <w:rFonts w:ascii="Times New Roman" w:hAnsi="Times New Roman" w:cs="Times New Roman"/>
          <w:sz w:val="28"/>
        </w:rPr>
        <w:t xml:space="preserve">Абсолютно каждый участник </w:t>
      </w:r>
      <w:r w:rsidRPr="00D32F32">
        <w:rPr>
          <w:rFonts w:ascii="Times New Roman" w:hAnsi="Times New Roman" w:cs="Times New Roman"/>
          <w:sz w:val="28"/>
        </w:rPr>
        <w:t>инвест</w:t>
      </w:r>
      <w:r w:rsidR="00811651">
        <w:rPr>
          <w:rFonts w:ascii="Times New Roman" w:hAnsi="Times New Roman" w:cs="Times New Roman"/>
          <w:sz w:val="28"/>
        </w:rPr>
        <w:t>иционного проекта заинтересован</w:t>
      </w:r>
      <w:r w:rsidRPr="00D32F32">
        <w:rPr>
          <w:rFonts w:ascii="Times New Roman" w:hAnsi="Times New Roman" w:cs="Times New Roman"/>
          <w:sz w:val="28"/>
        </w:rPr>
        <w:t xml:space="preserve"> в том, чтобы исключить возможность полного провала проекта или хотя бы избежать убытка для себя. В условиях</w:t>
      </w:r>
      <w:r w:rsidR="00811651">
        <w:rPr>
          <w:rFonts w:ascii="Times New Roman" w:hAnsi="Times New Roman" w:cs="Times New Roman"/>
          <w:sz w:val="28"/>
        </w:rPr>
        <w:t xml:space="preserve"> высокой нестабильности</w:t>
      </w:r>
      <w:r w:rsidRPr="00D32F32">
        <w:rPr>
          <w:rFonts w:ascii="Times New Roman" w:hAnsi="Times New Roman" w:cs="Times New Roman"/>
          <w:sz w:val="28"/>
        </w:rPr>
        <w:t xml:space="preserve"> и </w:t>
      </w:r>
      <w:r w:rsidR="00811651">
        <w:rPr>
          <w:rFonts w:ascii="Times New Roman" w:hAnsi="Times New Roman" w:cs="Times New Roman"/>
          <w:sz w:val="28"/>
        </w:rPr>
        <w:t>частых</w:t>
      </w:r>
      <w:r w:rsidRPr="00D32F32">
        <w:rPr>
          <w:rFonts w:ascii="Times New Roman" w:hAnsi="Times New Roman" w:cs="Times New Roman"/>
          <w:sz w:val="28"/>
        </w:rPr>
        <w:t xml:space="preserve"> </w:t>
      </w:r>
      <w:r w:rsidR="00811651">
        <w:rPr>
          <w:rFonts w:ascii="Times New Roman" w:hAnsi="Times New Roman" w:cs="Times New Roman"/>
          <w:sz w:val="28"/>
        </w:rPr>
        <w:t>смен ситуаций субъектам</w:t>
      </w:r>
      <w:r w:rsidRPr="00D32F32">
        <w:rPr>
          <w:rFonts w:ascii="Times New Roman" w:hAnsi="Times New Roman" w:cs="Times New Roman"/>
          <w:sz w:val="28"/>
        </w:rPr>
        <w:t xml:space="preserve"> инвестиционной деятельности</w:t>
      </w:r>
      <w:r w:rsidR="00811651">
        <w:rPr>
          <w:rFonts w:ascii="Times New Roman" w:hAnsi="Times New Roman" w:cs="Times New Roman"/>
          <w:sz w:val="28"/>
        </w:rPr>
        <w:t xml:space="preserve"> необходимо учесть</w:t>
      </w:r>
      <w:r w:rsidRPr="00D32F32">
        <w:rPr>
          <w:rFonts w:ascii="Times New Roman" w:hAnsi="Times New Roman" w:cs="Times New Roman"/>
          <w:sz w:val="28"/>
        </w:rPr>
        <w:t xml:space="preserve"> все факторы, </w:t>
      </w:r>
      <w:r w:rsidR="00811651">
        <w:rPr>
          <w:rFonts w:ascii="Times New Roman" w:hAnsi="Times New Roman" w:cs="Times New Roman"/>
          <w:sz w:val="28"/>
        </w:rPr>
        <w:t>влияние которых способно привести к появлению убытков</w:t>
      </w:r>
      <w:r w:rsidRPr="00D32F32">
        <w:rPr>
          <w:rFonts w:ascii="Times New Roman" w:hAnsi="Times New Roman" w:cs="Times New Roman"/>
          <w:sz w:val="28"/>
        </w:rPr>
        <w:t xml:space="preserve">. Таким образом, </w:t>
      </w:r>
      <w:r w:rsidR="00811651">
        <w:rPr>
          <w:rFonts w:ascii="Times New Roman" w:hAnsi="Times New Roman" w:cs="Times New Roman"/>
          <w:sz w:val="28"/>
        </w:rPr>
        <w:t xml:space="preserve">главное </w:t>
      </w:r>
      <w:r w:rsidRPr="00D32F32">
        <w:rPr>
          <w:rFonts w:ascii="Times New Roman" w:hAnsi="Times New Roman" w:cs="Times New Roman"/>
          <w:sz w:val="28"/>
        </w:rPr>
        <w:t xml:space="preserve">назначение анализа риска – </w:t>
      </w:r>
      <w:r w:rsidR="00811651">
        <w:rPr>
          <w:rFonts w:ascii="Times New Roman" w:hAnsi="Times New Roman" w:cs="Times New Roman"/>
          <w:sz w:val="28"/>
        </w:rPr>
        <w:t>предоставить</w:t>
      </w:r>
      <w:r w:rsidRPr="00D32F32">
        <w:rPr>
          <w:rFonts w:ascii="Times New Roman" w:hAnsi="Times New Roman" w:cs="Times New Roman"/>
          <w:sz w:val="28"/>
        </w:rPr>
        <w:t xml:space="preserve"> потенциальным инвесторам необходимые данные</w:t>
      </w:r>
      <w:r w:rsidR="00811651">
        <w:rPr>
          <w:rFonts w:ascii="Times New Roman" w:hAnsi="Times New Roman" w:cs="Times New Roman"/>
          <w:sz w:val="28"/>
        </w:rPr>
        <w:t xml:space="preserve"> облегчающие процесс принятия решений </w:t>
      </w:r>
      <w:r w:rsidRPr="00D32F32">
        <w:rPr>
          <w:rFonts w:ascii="Times New Roman" w:hAnsi="Times New Roman" w:cs="Times New Roman"/>
          <w:sz w:val="28"/>
        </w:rPr>
        <w:t xml:space="preserve">о целесообразности участия в проекте и предусмотреть меры по защите от возможных финансовых потерь. Анализ рисков включает оценку рисков и методы снижения рисков или уменьшения связанных с ним неблагоприятных последствий. Назначение анализа рисков – дать потенциальным партнерам необходимые данные для принятия решений о целесообразности участия в проекте и выработки мер по защите от возможных финансовых потерь. </w:t>
      </w:r>
    </w:p>
    <w:p w:rsidR="000013B5" w:rsidRPr="00D32F32" w:rsidRDefault="000013B5" w:rsidP="00D32F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можно сделать вывод о том, что инвестиционная безопасность является, по-нашему мнению, ключевым элементов всей экономической безопасности страны. Это происходит за счет того, что </w:t>
      </w:r>
      <w:r w:rsidR="00446787">
        <w:rPr>
          <w:rFonts w:ascii="Times New Roman" w:hAnsi="Times New Roman" w:cs="Times New Roman"/>
          <w:sz w:val="28"/>
        </w:rPr>
        <w:t xml:space="preserve">в ней заключено большинство элементов всей экономики, а также возможностей ее роста и развития. И, как мы выделили, нельзя изучать вопрос инвестиционной безопасности без рассмотрения того, что на неё влияет и того, что она создает. Это рискообразующие факторы и инвестиционные риски, соответственно. </w:t>
      </w:r>
      <w:r w:rsidR="001C723F">
        <w:rPr>
          <w:rFonts w:ascii="Times New Roman" w:hAnsi="Times New Roman" w:cs="Times New Roman"/>
          <w:sz w:val="28"/>
        </w:rPr>
        <w:t xml:space="preserve"> При рассмотрении инвестиционных рисков необходимо обратить особое внимание на их анализ. Дл</w:t>
      </w:r>
      <w:r w:rsidR="00DB1CA1">
        <w:rPr>
          <w:rFonts w:ascii="Times New Roman" w:hAnsi="Times New Roman" w:cs="Times New Roman"/>
          <w:sz w:val="28"/>
        </w:rPr>
        <w:t>я этого существует целый перечень приемов и способов оценки рисков</w:t>
      </w:r>
      <w:r w:rsidR="008D7719">
        <w:rPr>
          <w:rFonts w:ascii="Times New Roman" w:hAnsi="Times New Roman" w:cs="Times New Roman"/>
          <w:sz w:val="28"/>
        </w:rPr>
        <w:t>, от использования которых зависит эффективность деятельности экономического субъекта.</w:t>
      </w:r>
    </w:p>
    <w:p w:rsidR="009E0FB8" w:rsidRDefault="009E0FB8">
      <w:pPr>
        <w:rPr>
          <w:rFonts w:ascii="Times New Roman" w:hAnsi="Times New Roman" w:cs="Times New Roman"/>
          <w:sz w:val="28"/>
        </w:rPr>
      </w:pPr>
    </w:p>
    <w:p w:rsidR="00BE4D8D" w:rsidRDefault="00BE4D8D">
      <w:pPr>
        <w:rPr>
          <w:rFonts w:ascii="Times New Roman" w:hAnsi="Times New Roman" w:cs="Times New Roman"/>
          <w:sz w:val="28"/>
        </w:rPr>
      </w:pPr>
    </w:p>
    <w:p w:rsidR="00501D3C" w:rsidRDefault="00501D3C" w:rsidP="00501D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Pr="00C37C2A">
        <w:rPr>
          <w:rFonts w:ascii="Times New Roman" w:hAnsi="Times New Roman" w:cs="Times New Roman"/>
          <w:sz w:val="28"/>
        </w:rPr>
        <w:t>Диагностика уровня инвестиционной безопасности Российской Федерации</w:t>
      </w:r>
    </w:p>
    <w:p w:rsidR="005B6467" w:rsidRDefault="00501D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3B7400" w:rsidRPr="00C37C2A">
        <w:rPr>
          <w:rFonts w:ascii="Times New Roman" w:hAnsi="Times New Roman" w:cs="Times New Roman"/>
          <w:sz w:val="28"/>
        </w:rPr>
        <w:t xml:space="preserve"> Система индикаторов инвестиционной безопасности</w:t>
      </w:r>
      <w:r w:rsidR="003B74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страны</w:t>
      </w:r>
    </w:p>
    <w:p w:rsidR="00BE4D8D" w:rsidRDefault="00BE4D8D">
      <w:pPr>
        <w:rPr>
          <w:rFonts w:ascii="Times New Roman" w:hAnsi="Times New Roman" w:cs="Times New Roman"/>
          <w:sz w:val="28"/>
        </w:rPr>
      </w:pPr>
    </w:p>
    <w:p w:rsidR="005B6467" w:rsidRDefault="005B6467" w:rsidP="005B646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начала, чтобы дать анализ оценки современного состояния </w:t>
      </w:r>
      <w:r w:rsidR="001E7D3C">
        <w:rPr>
          <w:rFonts w:ascii="Times New Roman" w:hAnsi="Times New Roman" w:cs="Times New Roman"/>
          <w:sz w:val="28"/>
        </w:rPr>
        <w:t xml:space="preserve">данной области, </w:t>
      </w:r>
      <w:r>
        <w:rPr>
          <w:rFonts w:ascii="Times New Roman" w:hAnsi="Times New Roman" w:cs="Times New Roman"/>
          <w:sz w:val="28"/>
        </w:rPr>
        <w:t>рассмотрим динамику инвестиций в</w:t>
      </w:r>
      <w:r w:rsidR="001A367B">
        <w:rPr>
          <w:rFonts w:ascii="Times New Roman" w:hAnsi="Times New Roman" w:cs="Times New Roman"/>
          <w:sz w:val="28"/>
        </w:rPr>
        <w:t xml:space="preserve"> основной капитал в Российской Федерации</w:t>
      </w:r>
      <w:r>
        <w:rPr>
          <w:rFonts w:ascii="Times New Roman" w:hAnsi="Times New Roman" w:cs="Times New Roman"/>
          <w:sz w:val="28"/>
        </w:rPr>
        <w:t xml:space="preserve"> (таблица 1).</w:t>
      </w:r>
    </w:p>
    <w:p w:rsidR="002564B2" w:rsidRPr="00815C91" w:rsidRDefault="002564B2" w:rsidP="005B646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Таблица 1 – Динамика инвестиций в основной капитал России, млрд руб.</w:t>
      </w:r>
      <w:r w:rsidR="00815C91">
        <w:rPr>
          <w:rFonts w:ascii="Times New Roman" w:hAnsi="Times New Roman" w:cs="Times New Roman"/>
          <w:sz w:val="28"/>
        </w:rPr>
        <w:t xml:space="preserve"> </w:t>
      </w:r>
      <w:r w:rsidR="00815C91">
        <w:rPr>
          <w:rFonts w:ascii="Times New Roman" w:hAnsi="Times New Roman" w:cs="Times New Roman"/>
          <w:sz w:val="28"/>
          <w:lang w:val="en-US"/>
        </w:rPr>
        <w:t>[</w:t>
      </w:r>
      <w:r w:rsidR="00815C91">
        <w:rPr>
          <w:rFonts w:ascii="Times New Roman" w:hAnsi="Times New Roman" w:cs="Times New Roman"/>
          <w:sz w:val="28"/>
        </w:rPr>
        <w:t>17, с 66</w:t>
      </w:r>
      <w:r w:rsidR="00815C91">
        <w:rPr>
          <w:rFonts w:ascii="Times New Roman" w:hAnsi="Times New Roman" w:cs="Times New Roman"/>
          <w:sz w:val="28"/>
          <w:lang w:val="en-US"/>
        </w:rPr>
        <w:t>]</w:t>
      </w:r>
    </w:p>
    <w:tbl>
      <w:tblPr>
        <w:tblStyle w:val="a8"/>
        <w:tblW w:w="0" w:type="auto"/>
        <w:tblLook w:val="04A0"/>
      </w:tblPr>
      <w:tblGrid>
        <w:gridCol w:w="2518"/>
        <w:gridCol w:w="1361"/>
        <w:gridCol w:w="1897"/>
        <w:gridCol w:w="1897"/>
        <w:gridCol w:w="1898"/>
      </w:tblGrid>
      <w:tr w:rsidR="005B6467" w:rsidTr="002564B2">
        <w:tc>
          <w:tcPr>
            <w:tcW w:w="2518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Инвестиции в основной капитал</w:t>
            </w:r>
          </w:p>
        </w:tc>
        <w:tc>
          <w:tcPr>
            <w:tcW w:w="1361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1897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1897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1898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</w:tr>
      <w:tr w:rsidR="005B6467" w:rsidTr="002564B2">
        <w:tc>
          <w:tcPr>
            <w:tcW w:w="2518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361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10 065,7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10 379,6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10 496,3</w:t>
            </w:r>
          </w:p>
        </w:tc>
        <w:tc>
          <w:tcPr>
            <w:tcW w:w="1898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11 267,0</w:t>
            </w:r>
          </w:p>
        </w:tc>
      </w:tr>
      <w:tr w:rsidR="005B6467" w:rsidTr="002564B2">
        <w:tc>
          <w:tcPr>
            <w:tcW w:w="2518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Собственные средства</w:t>
            </w:r>
          </w:p>
        </w:tc>
        <w:tc>
          <w:tcPr>
            <w:tcW w:w="1361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4 549,9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4 742,3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5 271,1</w:t>
            </w:r>
          </w:p>
        </w:tc>
        <w:tc>
          <w:tcPr>
            <w:tcW w:w="1898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5 738,0</w:t>
            </w:r>
          </w:p>
        </w:tc>
      </w:tr>
      <w:tr w:rsidR="005B6467" w:rsidTr="002564B2">
        <w:tc>
          <w:tcPr>
            <w:tcW w:w="2518" w:type="dxa"/>
          </w:tcPr>
          <w:p w:rsidR="005B6467" w:rsidRDefault="005B64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Привлеченные средства</w:t>
            </w:r>
          </w:p>
        </w:tc>
        <w:tc>
          <w:tcPr>
            <w:tcW w:w="1361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5 515,8</w:t>
            </w:r>
          </w:p>
        </w:tc>
        <w:tc>
          <w:tcPr>
            <w:tcW w:w="1897" w:type="dxa"/>
          </w:tcPr>
          <w:p w:rsidR="005B6467" w:rsidRDefault="00A001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564B2">
              <w:rPr>
                <w:rFonts w:ascii="Times New Roman" w:hAnsi="Times New Roman" w:cs="Times New Roman"/>
                <w:sz w:val="28"/>
              </w:rPr>
              <w:t xml:space="preserve"> 637,3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5 225,2</w:t>
            </w:r>
          </w:p>
        </w:tc>
        <w:tc>
          <w:tcPr>
            <w:tcW w:w="1898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5 529,0</w:t>
            </w:r>
          </w:p>
        </w:tc>
      </w:tr>
      <w:tr w:rsidR="005B6467" w:rsidTr="002564B2">
        <w:tc>
          <w:tcPr>
            <w:tcW w:w="2518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т.ч. инвестиции из-за рубежа</w:t>
            </w:r>
          </w:p>
        </w:tc>
        <w:tc>
          <w:tcPr>
            <w:tcW w:w="1361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76,4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88,8</w:t>
            </w:r>
          </w:p>
        </w:tc>
        <w:tc>
          <w:tcPr>
            <w:tcW w:w="1897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120,4</w:t>
            </w:r>
          </w:p>
        </w:tc>
        <w:tc>
          <w:tcPr>
            <w:tcW w:w="1898" w:type="dxa"/>
          </w:tcPr>
          <w:p w:rsidR="005B6467" w:rsidRDefault="00256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86,7</w:t>
            </w:r>
          </w:p>
        </w:tc>
      </w:tr>
    </w:tbl>
    <w:p w:rsidR="002564B2" w:rsidRPr="001A367B" w:rsidRDefault="002564B2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данных приведенной таблицы видно, что общий приток инвестиций за исследуемый период увеличился на 11,93%, что можно назвать явлением положительным</w:t>
      </w:r>
      <w:r w:rsidR="0081444D">
        <w:rPr>
          <w:rFonts w:ascii="Times New Roman" w:hAnsi="Times New Roman" w:cs="Times New Roman"/>
          <w:sz w:val="28"/>
        </w:rPr>
        <w:t xml:space="preserve">, поскольку, чем больше вклад в экономику страны, тем больше возможностей развития он открывает. </w:t>
      </w:r>
      <w:r>
        <w:rPr>
          <w:rFonts w:ascii="Times New Roman" w:hAnsi="Times New Roman" w:cs="Times New Roman"/>
          <w:sz w:val="28"/>
        </w:rPr>
        <w:t>Инвестиции в основной капитал за счет собственных средств тоже незначительно, но увеличились</w:t>
      </w:r>
      <w:r w:rsidR="00F557F7">
        <w:rPr>
          <w:rFonts w:ascii="Times New Roman" w:hAnsi="Times New Roman" w:cs="Times New Roman"/>
          <w:sz w:val="28"/>
        </w:rPr>
        <w:t>. Неустойчивую динамику наблюдаем в ситуации с привлеченными средствами и инвестициями из-за рубежа.</w:t>
      </w:r>
      <w:r w:rsidR="00F557F7" w:rsidRPr="00F557F7">
        <w:rPr>
          <w:rFonts w:ascii="Times New Roman" w:hAnsi="Times New Roman" w:cs="Times New Roman"/>
          <w:sz w:val="28"/>
        </w:rPr>
        <w:t xml:space="preserve">[17, </w:t>
      </w:r>
      <w:r w:rsidR="00F557F7">
        <w:rPr>
          <w:rFonts w:ascii="Times New Roman" w:hAnsi="Times New Roman" w:cs="Times New Roman"/>
          <w:sz w:val="28"/>
        </w:rPr>
        <w:t>с 68</w:t>
      </w:r>
      <w:r w:rsidR="00F557F7" w:rsidRPr="00F557F7">
        <w:rPr>
          <w:rFonts w:ascii="Times New Roman" w:hAnsi="Times New Roman" w:cs="Times New Roman"/>
          <w:sz w:val="28"/>
        </w:rPr>
        <w:t>]</w:t>
      </w:r>
    </w:p>
    <w:p w:rsidR="00A001B1" w:rsidRDefault="00A001B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большей наглядности вышесказанного предлагаю построение диаграммы к таблице 1</w:t>
      </w:r>
      <w:r w:rsidR="00DB1CA1">
        <w:rPr>
          <w:rFonts w:ascii="Times New Roman" w:hAnsi="Times New Roman" w:cs="Times New Roman"/>
          <w:sz w:val="28"/>
        </w:rPr>
        <w:t>, которая иллюстрирует явную положительную динамику участия инвестиций в основном капитале страны. Следовательно, можно говорить о возможности роста экономики</w:t>
      </w:r>
      <w:r w:rsidR="008D7719">
        <w:rPr>
          <w:rFonts w:ascii="Times New Roman" w:hAnsi="Times New Roman" w:cs="Times New Roman"/>
          <w:sz w:val="28"/>
        </w:rPr>
        <w:t xml:space="preserve"> на ближайшее будущее.</w:t>
      </w:r>
    </w:p>
    <w:p w:rsidR="00815C91" w:rsidRDefault="00815C9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15C91" w:rsidRDefault="00815C9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15C91" w:rsidRDefault="00815C9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15C91" w:rsidRDefault="00815C91" w:rsidP="008D7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15C91" w:rsidRDefault="00815C9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001B1" w:rsidRDefault="00A001B1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363458" cy="2909454"/>
            <wp:effectExtent l="19050" t="0" r="27692" b="519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5C91" w:rsidRPr="00DB1CA1" w:rsidRDefault="00815C91" w:rsidP="00815C9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1. Динамика инвестиций в основной капитал РФ</w:t>
      </w:r>
      <w:r w:rsidR="00DB1CA1">
        <w:rPr>
          <w:rFonts w:ascii="Times New Roman" w:hAnsi="Times New Roman" w:cs="Times New Roman"/>
          <w:sz w:val="28"/>
        </w:rPr>
        <w:t>.</w:t>
      </w:r>
      <w:r w:rsidR="00DB1CA1" w:rsidRPr="00DB1CA1">
        <w:rPr>
          <w:rFonts w:ascii="Times New Roman" w:hAnsi="Times New Roman" w:cs="Times New Roman"/>
          <w:sz w:val="28"/>
        </w:rPr>
        <w:t xml:space="preserve"> [</w:t>
      </w:r>
      <w:r w:rsidR="00DB1CA1">
        <w:rPr>
          <w:rFonts w:ascii="Times New Roman" w:hAnsi="Times New Roman" w:cs="Times New Roman"/>
          <w:sz w:val="28"/>
        </w:rPr>
        <w:t>Составлено с опорой на таблицу</w:t>
      </w:r>
      <w:r w:rsidR="00DB1CA1" w:rsidRPr="00DB1CA1">
        <w:rPr>
          <w:rFonts w:ascii="Times New Roman" w:hAnsi="Times New Roman" w:cs="Times New Roman"/>
          <w:sz w:val="28"/>
        </w:rPr>
        <w:t>]</w:t>
      </w:r>
    </w:p>
    <w:p w:rsidR="00815C91" w:rsidRPr="00A001B1" w:rsidRDefault="00815C91" w:rsidP="00815C9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C12D1" w:rsidRPr="00BE4D8D" w:rsidRDefault="009C12D1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11651">
        <w:rPr>
          <w:rFonts w:ascii="Times New Roman" w:hAnsi="Times New Roman" w:cs="Times New Roman"/>
          <w:sz w:val="28"/>
        </w:rPr>
        <w:t>Уровень инвестиций оказывает существенное воздействие на процесс расширенного воспроизводства и увеличения темпов экономического роста. Инвестиции являются важнейшим драйвером развития национальной экономики. Инвестиционная активность в значительной степени определяет экономический рост, а также уровень занятости в стране.</w:t>
      </w:r>
      <w:r w:rsidR="00BE4D8D">
        <w:rPr>
          <w:rFonts w:ascii="Times New Roman" w:hAnsi="Times New Roman" w:cs="Times New Roman"/>
          <w:i/>
          <w:sz w:val="28"/>
        </w:rPr>
        <w:t xml:space="preserve"> </w:t>
      </w:r>
      <w:r w:rsidR="00BE4D8D" w:rsidRPr="00815C91">
        <w:rPr>
          <w:rFonts w:ascii="Times New Roman" w:hAnsi="Times New Roman" w:cs="Times New Roman"/>
          <w:sz w:val="28"/>
        </w:rPr>
        <w:t>[22, с 75]</w:t>
      </w:r>
    </w:p>
    <w:p w:rsidR="008A6547" w:rsidRPr="008A6547" w:rsidRDefault="009C12D1" w:rsidP="008A65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B71C2">
        <w:rPr>
          <w:rFonts w:ascii="Times New Roman" w:hAnsi="Times New Roman" w:cs="Times New Roman"/>
          <w:i/>
          <w:sz w:val="28"/>
        </w:rPr>
        <w:t xml:space="preserve"> </w:t>
      </w:r>
      <w:r w:rsidRPr="00811651">
        <w:rPr>
          <w:rFonts w:ascii="Times New Roman" w:hAnsi="Times New Roman" w:cs="Times New Roman"/>
          <w:sz w:val="28"/>
        </w:rPr>
        <w:t xml:space="preserve">Сказанное выше означает, что инвестиции с позиции экономической безопасности должны отвечать соответствующим критериям и индикаторам, их пороговые и реальные значения приведены в таблице </w:t>
      </w:r>
      <w:r w:rsidR="005B6467">
        <w:rPr>
          <w:rFonts w:ascii="Times New Roman" w:hAnsi="Times New Roman" w:cs="Times New Roman"/>
          <w:sz w:val="28"/>
        </w:rPr>
        <w:t>2</w:t>
      </w:r>
      <w:r w:rsidRPr="00811651">
        <w:rPr>
          <w:rFonts w:ascii="Times New Roman" w:hAnsi="Times New Roman" w:cs="Times New Roman"/>
          <w:sz w:val="28"/>
        </w:rPr>
        <w:t xml:space="preserve">. </w:t>
      </w:r>
      <w:r w:rsidR="008A6547">
        <w:rPr>
          <w:rFonts w:ascii="Times New Roman" w:hAnsi="Times New Roman" w:cs="Times New Roman"/>
          <w:sz w:val="28"/>
        </w:rPr>
        <w:t>Все показатели выходящие за п</w:t>
      </w:r>
      <w:r w:rsidR="00D93B77">
        <w:rPr>
          <w:rFonts w:ascii="Times New Roman" w:hAnsi="Times New Roman" w:cs="Times New Roman"/>
          <w:sz w:val="28"/>
        </w:rPr>
        <w:t>о</w:t>
      </w:r>
      <w:r w:rsidR="008A6547">
        <w:rPr>
          <w:rFonts w:ascii="Times New Roman" w:hAnsi="Times New Roman" w:cs="Times New Roman"/>
          <w:sz w:val="28"/>
        </w:rPr>
        <w:t>роговое значение нуждаются в комплексе корректирующих мер.</w:t>
      </w:r>
    </w:p>
    <w:p w:rsidR="009C12D1" w:rsidRPr="0085152D" w:rsidRDefault="005B6467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6B71C2">
        <w:rPr>
          <w:rFonts w:ascii="Times New Roman" w:hAnsi="Times New Roman"/>
          <w:sz w:val="28"/>
          <w:szCs w:val="28"/>
        </w:rPr>
        <w:t xml:space="preserve"> – </w:t>
      </w:r>
      <w:r w:rsidR="006B71C2" w:rsidRPr="006B71C2">
        <w:rPr>
          <w:rFonts w:ascii="Times New Roman" w:hAnsi="Times New Roman" w:cs="Times New Roman"/>
          <w:sz w:val="28"/>
        </w:rPr>
        <w:t>Динамика индикаторов показателей</w:t>
      </w:r>
      <w:r w:rsidR="006B71C2">
        <w:rPr>
          <w:rFonts w:ascii="Times New Roman" w:hAnsi="Times New Roman" w:cs="Times New Roman"/>
          <w:sz w:val="28"/>
        </w:rPr>
        <w:t xml:space="preserve"> инвестиционного потенциала 201</w:t>
      </w:r>
      <w:r w:rsidR="00A65E2E">
        <w:rPr>
          <w:rFonts w:ascii="Times New Roman" w:hAnsi="Times New Roman" w:cs="Times New Roman"/>
          <w:sz w:val="28"/>
        </w:rPr>
        <w:t>5</w:t>
      </w:r>
      <w:r w:rsidR="006B71C2" w:rsidRPr="006B71C2">
        <w:rPr>
          <w:rFonts w:ascii="Times New Roman" w:hAnsi="Times New Roman" w:cs="Times New Roman"/>
          <w:sz w:val="28"/>
        </w:rPr>
        <w:t>-201</w:t>
      </w:r>
      <w:r w:rsidR="00A65E2E">
        <w:rPr>
          <w:rFonts w:ascii="Times New Roman" w:hAnsi="Times New Roman" w:cs="Times New Roman"/>
          <w:sz w:val="28"/>
        </w:rPr>
        <w:t>6</w:t>
      </w:r>
      <w:r w:rsidR="006B71C2" w:rsidRPr="006B71C2">
        <w:rPr>
          <w:rFonts w:ascii="Times New Roman" w:hAnsi="Times New Roman" w:cs="Times New Roman"/>
          <w:sz w:val="28"/>
        </w:rPr>
        <w:t xml:space="preserve"> гг.</w:t>
      </w:r>
      <w:r w:rsidR="0085152D">
        <w:rPr>
          <w:rFonts w:ascii="Times New Roman" w:hAnsi="Times New Roman" w:cs="Times New Roman"/>
          <w:sz w:val="28"/>
        </w:rPr>
        <w:t xml:space="preserve"> </w:t>
      </w:r>
      <w:r w:rsidR="0085152D">
        <w:rPr>
          <w:rFonts w:ascii="Times New Roman" w:hAnsi="Times New Roman" w:cs="Times New Roman"/>
          <w:sz w:val="28"/>
          <w:lang w:val="en-US"/>
        </w:rPr>
        <w:t xml:space="preserve">[23, </w:t>
      </w:r>
      <w:r w:rsidR="0085152D">
        <w:rPr>
          <w:rFonts w:ascii="Times New Roman" w:hAnsi="Times New Roman" w:cs="Times New Roman"/>
          <w:sz w:val="28"/>
        </w:rPr>
        <w:t>с 542</w:t>
      </w:r>
      <w:r w:rsidR="0085152D">
        <w:rPr>
          <w:rFonts w:ascii="Times New Roman" w:hAnsi="Times New Roman" w:cs="Times New Roman"/>
          <w:sz w:val="28"/>
          <w:lang w:val="en-US"/>
        </w:rPr>
        <w:t>]</w:t>
      </w:r>
    </w:p>
    <w:tbl>
      <w:tblPr>
        <w:tblStyle w:val="a8"/>
        <w:tblW w:w="9606" w:type="dxa"/>
        <w:tblLook w:val="04A0"/>
      </w:tblPr>
      <w:tblGrid>
        <w:gridCol w:w="675"/>
        <w:gridCol w:w="3686"/>
        <w:gridCol w:w="2835"/>
        <w:gridCol w:w="1276"/>
        <w:gridCol w:w="1134"/>
      </w:tblGrid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86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283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Пороговое значение</w:t>
            </w:r>
          </w:p>
        </w:tc>
        <w:tc>
          <w:tcPr>
            <w:tcW w:w="1276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A65E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6B71C2" w:rsidRDefault="006B71C2" w:rsidP="00A65E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A65E2E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Норма (доля)  валового накопления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20,3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20,9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Норма инвестирования в основной капитал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25-30%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DB1CA1" w:rsidTr="00DB1CA1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DB1CA1" w:rsidRPr="00DB1CA1" w:rsidRDefault="00DB1CA1" w:rsidP="00DB1CA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        </w:t>
            </w:r>
            <w:r w:rsidRPr="00DB1CA1">
              <w:rPr>
                <w:rFonts w:ascii="Times New Roman" w:hAnsi="Times New Roman" w:cs="Times New Roman"/>
                <w:i/>
                <w:sz w:val="28"/>
              </w:rPr>
              <w:t>Продолжение таблицы 2.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Соотношение темпов прироста инвестиций и темпов прироста ВВП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3:1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3,4:6,4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4,7:13,8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 xml:space="preserve">Доля иностранных инвестиций в основной капитал в их общем объеме  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15-17%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0,54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0,66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Степень износа основных фондов        в т.ч. доля полностью изношенных фондов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30%</w:t>
            </w:r>
          </w:p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49,4</w:t>
            </w:r>
          </w:p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47,7</w:t>
            </w:r>
          </w:p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15,8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Коэффициент обновления основных фондов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</w:t>
            </w:r>
          </w:p>
        </w:tc>
      </w:tr>
      <w:tr w:rsidR="006B71C2" w:rsidTr="006B71C2">
        <w:tc>
          <w:tcPr>
            <w:tcW w:w="675" w:type="dxa"/>
          </w:tcPr>
          <w:p w:rsidR="006B71C2" w:rsidRDefault="006B71C2" w:rsidP="009C12D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6B71C2" w:rsidRDefault="006B71C2" w:rsidP="009C12D1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12D1">
              <w:rPr>
                <w:rFonts w:ascii="Times New Roman" w:hAnsi="Times New Roman" w:cs="Times New Roman"/>
                <w:sz w:val="28"/>
              </w:rPr>
              <w:t>Структура источников финансирования инвестиций в основной капитал в т.ч. собственные средства предприятий и организаций</w:t>
            </w:r>
          </w:p>
        </w:tc>
        <w:tc>
          <w:tcPr>
            <w:tcW w:w="2835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  <w:tc>
          <w:tcPr>
            <w:tcW w:w="1276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45,7</w:t>
            </w:r>
          </w:p>
        </w:tc>
        <w:tc>
          <w:tcPr>
            <w:tcW w:w="1134" w:type="dxa"/>
          </w:tcPr>
          <w:p w:rsidR="006B71C2" w:rsidRDefault="006B71C2" w:rsidP="006B71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50,2</w:t>
            </w:r>
          </w:p>
        </w:tc>
      </w:tr>
    </w:tbl>
    <w:p w:rsidR="006B71C2" w:rsidRDefault="006B71C2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C12D1" w:rsidRPr="00F20919" w:rsidRDefault="009C12D1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0919">
        <w:rPr>
          <w:rFonts w:ascii="Times New Roman" w:hAnsi="Times New Roman" w:cs="Times New Roman"/>
          <w:sz w:val="28"/>
        </w:rPr>
        <w:t>В качестве индикатора критериального типа, характеризующего инвестиционную активность национальной экономик</w:t>
      </w:r>
      <w:r w:rsidR="00A65E2E" w:rsidRPr="00F20919">
        <w:rPr>
          <w:rFonts w:ascii="Times New Roman" w:hAnsi="Times New Roman" w:cs="Times New Roman"/>
          <w:sz w:val="28"/>
        </w:rPr>
        <w:t>и</w:t>
      </w:r>
      <w:r w:rsidRPr="00F20919">
        <w:rPr>
          <w:rFonts w:ascii="Times New Roman" w:hAnsi="Times New Roman" w:cs="Times New Roman"/>
          <w:sz w:val="28"/>
        </w:rPr>
        <w:t>, чаще всего используется «Норма (доля) валового накопления». Для стран с переходной экономикой минимальное пороговое значение валовых инвестиций – 25%, иначе нарушается нормальный процесс воспроизводства основного капитала как фундамента постоянной модернизации и конкурентоспособности национальной экономики. В условиях российской экономики, когда в структуре преобладают капиталоемкие отрасли (в первую очередь топливно</w:t>
      </w:r>
      <w:r w:rsidR="00893D49">
        <w:rPr>
          <w:rFonts w:ascii="Times New Roman" w:hAnsi="Times New Roman" w:cs="Times New Roman"/>
          <w:sz w:val="28"/>
        </w:rPr>
        <w:t>-</w:t>
      </w:r>
      <w:r w:rsidRPr="00F20919">
        <w:rPr>
          <w:rFonts w:ascii="Times New Roman" w:hAnsi="Times New Roman" w:cs="Times New Roman"/>
          <w:sz w:val="28"/>
        </w:rPr>
        <w:t>сырьевые), подобная норма валового накопления недостаточна для финансирования новой индустриализации экономики нашей страны.</w:t>
      </w:r>
    </w:p>
    <w:p w:rsidR="00501D3C" w:rsidRDefault="009C12D1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0919">
        <w:rPr>
          <w:rFonts w:ascii="Times New Roman" w:hAnsi="Times New Roman" w:cs="Times New Roman"/>
          <w:sz w:val="28"/>
        </w:rPr>
        <w:t>Немаловажным показателем является «Доля инвестиций в основной капитал в ВВП». Согласно данным Федеральной службы государственной статистики РФ, за последние десятилетие инвестиции в основной капитал в абсолютном значении</w:t>
      </w:r>
      <w:r w:rsidR="008F6757">
        <w:rPr>
          <w:rFonts w:ascii="Times New Roman" w:hAnsi="Times New Roman" w:cs="Times New Roman"/>
          <w:sz w:val="28"/>
        </w:rPr>
        <w:t xml:space="preserve"> значительно</w:t>
      </w:r>
      <w:r w:rsidRPr="00F20919">
        <w:rPr>
          <w:rFonts w:ascii="Times New Roman" w:hAnsi="Times New Roman" w:cs="Times New Roman"/>
          <w:sz w:val="28"/>
        </w:rPr>
        <w:t xml:space="preserve"> у</w:t>
      </w:r>
      <w:r w:rsidR="008F6757">
        <w:rPr>
          <w:rFonts w:ascii="Times New Roman" w:hAnsi="Times New Roman" w:cs="Times New Roman"/>
          <w:sz w:val="28"/>
        </w:rPr>
        <w:t>величились</w:t>
      </w:r>
      <w:r w:rsidRPr="00F20919">
        <w:rPr>
          <w:rFonts w:ascii="Times New Roman" w:hAnsi="Times New Roman" w:cs="Times New Roman"/>
          <w:sz w:val="28"/>
        </w:rPr>
        <w:t xml:space="preserve">, но их доля в ВВП по-прежнему мала. И за весь анализируемый период не достигала порогового значения. Необходимо отметить и значимость показателя «Соотношение </w:t>
      </w:r>
      <w:r w:rsidRPr="00F20919">
        <w:rPr>
          <w:rFonts w:ascii="Times New Roman" w:hAnsi="Times New Roman" w:cs="Times New Roman"/>
          <w:sz w:val="28"/>
        </w:rPr>
        <w:lastRenderedPageBreak/>
        <w:t xml:space="preserve">темпов прироста инвестиций к темпам прироста ВВП». В данном случае работает принцип акселерации: для получения в экономике 1% прироста ВВП с учетом растущей капиталоемкости необходим прирост инвестиций в 2-3 раза. Стоит отметить, что в России прирост инвестиций происходит недостаточно быстрыми темпами для развития национальной экономики. Несмотря, на рост инвестиций в основной капитал современный их уровень является недостаточным для улучшения материально-технической базы, обновления основных фондов в экономике. </w:t>
      </w:r>
    </w:p>
    <w:p w:rsidR="00501D3C" w:rsidRDefault="009C12D1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0919">
        <w:rPr>
          <w:rFonts w:ascii="Times New Roman" w:hAnsi="Times New Roman" w:cs="Times New Roman"/>
          <w:sz w:val="28"/>
        </w:rPr>
        <w:t xml:space="preserve"> Следует отметить и такой индикатор как «Доля иностранных инвестиций в общем объеме инвестиций в основной капитал». Данный показатель сигнализирует о привлекательности экономики страны в целом и отдельных ее отраслей. Очевидно, что нынешняя экономическая ситуация в сфере привлечения иностранных инвестиций в Россию является неудовлетворительной. </w:t>
      </w:r>
    </w:p>
    <w:p w:rsidR="00501D3C" w:rsidRDefault="009C12D1" w:rsidP="009C12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0919">
        <w:rPr>
          <w:rFonts w:ascii="Times New Roman" w:hAnsi="Times New Roman" w:cs="Times New Roman"/>
          <w:sz w:val="28"/>
        </w:rPr>
        <w:t>Другие показатели, вошедшие в таблицу, такие как «Степень износа основных фондов, в т.ч. доля полностью изношенных фондов», «Коэффициент обновления основных фондов» и «Структура источников финансирования инвестиций в основной капитал, в т.ч. собственные средства предприятий и организаций» показывают остроту кризисной ситуации в инвестиционной сфере в Российской Федерации.</w:t>
      </w:r>
    </w:p>
    <w:p w:rsidR="00501D3C" w:rsidRDefault="009C12D1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0919">
        <w:rPr>
          <w:rFonts w:ascii="Times New Roman" w:hAnsi="Times New Roman" w:cs="Times New Roman"/>
          <w:sz w:val="28"/>
        </w:rPr>
        <w:t xml:space="preserve"> Как мы можем отметить, значения только одного индикатора такого, как «Структура источников финансирования инвестиций в основной капитал, в т.ч. собственные средства предприятий и организаций» достигли порогового значения в анализируемом периоде</w:t>
      </w:r>
      <w:r w:rsidR="00BE4D8D">
        <w:rPr>
          <w:rFonts w:ascii="Times New Roman" w:hAnsi="Times New Roman" w:cs="Times New Roman"/>
          <w:sz w:val="28"/>
        </w:rPr>
        <w:t xml:space="preserve">. </w:t>
      </w:r>
      <w:r w:rsidR="00BE4D8D">
        <w:rPr>
          <w:rFonts w:ascii="Times New Roman" w:hAnsi="Times New Roman" w:cs="Times New Roman"/>
          <w:sz w:val="28"/>
          <w:lang w:val="en-US"/>
        </w:rPr>
        <w:t>[</w:t>
      </w:r>
      <w:r w:rsidR="00BE4D8D">
        <w:rPr>
          <w:rFonts w:ascii="Times New Roman" w:hAnsi="Times New Roman" w:cs="Times New Roman"/>
          <w:sz w:val="28"/>
        </w:rPr>
        <w:t>23, с 541</w:t>
      </w:r>
      <w:r w:rsidR="00BE4D8D">
        <w:rPr>
          <w:rFonts w:ascii="Times New Roman" w:hAnsi="Times New Roman" w:cs="Times New Roman"/>
          <w:sz w:val="28"/>
          <w:lang w:val="en-US"/>
        </w:rPr>
        <w:t>]</w:t>
      </w:r>
    </w:p>
    <w:p w:rsidR="000453DF" w:rsidRDefault="00C60DCC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полагаем, с</w:t>
      </w:r>
      <w:r w:rsidR="000453DF">
        <w:rPr>
          <w:rFonts w:ascii="Times New Roman" w:hAnsi="Times New Roman" w:cs="Times New Roman"/>
          <w:sz w:val="28"/>
        </w:rPr>
        <w:t xml:space="preserve">ледует </w:t>
      </w:r>
      <w:r>
        <w:rPr>
          <w:rFonts w:ascii="Times New Roman" w:hAnsi="Times New Roman" w:cs="Times New Roman"/>
          <w:sz w:val="28"/>
        </w:rPr>
        <w:t>рассмотреть</w:t>
      </w:r>
      <w:r w:rsidR="000453DF">
        <w:rPr>
          <w:rFonts w:ascii="Times New Roman" w:hAnsi="Times New Roman" w:cs="Times New Roman"/>
          <w:sz w:val="28"/>
        </w:rPr>
        <w:t xml:space="preserve"> вопрос рейтинга инвестиционной привлекательности государства, который составляется с опорой на совокупность индикаторов.</w:t>
      </w:r>
    </w:p>
    <w:p w:rsidR="0027085A" w:rsidRDefault="00C60DCC" w:rsidP="002708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первую очередь хотелось отметить работу РА «Эксперт», которое каждый год публикует рейтинг инвестиционной привлекательности регионов России.</w:t>
      </w:r>
      <w:r w:rsidR="0027085A">
        <w:rPr>
          <w:rFonts w:ascii="Times New Roman" w:hAnsi="Times New Roman" w:cs="Times New Roman"/>
          <w:sz w:val="28"/>
        </w:rPr>
        <w:t xml:space="preserve"> </w:t>
      </w:r>
    </w:p>
    <w:p w:rsidR="0027085A" w:rsidRDefault="0027085A" w:rsidP="002708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407973" cy="4644106"/>
            <wp:effectExtent l="19050" t="0" r="2227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455" t="27758" r="43381" b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975" cy="464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EC" w:rsidRDefault="00A81DEC" w:rsidP="00A81D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7085A" w:rsidRDefault="0027085A" w:rsidP="00A81D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4.  Рейтинг инвестиционной привлекательности регионов РФ</w:t>
      </w:r>
      <w:r w:rsidR="00A81DEC" w:rsidRPr="00A81DEC">
        <w:rPr>
          <w:rFonts w:ascii="Times New Roman" w:hAnsi="Times New Roman" w:cs="Times New Roman"/>
          <w:sz w:val="28"/>
        </w:rPr>
        <w:t xml:space="preserve"> [</w:t>
      </w:r>
      <w:r w:rsidR="00A81DEC">
        <w:rPr>
          <w:rFonts w:ascii="Times New Roman" w:hAnsi="Times New Roman" w:cs="Times New Roman"/>
          <w:sz w:val="28"/>
        </w:rPr>
        <w:t>30</w:t>
      </w:r>
      <w:r w:rsidR="00A81DEC" w:rsidRPr="00A81DEC">
        <w:rPr>
          <w:rFonts w:ascii="Times New Roman" w:hAnsi="Times New Roman" w:cs="Times New Roman"/>
          <w:sz w:val="28"/>
        </w:rPr>
        <w:t>] .</w:t>
      </w:r>
    </w:p>
    <w:p w:rsidR="00A81DEC" w:rsidRPr="00A81DEC" w:rsidRDefault="00A81DEC" w:rsidP="00A81D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60DCC" w:rsidRDefault="00A81DEC" w:rsidP="002708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тройку лидеров входит, как мы видим, Краснодарский край, Московская область и Москва. </w:t>
      </w:r>
      <w:r w:rsidR="0027085A" w:rsidRPr="0027085A">
        <w:rPr>
          <w:rFonts w:ascii="Times New Roman" w:hAnsi="Times New Roman" w:cs="Times New Roman"/>
          <w:sz w:val="28"/>
        </w:rPr>
        <w:t>В среднесрочной перспективе главным драйвером экон</w:t>
      </w:r>
      <w:r w:rsidR="0027085A">
        <w:rPr>
          <w:rFonts w:ascii="Times New Roman" w:hAnsi="Times New Roman" w:cs="Times New Roman"/>
          <w:sz w:val="28"/>
        </w:rPr>
        <w:t>омического роста для ряда реги</w:t>
      </w:r>
      <w:r w:rsidR="0027085A" w:rsidRPr="0027085A">
        <w:rPr>
          <w:rFonts w:ascii="Times New Roman" w:hAnsi="Times New Roman" w:cs="Times New Roman"/>
          <w:sz w:val="28"/>
        </w:rPr>
        <w:t>онов может стать развитие агропромышленного комплекса</w:t>
      </w:r>
      <w:r>
        <w:rPr>
          <w:rFonts w:ascii="Times New Roman" w:hAnsi="Times New Roman" w:cs="Times New Roman"/>
          <w:sz w:val="28"/>
        </w:rPr>
        <w:t>, что стабилизирует положение Краснодарского края,</w:t>
      </w:r>
      <w:r w:rsidR="0027085A" w:rsidRPr="0027085A">
        <w:rPr>
          <w:rFonts w:ascii="Times New Roman" w:hAnsi="Times New Roman" w:cs="Times New Roman"/>
          <w:sz w:val="28"/>
        </w:rPr>
        <w:t xml:space="preserve"> и оборонной промышленности. Существенным ограничителем для быстрого развития сектора АПК является отсутствие дешевых кредитных ресурсов при сильном удорожании сельскохозяйственной техники, а также трудно заменяемых за короткое время импортируемых позиций.</w:t>
      </w:r>
    </w:p>
    <w:p w:rsidR="008D1CAE" w:rsidRPr="0085152D" w:rsidRDefault="00A81DEC" w:rsidP="00501D3C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Следует отметить второй важный рейтинг, который существует на международном уровне - </w:t>
      </w:r>
      <w:r w:rsidRPr="00A81DEC">
        <w:rPr>
          <w:rFonts w:ascii="Times New Roman" w:hAnsi="Times New Roman" w:cs="Times New Roman"/>
          <w:sz w:val="28"/>
        </w:rPr>
        <w:t>World Development Indicators: Foreign Direct Investment</w:t>
      </w:r>
      <w:r>
        <w:rPr>
          <w:rFonts w:ascii="Times New Roman" w:hAnsi="Times New Roman" w:cs="Times New Roman"/>
          <w:sz w:val="28"/>
        </w:rPr>
        <w:t>.</w:t>
      </w:r>
      <w:r w:rsidR="008E7038">
        <w:rPr>
          <w:rFonts w:ascii="Times New Roman" w:hAnsi="Times New Roman" w:cs="Times New Roman"/>
          <w:sz w:val="28"/>
        </w:rPr>
        <w:t xml:space="preserve"> Рассмотреть его можно в Приложении В.</w:t>
      </w:r>
      <w:r w:rsidR="008D1CAE">
        <w:rPr>
          <w:rFonts w:ascii="Times New Roman" w:hAnsi="Times New Roman" w:cs="Times New Roman"/>
          <w:sz w:val="28"/>
        </w:rPr>
        <w:t xml:space="preserve"> Он полностью основан на размерах ПИИ страны.</w:t>
      </w:r>
      <w:r>
        <w:rPr>
          <w:rFonts w:ascii="Times New Roman" w:hAnsi="Times New Roman" w:cs="Times New Roman"/>
          <w:sz w:val="28"/>
        </w:rPr>
        <w:t xml:space="preserve"> Однако данный рейтинг последний раз создавался в 2014г. Тогда, по данным исследования, Россия (70 653 млн.</w:t>
      </w:r>
      <w:r w:rsidRPr="00A81DEC">
        <w:rPr>
          <w:rFonts w:ascii="Times New Roman" w:hAnsi="Times New Roman" w:cs="Times New Roman"/>
          <w:sz w:val="28"/>
        </w:rPr>
        <w:t>$</w:t>
      </w:r>
      <w:r>
        <w:rPr>
          <w:rFonts w:ascii="Times New Roman" w:hAnsi="Times New Roman" w:cs="Times New Roman"/>
          <w:sz w:val="28"/>
        </w:rPr>
        <w:t>) оказалась на 4 позиции с незначительным отставанием от Гонконга(76 638 млн.</w:t>
      </w:r>
      <w:r w:rsidRPr="00A81DEC">
        <w:rPr>
          <w:rFonts w:ascii="Times New Roman" w:hAnsi="Times New Roman" w:cs="Times New Roman"/>
          <w:sz w:val="28"/>
        </w:rPr>
        <w:t>$)</w:t>
      </w:r>
      <w:r>
        <w:rPr>
          <w:rFonts w:ascii="Times New Roman" w:hAnsi="Times New Roman" w:cs="Times New Roman"/>
          <w:sz w:val="28"/>
        </w:rPr>
        <w:t xml:space="preserve"> и более значительным от США</w:t>
      </w:r>
      <w:r w:rsidRPr="00A81DEC">
        <w:rPr>
          <w:rFonts w:ascii="Times New Roman" w:hAnsi="Times New Roman" w:cs="Times New Roman"/>
          <w:sz w:val="28"/>
        </w:rPr>
        <w:t xml:space="preserve"> (294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A81DEC">
        <w:rPr>
          <w:rFonts w:ascii="Times New Roman" w:hAnsi="Times New Roman" w:cs="Times New Roman"/>
          <w:sz w:val="28"/>
        </w:rPr>
        <w:t xml:space="preserve">971 </w:t>
      </w:r>
      <w:r>
        <w:rPr>
          <w:rFonts w:ascii="Times New Roman" w:hAnsi="Times New Roman" w:cs="Times New Roman"/>
          <w:sz w:val="28"/>
        </w:rPr>
        <w:t>млн.</w:t>
      </w:r>
      <w:r w:rsidRPr="008D1CAE">
        <w:rPr>
          <w:rFonts w:ascii="Times New Roman" w:hAnsi="Times New Roman" w:cs="Times New Roman"/>
          <w:sz w:val="28"/>
        </w:rPr>
        <w:t>$</w:t>
      </w:r>
      <w:r>
        <w:rPr>
          <w:rFonts w:ascii="Times New Roman" w:hAnsi="Times New Roman" w:cs="Times New Roman"/>
          <w:sz w:val="28"/>
        </w:rPr>
        <w:t>) и Китая (347</w:t>
      </w:r>
      <w:r w:rsidR="008D1CA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878</w:t>
      </w:r>
      <w:r w:rsidR="008D1CAE">
        <w:rPr>
          <w:rFonts w:ascii="Times New Roman" w:hAnsi="Times New Roman" w:cs="Times New Roman"/>
          <w:sz w:val="28"/>
        </w:rPr>
        <w:t xml:space="preserve"> млн.</w:t>
      </w:r>
      <w:r w:rsidR="008D1CAE" w:rsidRPr="008D1CAE">
        <w:rPr>
          <w:rFonts w:ascii="Times New Roman" w:hAnsi="Times New Roman" w:cs="Times New Roman"/>
          <w:sz w:val="28"/>
        </w:rPr>
        <w:t>$)</w:t>
      </w:r>
      <w:r>
        <w:rPr>
          <w:rFonts w:ascii="Times New Roman" w:hAnsi="Times New Roman" w:cs="Times New Roman"/>
          <w:sz w:val="28"/>
        </w:rPr>
        <w:t>.</w:t>
      </w:r>
      <w:r w:rsidR="008D1CAE" w:rsidRPr="008D1CAE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</w:p>
    <w:p w:rsidR="000453DF" w:rsidRPr="00492BE8" w:rsidRDefault="008D1CAE" w:rsidP="008D1C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1CAE">
        <w:rPr>
          <w:rFonts w:ascii="Times New Roman" w:hAnsi="Times New Roman" w:cs="Times New Roman"/>
          <w:sz w:val="28"/>
        </w:rPr>
        <w:t>Основу данных о ПИИ в экономиках разных государств составляют периодические выпуски статистических отчётов серии «Balance of Payments Statistics» Международного Валютного Фонда (МВФ), ежегодные доклады серии «World Investment Report» Конференции Организации Объединённых Наций по торговле и развитию (ЮНКТАД), а также ежегодные экономические отчёты национальных статистических институтов.</w:t>
      </w:r>
      <w:r w:rsidR="00492BE8" w:rsidRPr="00492BE8">
        <w:rPr>
          <w:rFonts w:ascii="Times New Roman" w:hAnsi="Times New Roman" w:cs="Times New Roman"/>
          <w:sz w:val="28"/>
        </w:rPr>
        <w:t>[31]</w:t>
      </w:r>
    </w:p>
    <w:p w:rsidR="00492BE8" w:rsidRPr="000453DF" w:rsidRDefault="00492BE8" w:rsidP="008D1C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рейтинг инвестиционной безопасности будет отличаться своими показателями, поскольку рейтинговые агентства опираются на индивидуальный набор </w:t>
      </w:r>
      <w:r w:rsidR="00036BFE">
        <w:rPr>
          <w:rFonts w:ascii="Times New Roman" w:hAnsi="Times New Roman" w:cs="Times New Roman"/>
          <w:sz w:val="28"/>
        </w:rPr>
        <w:t>индикаторов</w:t>
      </w:r>
      <w:r>
        <w:rPr>
          <w:rFonts w:ascii="Times New Roman" w:hAnsi="Times New Roman" w:cs="Times New Roman"/>
          <w:sz w:val="28"/>
        </w:rPr>
        <w:t xml:space="preserve"> в зависимости от рассматриваемой сферы</w:t>
      </w:r>
      <w:r w:rsidR="00036BFE">
        <w:rPr>
          <w:rFonts w:ascii="Times New Roman" w:hAnsi="Times New Roman" w:cs="Times New Roman"/>
          <w:sz w:val="28"/>
        </w:rPr>
        <w:t>.</w:t>
      </w:r>
    </w:p>
    <w:p w:rsidR="00501D3C" w:rsidRDefault="00501D3C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D1D12" w:rsidRDefault="00C93090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>2.</w:t>
      </w:r>
      <w:r w:rsidR="00501D3C">
        <w:rPr>
          <w:rFonts w:ascii="Times New Roman" w:hAnsi="Times New Roman" w:cs="Times New Roman"/>
          <w:sz w:val="28"/>
        </w:rPr>
        <w:t>2</w:t>
      </w:r>
      <w:r w:rsidRPr="00C37C2A">
        <w:rPr>
          <w:rFonts w:ascii="Times New Roman" w:hAnsi="Times New Roman" w:cs="Times New Roman"/>
          <w:sz w:val="28"/>
        </w:rPr>
        <w:t xml:space="preserve"> Определение факторов оказывающих влияние на уровень инвестиционной безопасности</w:t>
      </w:r>
    </w:p>
    <w:p w:rsidR="00DB1CA1" w:rsidRDefault="00DB1CA1" w:rsidP="00501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93090" w:rsidRPr="00B101A7" w:rsidRDefault="009960C8" w:rsidP="00C93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нескольких десятилетий Российская Федерация</w:t>
      </w:r>
      <w:r w:rsidR="00C93090" w:rsidRPr="00B101A7">
        <w:rPr>
          <w:rFonts w:ascii="Times New Roman" w:hAnsi="Times New Roman" w:cs="Times New Roman"/>
          <w:sz w:val="28"/>
        </w:rPr>
        <w:t xml:space="preserve"> находится на стадии реформирования собственной экономической системы, совершая переход к рыночному типу экономики. На данный момент инвестиционная деятельность на её территории характеризуется низким уровнем инвестиционного потенциала и отсутствием стабильной тенденции развития национального инвестиционного климата, имея исключительный запас ресурсов. Поспособствовала сокращению активности инвесторов и кризисная стадия экономического развития.  Вот почему проблема обеспечения </w:t>
      </w:r>
      <w:r w:rsidR="00C93090" w:rsidRPr="00B101A7">
        <w:rPr>
          <w:rFonts w:ascii="Times New Roman" w:hAnsi="Times New Roman" w:cs="Times New Roman"/>
          <w:sz w:val="28"/>
        </w:rPr>
        <w:lastRenderedPageBreak/>
        <w:t xml:space="preserve">экономической безопасности инвестиционной деятельности России является наиболее актуальной для развития национальной экономики.  </w:t>
      </w:r>
    </w:p>
    <w:p w:rsidR="00C93090" w:rsidRPr="00B101A7" w:rsidRDefault="00C93090" w:rsidP="00C93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>В период кризиса сильное влияние на активность инвесторов в субъекты Российской Федерации оказали внешние макроэкономические факторы, такие как: высокий уровень коррупции, монополизация рынков, сложная налоговая система, несовершенство российского законодательства, защита прав собственности инвесторов и т.д.</w:t>
      </w:r>
    </w:p>
    <w:p w:rsidR="00C93090" w:rsidRPr="00B101A7" w:rsidRDefault="00C93090" w:rsidP="00C93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Высокий уровень коррупции резко снижает инвестиционную безопасность РФ. За последние два десятилетия, развиваясь бурными темпами, этот фактор уже вошел в систему в нашей стране. В связи с тем, что эта часть расходов в общем объеме инвестиций не снижается, инвестиционный климат России становится все менее привлекательным относительно других стран. Но увеличение расходов, это не единственное отрицательное экономическое проявление данного фактора. В таких условиях рисковая составляющая инвестирования, обусловленная конкуренцией, становится ещё более ощутимой, что дестабилизирует экономическую ситуацию в целом. </w:t>
      </w:r>
    </w:p>
    <w:p w:rsidR="00C93090" w:rsidRPr="00B101A7" w:rsidRDefault="00C93090" w:rsidP="00C93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Также в отношении инвестирования в реальную экономику и, соответственно, модернизации технологических процессов производства, формирования рабочих мест, налоговая система Российской Федерации не добавляет никаких стимулов для дальнейшего развития в этом направлении и повышения инвестиционной привлекательности государства. Нестабильность налогового законодательства обусловлена постоянными изменениями форм отчетности, их формата и даже самого порядок расчета налогов, льгот и налоговых ставок, что только увеличивает затраты на обслуживание системы. </w:t>
      </w:r>
    </w:p>
    <w:p w:rsidR="00C93090" w:rsidRPr="00BE4D8D" w:rsidRDefault="00C93090" w:rsidP="00C93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B101A7">
        <w:rPr>
          <w:rFonts w:ascii="Times New Roman" w:hAnsi="Times New Roman" w:cs="Times New Roman"/>
          <w:sz w:val="28"/>
        </w:rPr>
        <w:t xml:space="preserve">Важным фактором, влияющим на привлечение капиталовложений из-за рубежа, является применение методов государственно-частного партнерства (ГЧП) в создании и продвижении инвестиционных проектов. Данный фактор в субъектах Российской Федерации недостаточно развит и почти не </w:t>
      </w:r>
      <w:r w:rsidRPr="00B101A7">
        <w:rPr>
          <w:rFonts w:ascii="Times New Roman" w:hAnsi="Times New Roman" w:cs="Times New Roman"/>
          <w:sz w:val="28"/>
        </w:rPr>
        <w:lastRenderedPageBreak/>
        <w:t>используется, так как сам механизм ГЧП освоен частично. В том числе и в связи с этим происходит снижение инвестиционной активности иностранных инвесторов, причиной тому выступает факт того, что ГЧП практикуется в инвестиционной политике других стран уже не первое десятилетие</w:t>
      </w:r>
      <w:r w:rsidR="00BE4D8D">
        <w:rPr>
          <w:rFonts w:ascii="Times New Roman" w:hAnsi="Times New Roman" w:cs="Times New Roman"/>
          <w:sz w:val="28"/>
        </w:rPr>
        <w:t xml:space="preserve">. </w:t>
      </w:r>
      <w:r w:rsidR="00BE4D8D">
        <w:rPr>
          <w:rFonts w:ascii="Times New Roman" w:hAnsi="Times New Roman" w:cs="Times New Roman"/>
          <w:sz w:val="28"/>
          <w:lang w:val="en-US"/>
        </w:rPr>
        <w:t>[</w:t>
      </w:r>
      <w:r w:rsidR="00BE4D8D">
        <w:rPr>
          <w:rFonts w:ascii="Times New Roman" w:hAnsi="Times New Roman" w:cs="Times New Roman"/>
          <w:sz w:val="28"/>
        </w:rPr>
        <w:t>26, с 19</w:t>
      </w:r>
      <w:r w:rsidR="00BE4D8D">
        <w:rPr>
          <w:rFonts w:ascii="Times New Roman" w:hAnsi="Times New Roman" w:cs="Times New Roman"/>
          <w:sz w:val="28"/>
          <w:lang w:val="en-US"/>
        </w:rPr>
        <w:t>]</w:t>
      </w:r>
    </w:p>
    <w:p w:rsidR="003B7400" w:rsidRDefault="00E178D4" w:rsidP="00F557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>Как на экономическую, так и инвестиционную безопасность государства большое влияние оказывают санкции, которые представляют собой последствия уязвимости в экономической системе и направлены на оказание политического давления. Если рассматривать влияние санкций на российские инвестиционные сферы, то очевидно недополучения средств, прежде всего кредитных, рядом крупнейших компаний, в отношении которых санкции были применены. Так, в июле 2014 года США запретили американским компаниям предоставлять среднесрочные и долгосрочные долларовые кредиты компании «Роснефть». Европейский Союз дважды ограничивал время погашения кредитов для компаний «Роснефть», «Новатэк», «Газпром» и др.  В настоящее время российские компании на западном финансовом рынке могут рассчитывать на займы на срок не более месяца</w:t>
      </w:r>
      <w:r w:rsidR="00BE4D8D">
        <w:rPr>
          <w:rFonts w:ascii="Times New Roman" w:hAnsi="Times New Roman" w:cs="Times New Roman"/>
          <w:sz w:val="28"/>
        </w:rPr>
        <w:t>.</w:t>
      </w:r>
      <w:r w:rsidRPr="00B101A7">
        <w:rPr>
          <w:rFonts w:ascii="Times New Roman" w:hAnsi="Times New Roman" w:cs="Times New Roman"/>
          <w:sz w:val="28"/>
        </w:rPr>
        <w:t xml:space="preserve"> [</w:t>
      </w:r>
      <w:r w:rsidR="00BE4D8D" w:rsidRPr="00BE4D8D">
        <w:rPr>
          <w:rFonts w:ascii="Times New Roman" w:hAnsi="Times New Roman" w:cs="Times New Roman"/>
          <w:sz w:val="28"/>
        </w:rPr>
        <w:t>25</w:t>
      </w:r>
      <w:r w:rsidR="00BE4D8D">
        <w:rPr>
          <w:rFonts w:ascii="Times New Roman" w:hAnsi="Times New Roman" w:cs="Times New Roman"/>
          <w:sz w:val="28"/>
        </w:rPr>
        <w:t>, с 304</w:t>
      </w:r>
      <w:r w:rsidR="00BE4D8D" w:rsidRPr="00BE4D8D">
        <w:rPr>
          <w:rFonts w:ascii="Times New Roman" w:hAnsi="Times New Roman" w:cs="Times New Roman"/>
          <w:sz w:val="28"/>
        </w:rPr>
        <w:t>]</w:t>
      </w:r>
    </w:p>
    <w:p w:rsidR="00E178D4" w:rsidRDefault="00BA2B0A" w:rsidP="00BA2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сказанного выше видно, что Российская Федерация обладает хоть и не большим, но достаточно весомым набором факторов, оказывающих влияние на общее состояние инвестиционной среды государства.</w:t>
      </w:r>
      <w:r w:rsidR="008B031E">
        <w:rPr>
          <w:rFonts w:ascii="Times New Roman" w:hAnsi="Times New Roman" w:cs="Times New Roman"/>
          <w:sz w:val="28"/>
        </w:rPr>
        <w:t xml:space="preserve"> Есть необходимость установить должный контроль и действия по стабилизации, касающиеся каждого из факторов.</w:t>
      </w:r>
    </w:p>
    <w:p w:rsidR="00DB1CA1" w:rsidRDefault="00DB1CA1" w:rsidP="008B03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B7400" w:rsidRDefault="00501D3C" w:rsidP="00DB1CA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3B7400" w:rsidRPr="00C37C2A">
        <w:rPr>
          <w:rFonts w:ascii="Times New Roman" w:hAnsi="Times New Roman" w:cs="Times New Roman"/>
          <w:sz w:val="28"/>
        </w:rPr>
        <w:t xml:space="preserve"> Современные угр</w:t>
      </w:r>
      <w:r w:rsidR="003B7400">
        <w:rPr>
          <w:rFonts w:ascii="Times New Roman" w:hAnsi="Times New Roman" w:cs="Times New Roman"/>
          <w:sz w:val="28"/>
        </w:rPr>
        <w:t xml:space="preserve">озы инвестиционной безопасности </w:t>
      </w:r>
    </w:p>
    <w:p w:rsidR="00DB1CA1" w:rsidRDefault="00DB1CA1">
      <w:pPr>
        <w:rPr>
          <w:rFonts w:ascii="Times New Roman" w:hAnsi="Times New Roman" w:cs="Times New Roman"/>
          <w:sz w:val="28"/>
        </w:rPr>
      </w:pPr>
    </w:p>
    <w:p w:rsidR="0008012D" w:rsidRPr="00B101A7" w:rsidRDefault="006B71C2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>На основе проведенного исследования</w:t>
      </w:r>
      <w:r w:rsidR="00246641">
        <w:rPr>
          <w:rFonts w:ascii="Times New Roman" w:hAnsi="Times New Roman" w:cs="Times New Roman"/>
          <w:sz w:val="28"/>
        </w:rPr>
        <w:t xml:space="preserve"> имеющейся информации можно выявить</w:t>
      </w:r>
      <w:r w:rsidRPr="00B101A7">
        <w:rPr>
          <w:rFonts w:ascii="Times New Roman" w:hAnsi="Times New Roman" w:cs="Times New Roman"/>
          <w:sz w:val="28"/>
        </w:rPr>
        <w:t xml:space="preserve"> следующие основные угрозы в сфере инвестиционной безопасности экономики России: </w:t>
      </w:r>
    </w:p>
    <w:p w:rsidR="0008012D" w:rsidRPr="00B101A7" w:rsidRDefault="006B71C2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lastRenderedPageBreak/>
        <w:t>1. Недостаточная норма накопления для перехода экономики России на новый технологический уклад. Согласно профессору Булатову А.С., для активной модернизации России ей требуется новая волна индустриализации и повышение нормы валового накоплени</w:t>
      </w:r>
      <w:r w:rsidR="00B101A7">
        <w:rPr>
          <w:rFonts w:ascii="Times New Roman" w:hAnsi="Times New Roman" w:cs="Times New Roman"/>
          <w:sz w:val="28"/>
        </w:rPr>
        <w:t>я до уровня 1980-х гг. – 27-31%</w:t>
      </w:r>
      <w:r w:rsidRPr="00B101A7">
        <w:rPr>
          <w:rFonts w:ascii="Times New Roman" w:hAnsi="Times New Roman" w:cs="Times New Roman"/>
          <w:sz w:val="28"/>
        </w:rPr>
        <w:t>.</w:t>
      </w:r>
    </w:p>
    <w:p w:rsidR="0008012D" w:rsidRPr="00B101A7" w:rsidRDefault="006B71C2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 2. Низкие темпы прироста инвестиций по сравнению с приростом ВВП. B реальной действительности наблюдается взаимное влияние дохода и инвестиций. Автономные инвестиции как первичная «инъекция» ведут из-за эффекта мультипликатора к повышению валового внутреннего продукта, за чем логично последует рост склонности к инвестированию в обществе (иначе говоря, производные инвестиции). </w:t>
      </w:r>
    </w:p>
    <w:p w:rsidR="0008012D" w:rsidRPr="00B101A7" w:rsidRDefault="006B71C2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>3. Низкое и постоянно снижающееся значение иностранных инвестиций в основной капитал, при возрастании портфельных инвестиций. Отметим, что иностранные инвестиции – это способ и драйвер развития, необходимая и неотъемлемая структурная составляющая экономи</w:t>
      </w:r>
      <w:r w:rsidR="00B101A7">
        <w:rPr>
          <w:rFonts w:ascii="Times New Roman" w:hAnsi="Times New Roman" w:cs="Times New Roman"/>
          <w:sz w:val="28"/>
        </w:rPr>
        <w:t>ческой безопасности государства</w:t>
      </w:r>
      <w:r w:rsidRPr="00B101A7">
        <w:rPr>
          <w:rFonts w:ascii="Times New Roman" w:hAnsi="Times New Roman" w:cs="Times New Roman"/>
          <w:sz w:val="28"/>
        </w:rPr>
        <w:t>.</w:t>
      </w:r>
    </w:p>
    <w:p w:rsidR="00EA2EF8" w:rsidRPr="00E95C58" w:rsidRDefault="006B71C2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B101A7">
        <w:rPr>
          <w:rFonts w:ascii="Times New Roman" w:hAnsi="Times New Roman" w:cs="Times New Roman"/>
          <w:sz w:val="28"/>
        </w:rPr>
        <w:t xml:space="preserve"> 4. Высокая степень износа основных фондов, катастрофически велика доля полностью изношенных основных фондов, что ведет  к высокой аварийности, низкой производительности труда. </w:t>
      </w:r>
      <w:r w:rsidR="00E95C58">
        <w:rPr>
          <w:rFonts w:ascii="Times New Roman" w:hAnsi="Times New Roman" w:cs="Times New Roman"/>
          <w:sz w:val="28"/>
          <w:lang w:val="en-US"/>
        </w:rPr>
        <w:t>[23,</w:t>
      </w:r>
      <w:r w:rsidR="00E95C58">
        <w:rPr>
          <w:rFonts w:ascii="Times New Roman" w:hAnsi="Times New Roman" w:cs="Times New Roman"/>
          <w:sz w:val="28"/>
        </w:rPr>
        <w:t>с 542</w:t>
      </w:r>
      <w:r w:rsidR="00E95C58">
        <w:rPr>
          <w:rFonts w:ascii="Times New Roman" w:hAnsi="Times New Roman" w:cs="Times New Roman"/>
          <w:sz w:val="28"/>
          <w:lang w:val="en-US"/>
        </w:rPr>
        <w:t>]</w:t>
      </w:r>
    </w:p>
    <w:p w:rsidR="009960C8" w:rsidRDefault="009960C8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 можно рассмотреть классификацию угроз инвестиционной безопасности и сопоставить с уровнем безопасности с точки зрения государственного, локального уровней, а также  в отношении уровня предприяти</w:t>
      </w:r>
      <w:r w:rsidR="005B6467">
        <w:rPr>
          <w:rFonts w:ascii="Times New Roman" w:hAnsi="Times New Roman" w:cs="Times New Roman"/>
          <w:sz w:val="28"/>
        </w:rPr>
        <w:t>я (таблица 3</w:t>
      </w:r>
      <w:r w:rsidR="00246641">
        <w:rPr>
          <w:rFonts w:ascii="Times New Roman" w:hAnsi="Times New Roman" w:cs="Times New Roman"/>
          <w:sz w:val="28"/>
        </w:rPr>
        <w:t>).</w:t>
      </w:r>
    </w:p>
    <w:p w:rsidR="00B101A7" w:rsidRDefault="00D71471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101A7">
        <w:rPr>
          <w:rFonts w:ascii="Times New Roman" w:hAnsi="Times New Roman" w:cs="Times New Roman"/>
          <w:sz w:val="28"/>
        </w:rPr>
        <w:t xml:space="preserve">Исходя из исследованного комплекса угроз инвестиционной безопасности, можно </w:t>
      </w:r>
      <w:r w:rsidR="00246641">
        <w:rPr>
          <w:rFonts w:ascii="Times New Roman" w:hAnsi="Times New Roman" w:cs="Times New Roman"/>
          <w:sz w:val="28"/>
        </w:rPr>
        <w:t>выявить</w:t>
      </w:r>
      <w:r w:rsidRPr="00B101A7">
        <w:rPr>
          <w:rFonts w:ascii="Times New Roman" w:hAnsi="Times New Roman" w:cs="Times New Roman"/>
          <w:sz w:val="28"/>
        </w:rPr>
        <w:t xml:space="preserve">, что факторы риска на всех уровнях взаимосвязаны и оказывают сильное влияние друг на друга. </w:t>
      </w:r>
    </w:p>
    <w:p w:rsidR="00036BFE" w:rsidRDefault="00036BFE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71471" w:rsidRPr="00036BFE" w:rsidRDefault="00D71471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101A7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5B6467">
        <w:rPr>
          <w:rFonts w:ascii="Times New Roman" w:hAnsi="Times New Roman" w:cs="Times New Roman"/>
          <w:sz w:val="28"/>
        </w:rPr>
        <w:t>3</w:t>
      </w:r>
      <w:r w:rsidR="00B101A7">
        <w:rPr>
          <w:rFonts w:ascii="Times New Roman" w:hAnsi="Times New Roman" w:cs="Times New Roman"/>
          <w:sz w:val="28"/>
        </w:rPr>
        <w:t xml:space="preserve"> – классификация угроз в соответствии с уровнем </w:t>
      </w:r>
      <w:r w:rsidR="00B101A7" w:rsidRPr="00E95C58">
        <w:rPr>
          <w:rFonts w:ascii="Times New Roman" w:hAnsi="Times New Roman" w:cs="Times New Roman"/>
          <w:sz w:val="28"/>
        </w:rPr>
        <w:t>безопасности</w:t>
      </w:r>
      <w:r w:rsidRPr="00E95C58">
        <w:rPr>
          <w:rFonts w:ascii="Times New Roman" w:hAnsi="Times New Roman" w:cs="Times New Roman"/>
          <w:sz w:val="28"/>
        </w:rPr>
        <w:t xml:space="preserve">. </w:t>
      </w:r>
      <w:r w:rsidR="00A001B1" w:rsidRPr="00036BFE">
        <w:rPr>
          <w:rFonts w:ascii="Times New Roman" w:hAnsi="Times New Roman" w:cs="Times New Roman"/>
          <w:sz w:val="28"/>
        </w:rPr>
        <w:t xml:space="preserve">[17, </w:t>
      </w:r>
      <w:r w:rsidR="00A001B1">
        <w:rPr>
          <w:rFonts w:ascii="Times New Roman" w:hAnsi="Times New Roman" w:cs="Times New Roman"/>
          <w:sz w:val="28"/>
        </w:rPr>
        <w:t>с 67</w:t>
      </w:r>
      <w:r w:rsidR="00A001B1" w:rsidRPr="00036BFE">
        <w:rPr>
          <w:rFonts w:ascii="Times New Roman" w:hAnsi="Times New Roman" w:cs="Times New Roman"/>
          <w:sz w:val="28"/>
        </w:rPr>
        <w:t>]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411"/>
        <w:gridCol w:w="2391"/>
        <w:gridCol w:w="2404"/>
        <w:gridCol w:w="2683"/>
      </w:tblGrid>
      <w:tr w:rsidR="00D71471" w:rsidRPr="00E95C58" w:rsidTr="00492BE8">
        <w:tc>
          <w:tcPr>
            <w:tcW w:w="2411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Угроза инвестиционной безопасности</w:t>
            </w:r>
          </w:p>
        </w:tc>
        <w:tc>
          <w:tcPr>
            <w:tcW w:w="2391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Уровень предприятия</w:t>
            </w:r>
          </w:p>
        </w:tc>
        <w:tc>
          <w:tcPr>
            <w:tcW w:w="2404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683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Государственный</w:t>
            </w:r>
          </w:p>
        </w:tc>
      </w:tr>
      <w:tr w:rsidR="00D71471" w:rsidRPr="00E95C58" w:rsidTr="00492BE8">
        <w:tc>
          <w:tcPr>
            <w:tcW w:w="2411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Низкая эффективность производства</w:t>
            </w:r>
          </w:p>
        </w:tc>
        <w:tc>
          <w:tcPr>
            <w:tcW w:w="2391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Неудовлетворительное состояние основных фондов; Низкая мотивация персонала к труду; Использование устаревших технологий и способов производства;  Высокий уровень производственных издержек</w:t>
            </w:r>
          </w:p>
        </w:tc>
        <w:tc>
          <w:tcPr>
            <w:tcW w:w="2404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Низкий уровень природноресурсного, трудового, производственного потенциала региона; Низкая инвестиционная активность внутренних инвесторов; Низкий уровень интеграции предприятий в регионе, плохо развиты производственные связи</w:t>
            </w:r>
          </w:p>
        </w:tc>
        <w:tc>
          <w:tcPr>
            <w:tcW w:w="2683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Неравномерное развитие регионов и отраслей; Отсутствие государственной поддержки для стимулирования роста эффективности производства; Низкий уровень кластеризации в стране; Снижение потоков иностранного капитала</w:t>
            </w:r>
          </w:p>
        </w:tc>
      </w:tr>
      <w:tr w:rsidR="00D71471" w:rsidRPr="00E95C58" w:rsidTr="00492BE8">
        <w:tc>
          <w:tcPr>
            <w:tcW w:w="2411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Снижение потока инвестиций для развития экономики</w:t>
            </w:r>
          </w:p>
        </w:tc>
        <w:tc>
          <w:tcPr>
            <w:tcW w:w="2391" w:type="dxa"/>
          </w:tcPr>
          <w:p w:rsidR="00D71471" w:rsidRPr="00E95C58" w:rsidRDefault="00D71471" w:rsidP="008D77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 xml:space="preserve">Снижение чистой прибыли и нецелевое использование амортизационных накоплений; Рост производственных издержек; </w:t>
            </w:r>
          </w:p>
        </w:tc>
        <w:tc>
          <w:tcPr>
            <w:tcW w:w="2404" w:type="dxa"/>
          </w:tcPr>
          <w:p w:rsidR="00D71471" w:rsidRPr="00E95C58" w:rsidRDefault="00D71471" w:rsidP="008D77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 xml:space="preserve">Моноотраслевая ориентированность региона; Низкий уровень кластеризации; Отсутствие инновационной активности в регионе; </w:t>
            </w:r>
          </w:p>
        </w:tc>
        <w:tc>
          <w:tcPr>
            <w:tcW w:w="2683" w:type="dxa"/>
          </w:tcPr>
          <w:p w:rsidR="00D71471" w:rsidRPr="00E95C58" w:rsidRDefault="00D71471" w:rsidP="00B101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Снижение конкурентоспособности на международной арене; Разрушение производственных связей и торговых отношений;</w:t>
            </w:r>
          </w:p>
        </w:tc>
      </w:tr>
    </w:tbl>
    <w:p w:rsidR="00E95C58" w:rsidRDefault="00E95C58" w:rsidP="00B101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036BFE" w:rsidRDefault="00036BFE" w:rsidP="000801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0801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036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036BFE" w:rsidRPr="00036BFE" w:rsidRDefault="00036BFE" w:rsidP="00036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036BFE">
        <w:rPr>
          <w:rFonts w:ascii="Times New Roman" w:hAnsi="Times New Roman" w:cs="Times New Roman"/>
          <w:i/>
          <w:sz w:val="28"/>
        </w:rPr>
        <w:lastRenderedPageBreak/>
        <w:t>Продолжение таблицы 3.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411"/>
        <w:gridCol w:w="2391"/>
        <w:gridCol w:w="2404"/>
        <w:gridCol w:w="2683"/>
      </w:tblGrid>
      <w:tr w:rsidR="00036BFE" w:rsidRPr="00E95C58" w:rsidTr="00557689">
        <w:tc>
          <w:tcPr>
            <w:tcW w:w="2411" w:type="dxa"/>
          </w:tcPr>
          <w:p w:rsidR="00036BFE" w:rsidRPr="00E95C58" w:rsidRDefault="00036BFE" w:rsidP="005576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Низкий уровень инновационного потенциала</w:t>
            </w:r>
          </w:p>
        </w:tc>
        <w:tc>
          <w:tcPr>
            <w:tcW w:w="2391" w:type="dxa"/>
          </w:tcPr>
          <w:p w:rsidR="00036BFE" w:rsidRPr="00E95C58" w:rsidRDefault="00036BFE" w:rsidP="005576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Отсутствие квалифицированных кадров для проведения соответствующих исследований; Высокий уровень риска, дорогое венчурное финансирование</w:t>
            </w:r>
          </w:p>
        </w:tc>
        <w:tc>
          <w:tcPr>
            <w:tcW w:w="2404" w:type="dxa"/>
          </w:tcPr>
          <w:p w:rsidR="00036BFE" w:rsidRPr="00E95C58" w:rsidRDefault="00036BFE" w:rsidP="005576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Отсутствие межотраслевого взаимодействия; Низкий уровень интеграции</w:t>
            </w:r>
          </w:p>
        </w:tc>
        <w:tc>
          <w:tcPr>
            <w:tcW w:w="2683" w:type="dxa"/>
          </w:tcPr>
          <w:p w:rsidR="00036BFE" w:rsidRPr="00E95C58" w:rsidRDefault="00036BFE" w:rsidP="005576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95C58">
              <w:rPr>
                <w:rFonts w:ascii="Times New Roman" w:hAnsi="Times New Roman" w:cs="Times New Roman"/>
                <w:sz w:val="24"/>
              </w:rPr>
              <w:t>Сырьевая ориентированность экономики; Неблагоприятная криминальная обстановка; Низкий уровень доверия между партнерами</w:t>
            </w:r>
          </w:p>
        </w:tc>
      </w:tr>
    </w:tbl>
    <w:p w:rsidR="00036BFE" w:rsidRDefault="00036BFE" w:rsidP="000801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A2EF8" w:rsidRDefault="008B031E" w:rsidP="000801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мне бы хотелось особо выделить угрозу снижения потока инвестиций для развития экономики на государственном уровне</w:t>
      </w:r>
      <w:r w:rsidR="00774E17">
        <w:rPr>
          <w:rFonts w:ascii="Times New Roman" w:hAnsi="Times New Roman" w:cs="Times New Roman"/>
          <w:sz w:val="28"/>
        </w:rPr>
        <w:t>, поскольку мы рассматриваем инвестиционную безопасность касаемо страны в целом.</w:t>
      </w:r>
      <w:r>
        <w:rPr>
          <w:rFonts w:ascii="Times New Roman" w:hAnsi="Times New Roman" w:cs="Times New Roman"/>
          <w:sz w:val="28"/>
        </w:rPr>
        <w:t xml:space="preserve"> Как мы видим</w:t>
      </w:r>
      <w:r w:rsidR="00774E1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774E17">
        <w:rPr>
          <w:rFonts w:ascii="Times New Roman" w:hAnsi="Times New Roman" w:cs="Times New Roman"/>
          <w:sz w:val="28"/>
        </w:rPr>
        <w:t>данный риск</w:t>
      </w:r>
      <w:r>
        <w:rPr>
          <w:rFonts w:ascii="Times New Roman" w:hAnsi="Times New Roman" w:cs="Times New Roman"/>
          <w:sz w:val="28"/>
        </w:rPr>
        <w:t xml:space="preserve"> приводит </w:t>
      </w:r>
      <w:r w:rsidR="00774E1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падению общей конкурентоспособности</w:t>
      </w:r>
      <w:r w:rsidR="00774E17">
        <w:rPr>
          <w:rFonts w:ascii="Times New Roman" w:hAnsi="Times New Roman" w:cs="Times New Roman"/>
          <w:sz w:val="28"/>
        </w:rPr>
        <w:t xml:space="preserve"> государства</w:t>
      </w:r>
      <w:r>
        <w:rPr>
          <w:rFonts w:ascii="Times New Roman" w:hAnsi="Times New Roman" w:cs="Times New Roman"/>
          <w:sz w:val="28"/>
        </w:rPr>
        <w:t xml:space="preserve"> на мировой арене. </w:t>
      </w:r>
      <w:r w:rsidR="00774E17">
        <w:rPr>
          <w:rFonts w:ascii="Times New Roman" w:hAnsi="Times New Roman" w:cs="Times New Roman"/>
          <w:sz w:val="28"/>
        </w:rPr>
        <w:t>А значит, статус мировой державы может пошатнуться именно вследствие этого.</w:t>
      </w:r>
    </w:p>
    <w:p w:rsidR="00774E17" w:rsidRPr="008B031E" w:rsidRDefault="00774E17" w:rsidP="000801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523E2" w:rsidRDefault="003B7400">
      <w:pPr>
        <w:rPr>
          <w:rFonts w:ascii="Times New Roman" w:hAnsi="Times New Roman" w:cs="Times New Roman"/>
          <w:sz w:val="28"/>
        </w:rPr>
      </w:pPr>
      <w:r w:rsidRPr="00C37C2A">
        <w:rPr>
          <w:rFonts w:ascii="Times New Roman" w:hAnsi="Times New Roman" w:cs="Times New Roman"/>
          <w:sz w:val="28"/>
        </w:rPr>
        <w:t>2.</w:t>
      </w:r>
      <w:r w:rsidR="00501D3C">
        <w:rPr>
          <w:rFonts w:ascii="Times New Roman" w:hAnsi="Times New Roman" w:cs="Times New Roman"/>
          <w:sz w:val="28"/>
        </w:rPr>
        <w:t>4</w:t>
      </w:r>
      <w:r w:rsidRPr="00C37C2A">
        <w:rPr>
          <w:rFonts w:ascii="Times New Roman" w:hAnsi="Times New Roman" w:cs="Times New Roman"/>
          <w:sz w:val="28"/>
        </w:rPr>
        <w:t xml:space="preserve"> Анализ перспектив инвестиционной безопасности государства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774E17" w:rsidRDefault="00774E17">
      <w:pPr>
        <w:rPr>
          <w:rFonts w:ascii="Times New Roman" w:hAnsi="Times New Roman" w:cs="Times New Roman"/>
          <w:sz w:val="28"/>
        </w:rPr>
      </w:pPr>
    </w:p>
    <w:p w:rsidR="001A367B" w:rsidRDefault="001A367B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разобрать возможное будущее в контексте данной сферы предлагаем обратиться к динамике предыдущих лет.</w:t>
      </w:r>
    </w:p>
    <w:p w:rsidR="001A367B" w:rsidRPr="001D01DC" w:rsidRDefault="001A367B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Динамика прямых инвестиций Российской Федерации, млн.дол.США.</w:t>
      </w:r>
      <w:r w:rsidR="001D01DC">
        <w:rPr>
          <w:rFonts w:ascii="Times New Roman" w:hAnsi="Times New Roman" w:cs="Times New Roman"/>
          <w:sz w:val="28"/>
          <w:szCs w:val="28"/>
        </w:rPr>
        <w:t xml:space="preserve"> </w:t>
      </w:r>
      <w:r w:rsidR="001D01DC" w:rsidRPr="001D01DC">
        <w:rPr>
          <w:rFonts w:ascii="Times New Roman" w:hAnsi="Times New Roman" w:cs="Times New Roman"/>
          <w:sz w:val="28"/>
          <w:szCs w:val="28"/>
        </w:rPr>
        <w:t>[</w:t>
      </w:r>
      <w:r w:rsidR="001D01DC">
        <w:rPr>
          <w:rFonts w:ascii="Times New Roman" w:hAnsi="Times New Roman" w:cs="Times New Roman"/>
          <w:sz w:val="28"/>
          <w:szCs w:val="28"/>
        </w:rPr>
        <w:t>Данные Росстата</w:t>
      </w:r>
      <w:r w:rsidR="00F07741">
        <w:rPr>
          <w:rFonts w:ascii="Times New Roman" w:hAnsi="Times New Roman" w:cs="Times New Roman"/>
          <w:sz w:val="28"/>
          <w:szCs w:val="28"/>
        </w:rPr>
        <w:t>, 28</w:t>
      </w:r>
      <w:r w:rsidR="001D01DC" w:rsidRPr="001D01DC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367B" w:rsidTr="001A367B">
        <w:tc>
          <w:tcPr>
            <w:tcW w:w="1914" w:type="dxa"/>
          </w:tcPr>
          <w:p w:rsidR="001A367B" w:rsidRDefault="001A367B" w:rsidP="001A36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5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67B" w:rsidTr="001A367B">
        <w:tc>
          <w:tcPr>
            <w:tcW w:w="1914" w:type="dxa"/>
          </w:tcPr>
          <w:p w:rsidR="001A367B" w:rsidRDefault="001A367B" w:rsidP="001A36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инвестиции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17288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35051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15232</w:t>
            </w:r>
          </w:p>
        </w:tc>
        <w:tc>
          <w:tcPr>
            <w:tcW w:w="1915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-10225</w:t>
            </w:r>
          </w:p>
        </w:tc>
      </w:tr>
      <w:tr w:rsidR="001A367B" w:rsidTr="001A367B"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границу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86507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57082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22085</w:t>
            </w:r>
          </w:p>
        </w:tc>
        <w:tc>
          <w:tcPr>
            <w:tcW w:w="1915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22314</w:t>
            </w:r>
          </w:p>
        </w:tc>
      </w:tr>
      <w:tr w:rsidR="001A367B" w:rsidTr="001A367B"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Россию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69219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22031</w:t>
            </w:r>
          </w:p>
        </w:tc>
        <w:tc>
          <w:tcPr>
            <w:tcW w:w="1914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6853</w:t>
            </w:r>
          </w:p>
        </w:tc>
        <w:tc>
          <w:tcPr>
            <w:tcW w:w="1915" w:type="dxa"/>
          </w:tcPr>
          <w:p w:rsidR="001A367B" w:rsidRDefault="001A367B" w:rsidP="00682A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32539</w:t>
            </w:r>
          </w:p>
        </w:tc>
      </w:tr>
    </w:tbl>
    <w:p w:rsidR="001A367B" w:rsidRDefault="001A367B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2FA" w:rsidRDefault="000E22FA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таблицы 4 мы видим, что за последний год приток </w:t>
      </w:r>
      <w:r w:rsidR="00C72ED1">
        <w:rPr>
          <w:rFonts w:ascii="Times New Roman" w:hAnsi="Times New Roman" w:cs="Times New Roman"/>
          <w:sz w:val="28"/>
          <w:szCs w:val="28"/>
        </w:rPr>
        <w:t>иностранных инвестиций в</w:t>
      </w:r>
      <w:r>
        <w:rPr>
          <w:rFonts w:ascii="Times New Roman" w:hAnsi="Times New Roman" w:cs="Times New Roman"/>
          <w:sz w:val="28"/>
          <w:szCs w:val="28"/>
        </w:rPr>
        <w:t xml:space="preserve"> Россию резко увеличился на 374,8%, что можно назвать положительным сдвигом. Однако об общей тенденции к повышению говорить пока рано, но данная ситуация должна благотворна сказаться на обще</w:t>
      </w:r>
      <w:r w:rsidR="00C72ED1">
        <w:rPr>
          <w:rFonts w:ascii="Times New Roman" w:hAnsi="Times New Roman" w:cs="Times New Roman"/>
          <w:sz w:val="28"/>
          <w:szCs w:val="28"/>
        </w:rPr>
        <w:t>й экономической ситуации страны, поскольку приток инвестиций означает открытие новых возможностей к росту и развитию.</w:t>
      </w:r>
    </w:p>
    <w:p w:rsidR="00C72ED1" w:rsidRDefault="00C72ED1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отток прямых инвестиций за границу, то после уменьшения в 2013-2014 гг. он так и остается на относительно низком уровне</w:t>
      </w:r>
      <w:r w:rsidR="001D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01DC">
        <w:rPr>
          <w:rFonts w:ascii="Times New Roman" w:hAnsi="Times New Roman" w:cs="Times New Roman"/>
          <w:sz w:val="28"/>
          <w:szCs w:val="28"/>
        </w:rPr>
        <w:t>25,8% от показателя 2013 г.)</w:t>
      </w:r>
      <w:r>
        <w:rPr>
          <w:rFonts w:ascii="Times New Roman" w:hAnsi="Times New Roman" w:cs="Times New Roman"/>
          <w:sz w:val="28"/>
          <w:szCs w:val="28"/>
        </w:rPr>
        <w:t>, что по нашему мнению может негативно сказаться на экономической ситуации. Ведь ПИИ это отличная возможность приобрести активы иностранных компаний с последующим контролем за ними (не менее 10% от уставного капитала). В условиях существующих санкций и вероятностью появления новых угроз крайне необходимо увеличить данные показатели.</w:t>
      </w:r>
    </w:p>
    <w:p w:rsidR="00FF2E4B" w:rsidRDefault="008374E0" w:rsidP="00FF2E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нужно проанализировать распределение прямых инвестиций по видам деятельности. Для этого рассмотрим показания за два последних года и сравним их результаты.</w:t>
      </w:r>
    </w:p>
    <w:p w:rsidR="00FF2E4B" w:rsidRDefault="00FF2E4B" w:rsidP="00EB5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2337" cy="3051959"/>
            <wp:effectExtent l="19050" t="0" r="1781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Рисунок 2. Распределение прямых инвестиций в РФ по видам экономической деятельности за 1 квартал 2016 года. </w:t>
      </w:r>
      <w:r w:rsidRPr="00FF2E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На основании данных ЦБ, 29</w:t>
      </w:r>
      <w:r w:rsidR="00BD303C">
        <w:rPr>
          <w:rFonts w:ascii="Times New Roman" w:hAnsi="Times New Roman" w:cs="Times New Roman"/>
          <w:sz w:val="28"/>
          <w:szCs w:val="28"/>
        </w:rPr>
        <w:t>, см. в приложении А</w:t>
      </w:r>
      <w:r w:rsidRPr="00FF2E4B">
        <w:rPr>
          <w:rFonts w:ascii="Times New Roman" w:hAnsi="Times New Roman" w:cs="Times New Roman"/>
          <w:sz w:val="28"/>
          <w:szCs w:val="28"/>
        </w:rPr>
        <w:t>]</w:t>
      </w:r>
    </w:p>
    <w:p w:rsidR="008374E0" w:rsidRDefault="008374E0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97978" cy="3681350"/>
            <wp:effectExtent l="19050" t="0" r="2177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74E0" w:rsidRDefault="008374E0" w:rsidP="00FF2E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</w:t>
      </w:r>
      <w:r w:rsidR="00FF2E4B">
        <w:rPr>
          <w:rFonts w:ascii="Times New Roman" w:hAnsi="Times New Roman" w:cs="Times New Roman"/>
          <w:sz w:val="28"/>
          <w:szCs w:val="28"/>
        </w:rPr>
        <w:t xml:space="preserve">нок 3. Распределение прямых инвестиций в РФ по видам экономической деятельности за 1 квартал 2017 года. </w:t>
      </w:r>
      <w:r w:rsidR="00FF2E4B" w:rsidRPr="00FF2E4B">
        <w:rPr>
          <w:rFonts w:ascii="Times New Roman" w:hAnsi="Times New Roman" w:cs="Times New Roman"/>
          <w:sz w:val="28"/>
          <w:szCs w:val="28"/>
        </w:rPr>
        <w:t>[</w:t>
      </w:r>
      <w:r w:rsidR="00FF2E4B">
        <w:rPr>
          <w:rFonts w:ascii="Times New Roman" w:hAnsi="Times New Roman" w:cs="Times New Roman"/>
          <w:sz w:val="28"/>
          <w:szCs w:val="28"/>
        </w:rPr>
        <w:t>На основании данных ЦБ, 29</w:t>
      </w:r>
      <w:r w:rsidR="00BD303C">
        <w:rPr>
          <w:rFonts w:ascii="Times New Roman" w:hAnsi="Times New Roman" w:cs="Times New Roman"/>
          <w:sz w:val="28"/>
          <w:szCs w:val="28"/>
        </w:rPr>
        <w:t>, см. в приложении Б</w:t>
      </w:r>
      <w:r w:rsidR="00FF2E4B" w:rsidRPr="00FF2E4B">
        <w:rPr>
          <w:rFonts w:ascii="Times New Roman" w:hAnsi="Times New Roman" w:cs="Times New Roman"/>
          <w:sz w:val="28"/>
          <w:szCs w:val="28"/>
        </w:rPr>
        <w:t>]</w:t>
      </w:r>
    </w:p>
    <w:p w:rsidR="00FF2E4B" w:rsidRDefault="00FF2E4B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3DF" w:rsidRDefault="000453DF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3DF">
        <w:rPr>
          <w:rFonts w:ascii="Times New Roman" w:hAnsi="Times New Roman" w:cs="Times New Roman"/>
          <w:sz w:val="28"/>
          <w:szCs w:val="28"/>
        </w:rPr>
        <w:t xml:space="preserve">Итак, у нас есть две диаграммы о распределении прямых инвестиций в РФ по видам экономической деятельности. В 2016 году основными отраслями являлись: добыча полезных ископаемых (19%), торговля (36%), обрабатывающие производства (19%), финансовая и страховая деятельность (8%), предоставление прочих видов услуг (6%) и прочие (12%). В 2017 структура незначительно изменилась, лидерство сохранила торговля, незначительно </w:t>
      </w:r>
      <w:r w:rsidR="00EB5521">
        <w:rPr>
          <w:rFonts w:ascii="Times New Roman" w:hAnsi="Times New Roman" w:cs="Times New Roman"/>
          <w:sz w:val="28"/>
          <w:szCs w:val="28"/>
        </w:rPr>
        <w:t>(</w:t>
      </w:r>
      <w:r w:rsidRPr="000453DF">
        <w:rPr>
          <w:rFonts w:ascii="Times New Roman" w:hAnsi="Times New Roman" w:cs="Times New Roman"/>
          <w:sz w:val="28"/>
          <w:szCs w:val="28"/>
        </w:rPr>
        <w:t>на 3%</w:t>
      </w:r>
      <w:r w:rsidR="00EB5521">
        <w:rPr>
          <w:rFonts w:ascii="Times New Roman" w:hAnsi="Times New Roman" w:cs="Times New Roman"/>
          <w:sz w:val="28"/>
          <w:szCs w:val="28"/>
        </w:rPr>
        <w:t>)</w:t>
      </w:r>
      <w:r w:rsidRPr="000453DF">
        <w:rPr>
          <w:rFonts w:ascii="Times New Roman" w:hAnsi="Times New Roman" w:cs="Times New Roman"/>
          <w:sz w:val="28"/>
          <w:szCs w:val="28"/>
        </w:rPr>
        <w:t xml:space="preserve"> увеличилась доля добычи полезных ископаемых. Самые значительные изменения произошли в отрасли обрабатывающих производств, снижение на 10%, финансовая и страховая деятельность увеличила на 5% свою долю в структуре прямых инвестиций.</w:t>
      </w:r>
    </w:p>
    <w:p w:rsidR="009523E2" w:rsidRPr="00682AD8" w:rsidRDefault="00275F78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="009523E2" w:rsidRPr="00682AD8">
        <w:rPr>
          <w:rFonts w:ascii="Times New Roman" w:hAnsi="Times New Roman" w:cs="Times New Roman"/>
          <w:sz w:val="28"/>
          <w:szCs w:val="28"/>
        </w:rPr>
        <w:t>, эффективная экономическая политика России в области инвестиционной безопасности может сыграть положительную роль по борьбе с кризисными явлениями миро</w:t>
      </w:r>
      <w:r w:rsidR="00682AD8" w:rsidRPr="00682AD8">
        <w:rPr>
          <w:rFonts w:ascii="Times New Roman" w:hAnsi="Times New Roman" w:cs="Times New Roman"/>
          <w:sz w:val="28"/>
          <w:szCs w:val="28"/>
        </w:rPr>
        <w:t xml:space="preserve">вой экономики. Нужно обратить внимание на </w:t>
      </w:r>
      <w:r w:rsidR="00682AD8" w:rsidRPr="00682AD8">
        <w:rPr>
          <w:rFonts w:ascii="Times New Roman" w:hAnsi="Times New Roman" w:cs="Times New Roman"/>
          <w:sz w:val="28"/>
          <w:szCs w:val="28"/>
        </w:rPr>
        <w:lastRenderedPageBreak/>
        <w:t>изменение представлений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</w:t>
      </w:r>
      <w:r w:rsidR="00682AD8" w:rsidRPr="00682AD8">
        <w:rPr>
          <w:rFonts w:ascii="Times New Roman" w:hAnsi="Times New Roman" w:cs="Times New Roman"/>
          <w:sz w:val="28"/>
          <w:szCs w:val="28"/>
        </w:rPr>
        <w:t xml:space="preserve">как 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об инвестиционном процессе в целом, </w:t>
      </w:r>
      <w:r w:rsidR="00682AD8" w:rsidRPr="00682AD8">
        <w:rPr>
          <w:rFonts w:ascii="Times New Roman" w:hAnsi="Times New Roman" w:cs="Times New Roman"/>
          <w:sz w:val="28"/>
          <w:szCs w:val="28"/>
        </w:rPr>
        <w:t xml:space="preserve">так и 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о его целевых установках, системе, структуре и механизме. </w:t>
      </w:r>
    </w:p>
    <w:p w:rsidR="00682AD8" w:rsidRDefault="00682AD8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>Рассматривая направления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развития межгосударственных экономических связей, научно-техничес</w:t>
      </w:r>
      <w:r w:rsidR="009352D1">
        <w:rPr>
          <w:rFonts w:ascii="Times New Roman" w:hAnsi="Times New Roman" w:cs="Times New Roman"/>
          <w:sz w:val="28"/>
          <w:szCs w:val="28"/>
        </w:rPr>
        <w:t xml:space="preserve">ких преобразований в экономике и </w:t>
      </w:r>
      <w:r w:rsidR="009523E2" w:rsidRPr="00682AD8">
        <w:rPr>
          <w:rFonts w:ascii="Times New Roman" w:hAnsi="Times New Roman" w:cs="Times New Roman"/>
          <w:sz w:val="28"/>
          <w:szCs w:val="28"/>
        </w:rPr>
        <w:t>мировых интеграционных процессов</w:t>
      </w:r>
      <w:r w:rsidR="009352D1">
        <w:rPr>
          <w:rFonts w:ascii="Times New Roman" w:hAnsi="Times New Roman" w:cs="Times New Roman"/>
          <w:sz w:val="28"/>
          <w:szCs w:val="28"/>
        </w:rPr>
        <w:t>, а также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воздействия перечисленных факторов на экономические основы национальной безопасности государств мирового сообщества, можно</w:t>
      </w:r>
      <w:r w:rsidRPr="00682AD8">
        <w:rPr>
          <w:rFonts w:ascii="Times New Roman" w:hAnsi="Times New Roman" w:cs="Times New Roman"/>
          <w:sz w:val="28"/>
          <w:szCs w:val="28"/>
        </w:rPr>
        <w:t xml:space="preserve"> </w:t>
      </w:r>
      <w:r w:rsidR="009352D1">
        <w:rPr>
          <w:rFonts w:ascii="Times New Roman" w:hAnsi="Times New Roman" w:cs="Times New Roman"/>
          <w:sz w:val="28"/>
          <w:szCs w:val="28"/>
        </w:rPr>
        <w:t>выявить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основные тенденции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обеспечения экономической безопасности России. </w:t>
      </w:r>
      <w:r w:rsidRPr="00682AD8">
        <w:rPr>
          <w:rFonts w:ascii="Times New Roman" w:hAnsi="Times New Roman" w:cs="Times New Roman"/>
          <w:sz w:val="28"/>
          <w:szCs w:val="28"/>
        </w:rPr>
        <w:t>Помимо этого</w:t>
      </w:r>
      <w:r w:rsidR="009523E2" w:rsidRPr="00682AD8">
        <w:rPr>
          <w:rFonts w:ascii="Times New Roman" w:hAnsi="Times New Roman" w:cs="Times New Roman"/>
          <w:sz w:val="28"/>
          <w:szCs w:val="28"/>
        </w:rPr>
        <w:t>, очевидно, что оценка эффективности обеспечения безопасности национальной экономики страны н</w:t>
      </w:r>
      <w:r w:rsidRPr="00682AD8">
        <w:rPr>
          <w:rFonts w:ascii="Times New Roman" w:hAnsi="Times New Roman" w:cs="Times New Roman"/>
          <w:sz w:val="28"/>
          <w:szCs w:val="28"/>
        </w:rPr>
        <w:t>евозможна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без определения ретроспективных, текущих и предполагаемых уровней экономической, в том числе инвестиционной, безопасности России. </w:t>
      </w:r>
    </w:p>
    <w:p w:rsidR="00854AF6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По поручению президента В.В.Путина Министерство экономического развития РФ разработало Концепцию долгосрочного социально-экономического развития Российской Федерации на </w:t>
      </w:r>
      <w:r w:rsidR="00682AD8" w:rsidRPr="00682AD8">
        <w:rPr>
          <w:rFonts w:ascii="Times New Roman" w:hAnsi="Times New Roman" w:cs="Times New Roman"/>
          <w:sz w:val="28"/>
          <w:szCs w:val="28"/>
        </w:rPr>
        <w:t>период до 2020 года.</w:t>
      </w:r>
      <w:r w:rsidRPr="00682AD8">
        <w:rPr>
          <w:rFonts w:ascii="Times New Roman" w:hAnsi="Times New Roman" w:cs="Times New Roman"/>
          <w:sz w:val="28"/>
          <w:szCs w:val="28"/>
        </w:rPr>
        <w:t xml:space="preserve"> </w:t>
      </w:r>
      <w:r w:rsidR="00682AD8" w:rsidRPr="00682AD8">
        <w:rPr>
          <w:rFonts w:ascii="Times New Roman" w:hAnsi="Times New Roman" w:cs="Times New Roman"/>
          <w:sz w:val="28"/>
          <w:szCs w:val="28"/>
        </w:rPr>
        <w:t>Ц</w:t>
      </w:r>
      <w:r w:rsidRPr="00682AD8">
        <w:rPr>
          <w:rFonts w:ascii="Times New Roman" w:hAnsi="Times New Roman" w:cs="Times New Roman"/>
          <w:sz w:val="28"/>
          <w:szCs w:val="28"/>
        </w:rPr>
        <w:t>ель</w:t>
      </w:r>
      <w:r w:rsidR="00682AD8" w:rsidRPr="00682AD8">
        <w:rPr>
          <w:rFonts w:ascii="Times New Roman" w:hAnsi="Times New Roman" w:cs="Times New Roman"/>
          <w:sz w:val="28"/>
          <w:szCs w:val="28"/>
        </w:rPr>
        <w:t>ю проделанной работы стало –  определить пути устойчивого</w:t>
      </w:r>
      <w:r w:rsidRPr="00682AD8">
        <w:rPr>
          <w:rFonts w:ascii="Times New Roman" w:hAnsi="Times New Roman" w:cs="Times New Roman"/>
          <w:sz w:val="28"/>
          <w:szCs w:val="28"/>
        </w:rPr>
        <w:t xml:space="preserve"> повышения благосостояни</w:t>
      </w:r>
      <w:r w:rsidR="00682AD8" w:rsidRPr="00682AD8">
        <w:rPr>
          <w:rFonts w:ascii="Times New Roman" w:hAnsi="Times New Roman" w:cs="Times New Roman"/>
          <w:sz w:val="28"/>
          <w:szCs w:val="28"/>
        </w:rPr>
        <w:t>я российских граждан, укрепить экономическую</w:t>
      </w:r>
      <w:r w:rsidRPr="00682AD8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82AD8" w:rsidRPr="00682AD8">
        <w:rPr>
          <w:rFonts w:ascii="Times New Roman" w:hAnsi="Times New Roman" w:cs="Times New Roman"/>
          <w:sz w:val="28"/>
          <w:szCs w:val="28"/>
        </w:rPr>
        <w:t>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страны и </w:t>
      </w:r>
      <w:r w:rsidR="00682AD8" w:rsidRPr="00682AD8">
        <w:rPr>
          <w:rFonts w:ascii="Times New Roman" w:hAnsi="Times New Roman" w:cs="Times New Roman"/>
          <w:sz w:val="28"/>
          <w:szCs w:val="28"/>
        </w:rPr>
        <w:t>приложить усилия к развитию</w:t>
      </w:r>
      <w:r w:rsidRPr="00682AD8">
        <w:rPr>
          <w:rFonts w:ascii="Times New Roman" w:hAnsi="Times New Roman" w:cs="Times New Roman"/>
          <w:sz w:val="28"/>
          <w:szCs w:val="28"/>
        </w:rPr>
        <w:t xml:space="preserve"> российской экономики. Главным стратегическим экономическим ориентиром, Концепция которой определяет восстановление Российской Федерацией статуса мировой экономической державы, превращение российского государства в одного из глобальных лидеров мировой экономики, выход экономического развития России на уровень социально-экономического развития высокоиндустриальных стран мира. К 2020 году, согласно этой Концепции, Россия должна войти в первую шестерку ведущих стран мира по экономической мощи по производству валового внутреннего продукта, обеспечить уровень благосостояния населения, который соответствовал бы уровню развитых стран мира, добиться научного, технологического и финансового лидерства, обеспечивающего специализацию страны в мировой экономике. 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lastRenderedPageBreak/>
        <w:t>Системное решение поставленных задач выражается в переходе российской экономики от экспортно-сырьевого типа развития к инновационному типу, что позвол</w:t>
      </w:r>
      <w:r w:rsidR="009352D1">
        <w:rPr>
          <w:rFonts w:ascii="Times New Roman" w:hAnsi="Times New Roman" w:cs="Times New Roman"/>
          <w:sz w:val="28"/>
          <w:szCs w:val="28"/>
        </w:rPr>
        <w:t>ило бы ей</w:t>
      </w:r>
      <w:r w:rsidRPr="00682AD8">
        <w:rPr>
          <w:rFonts w:ascii="Times New Roman" w:hAnsi="Times New Roman" w:cs="Times New Roman"/>
          <w:sz w:val="28"/>
          <w:szCs w:val="28"/>
        </w:rPr>
        <w:t xml:space="preserve"> резко расширить </w:t>
      </w:r>
      <w:r w:rsidR="009352D1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682AD8">
        <w:rPr>
          <w:rFonts w:ascii="Times New Roman" w:hAnsi="Times New Roman" w:cs="Times New Roman"/>
          <w:sz w:val="28"/>
          <w:szCs w:val="28"/>
        </w:rPr>
        <w:t xml:space="preserve">конкурентный потенциал за счет наращивания сравнительных преимуществ в науке, образовании и высоких технологии и </w:t>
      </w:r>
      <w:r w:rsidR="009352D1">
        <w:rPr>
          <w:rFonts w:ascii="Times New Roman" w:hAnsi="Times New Roman" w:cs="Times New Roman"/>
          <w:sz w:val="28"/>
          <w:szCs w:val="28"/>
        </w:rPr>
        <w:t>уже на этом основании</w:t>
      </w:r>
      <w:r w:rsidRPr="00682AD8">
        <w:rPr>
          <w:rFonts w:ascii="Times New Roman" w:hAnsi="Times New Roman" w:cs="Times New Roman"/>
          <w:sz w:val="28"/>
          <w:szCs w:val="28"/>
        </w:rPr>
        <w:t xml:space="preserve"> задействовать новые источники экономического роста. 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В условиях глобальной конкуренции предлагается обеспечить опережающее «прорывное» развитие в тех секторах российской экономики, которые определяют ее специализацию в мировом хозяйстве.  При этом необходимо реализовать сразу четыре стратегии экономического развития: 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>1. Использование глобальных конкурентных преимуществ России в сферах энергетики, транспорта и аграрного сектора.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 2. Формирование мощного научно-технологического комплекса, обеспечивающего глобальную специализацию России на высокотехнологичных рынках.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 3. Структурная диверсификация национального хозяйства. </w:t>
      </w:r>
    </w:p>
    <w:p w:rsidR="00682AD8" w:rsidRPr="00682AD8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>4. Развитие рыночных отношений, демократии и обеспечение защиты прав и свобод предпринимательства.</w:t>
      </w:r>
    </w:p>
    <w:p w:rsidR="009352D1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 Для привлечения внутренних источников развития с целью реализации программ обеспечения экономической безопасности можно использовать </w:t>
      </w:r>
      <w:r w:rsidR="009352D1">
        <w:rPr>
          <w:rFonts w:ascii="Times New Roman" w:hAnsi="Times New Roman" w:cs="Times New Roman"/>
          <w:sz w:val="28"/>
          <w:szCs w:val="28"/>
        </w:rPr>
        <w:t>такие</w:t>
      </w:r>
      <w:r w:rsidRPr="00682AD8">
        <w:rPr>
          <w:rFonts w:ascii="Times New Roman" w:hAnsi="Times New Roman" w:cs="Times New Roman"/>
          <w:sz w:val="28"/>
          <w:szCs w:val="28"/>
        </w:rPr>
        <w:t xml:space="preserve"> механизмы</w:t>
      </w:r>
      <w:r w:rsidR="009352D1">
        <w:rPr>
          <w:rFonts w:ascii="Times New Roman" w:hAnsi="Times New Roman" w:cs="Times New Roman"/>
          <w:sz w:val="28"/>
          <w:szCs w:val="28"/>
        </w:rPr>
        <w:t xml:space="preserve"> как</w:t>
      </w:r>
      <w:r w:rsidRPr="00682AD8">
        <w:rPr>
          <w:rFonts w:ascii="Times New Roman" w:hAnsi="Times New Roman" w:cs="Times New Roman"/>
          <w:sz w:val="28"/>
          <w:szCs w:val="28"/>
        </w:rPr>
        <w:t>:</w:t>
      </w:r>
    </w:p>
    <w:p w:rsidR="009352D1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 – механизм государственно-частного партнерства с привлечением частных инвестиций и инвестиционных проектов, имеющих стратегическое значение для обеспечения экономической безопасности страны;</w:t>
      </w:r>
    </w:p>
    <w:p w:rsidR="00854AF6" w:rsidRDefault="009523E2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 xml:space="preserve"> – механизма принятия и использования бюджета развития Российской Федерации для финансирования инвестиционных проектов, имеющих стратегическое значение для обеспечения экономической безопасности страны. </w:t>
      </w:r>
    </w:p>
    <w:p w:rsidR="00655506" w:rsidRDefault="00655506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одобренных стратегий необходимо сохранить в долгосрочной перспективе высокие темпы роста мировой экономики,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поступательное развитие глобализации и усиление ее региональной составляющей. Главные развивающиеся страны, такие как Индия и Китай, будут определять около 45 – 50% роста мирового хозяйства, а за счет опережающих темпов роста затрат на НИОКР данные страны станут абсолютными лидерами  в области научно-технического развития к 2020 году.</w:t>
      </w:r>
    </w:p>
    <w:p w:rsidR="00655506" w:rsidRDefault="00655506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тенденции развития мировой экономики в долгосрочной перспективе, то, очевидно, </w:t>
      </w:r>
      <w:r w:rsidR="00D62E90">
        <w:rPr>
          <w:rFonts w:ascii="Times New Roman" w:hAnsi="Times New Roman" w:cs="Times New Roman"/>
          <w:sz w:val="28"/>
          <w:szCs w:val="28"/>
        </w:rPr>
        <w:t xml:space="preserve">появление не только новых возможностей, но и новых рисков для нашей страны, касающихся ее инвестиционной и экономической безопасности. Возможности будут, в первую очередь, связаны с использованием энергетических ресурсов, в частности – реализация энергетического, транзитного, экологического и высокотехнологичного потенциала России. В связи с этим, новая возникшая нано волна в области высокотехнологических разработок даст возможность пробиться на мировые рынки. </w:t>
      </w:r>
    </w:p>
    <w:p w:rsidR="00854AF6" w:rsidRDefault="00D62E90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в настоящее время нестабильность мировых рынков энергоносителей, диверсификация каналов поставки газа и нефти на европейский и китайский рынки в обход России неизбежно </w:t>
      </w:r>
      <w:r>
        <w:rPr>
          <w:rFonts w:ascii="Times New Roman" w:hAnsi="Times New Roman" w:cs="Times New Roman"/>
          <w:sz w:val="28"/>
          <w:szCs w:val="28"/>
        </w:rPr>
        <w:t>повлияет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на изменение ее позиций как одного из ведущих поставщиков этих видов энергоносителей. </w:t>
      </w: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глобализация финансовых рынков </w:t>
      </w:r>
      <w:r>
        <w:rPr>
          <w:rFonts w:ascii="Times New Roman" w:hAnsi="Times New Roman" w:cs="Times New Roman"/>
          <w:sz w:val="28"/>
          <w:szCs w:val="28"/>
        </w:rPr>
        <w:t>способна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повысить риски утраты российской финансовой системой своей самостоятельности и превращения ее в периферийный сегмент европейского и американского финансовых рынков. Всё это означает, что перспективы экономического развития и повышения уровня экономической безопасности России будут определяться как объективными условиями и факторами развития мирового хозяйства, так и субъективными экономическими, социальными, но, главное – политическими процессами, происходящими в различных мировых регионах и в нашей стране. </w:t>
      </w:r>
    </w:p>
    <w:p w:rsidR="00854AF6" w:rsidRDefault="00854AF6" w:rsidP="00682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62E90">
        <w:rPr>
          <w:rFonts w:ascii="Times New Roman" w:hAnsi="Times New Roman" w:cs="Times New Roman"/>
          <w:sz w:val="28"/>
          <w:szCs w:val="28"/>
        </w:rPr>
        <w:t>нашему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мнению, очевидно, что России необходим</w:t>
      </w:r>
      <w:r w:rsidR="00D62E90">
        <w:rPr>
          <w:rFonts w:ascii="Times New Roman" w:hAnsi="Times New Roman" w:cs="Times New Roman"/>
          <w:sz w:val="28"/>
          <w:szCs w:val="28"/>
        </w:rPr>
        <w:t xml:space="preserve">о проработать 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свой план</w:t>
      </w:r>
      <w:r w:rsidR="00D62E90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воспроизводственного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9523E2" w:rsidRPr="00682AD8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которого должны стать внутренние инвестиции – подготовка и реализация государственных целевых программ, направленных на развитие определенных секторов экономики. В октябре 2014 года Премьер-министр РФ Дмитрий Медведев подписал распоряжение об утверждении «дорожной карты» по содействию импортозамещению в сельском хозяйстве. По словам Медведева, введенные </w:t>
      </w:r>
      <w:r w:rsidR="00D62E90">
        <w:rPr>
          <w:rFonts w:ascii="Times New Roman" w:hAnsi="Times New Roman" w:cs="Times New Roman"/>
          <w:sz w:val="28"/>
          <w:szCs w:val="28"/>
        </w:rPr>
        <w:t>ограничения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на импорт некоторых зарубежных продуктов были вынужденными, </w:t>
      </w:r>
      <w:r w:rsidR="00D62E90">
        <w:rPr>
          <w:rFonts w:ascii="Times New Roman" w:hAnsi="Times New Roman" w:cs="Times New Roman"/>
          <w:sz w:val="28"/>
          <w:szCs w:val="28"/>
        </w:rPr>
        <w:t>однако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они </w:t>
      </w:r>
      <w:r w:rsidR="00D62E90">
        <w:rPr>
          <w:rFonts w:ascii="Times New Roman" w:hAnsi="Times New Roman" w:cs="Times New Roman"/>
          <w:sz w:val="28"/>
          <w:szCs w:val="28"/>
        </w:rPr>
        <w:t>способствовали толчку</w:t>
      </w:r>
      <w:r w:rsidR="009523E2" w:rsidRPr="00682AD8">
        <w:rPr>
          <w:rFonts w:ascii="Times New Roman" w:hAnsi="Times New Roman" w:cs="Times New Roman"/>
          <w:sz w:val="28"/>
          <w:szCs w:val="28"/>
        </w:rPr>
        <w:t xml:space="preserve"> к развитию отечественных сельхозпроизводителей. «Заверяю, что курс на импортозамещение по продовольствию – это не сиюминутный порыв, а четкая и стратегическая позиция государства», – добавил премьер. </w:t>
      </w:r>
    </w:p>
    <w:p w:rsidR="003B7400" w:rsidRDefault="009523E2" w:rsidP="00E95C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D8">
        <w:rPr>
          <w:rFonts w:ascii="Times New Roman" w:hAnsi="Times New Roman" w:cs="Times New Roman"/>
          <w:sz w:val="28"/>
          <w:szCs w:val="28"/>
        </w:rPr>
        <w:t>Медведев подчеркнул, что сельское хозяйство является одним из приоритет</w:t>
      </w:r>
      <w:r w:rsidR="00D62E90">
        <w:rPr>
          <w:rFonts w:ascii="Times New Roman" w:hAnsi="Times New Roman" w:cs="Times New Roman"/>
          <w:sz w:val="28"/>
          <w:szCs w:val="28"/>
        </w:rPr>
        <w:t>ных направлений</w:t>
      </w:r>
      <w:r w:rsidRPr="00682AD8">
        <w:rPr>
          <w:rFonts w:ascii="Times New Roman" w:hAnsi="Times New Roman" w:cs="Times New Roman"/>
          <w:sz w:val="28"/>
          <w:szCs w:val="28"/>
        </w:rPr>
        <w:t xml:space="preserve"> для российского правительства. И именно сейчас у отече</w:t>
      </w:r>
      <w:r w:rsidR="009A0E1A">
        <w:rPr>
          <w:rFonts w:ascii="Times New Roman" w:hAnsi="Times New Roman" w:cs="Times New Roman"/>
          <w:sz w:val="28"/>
          <w:szCs w:val="28"/>
        </w:rPr>
        <w:t>ственных производителей появилась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</w:t>
      </w:r>
      <w:r w:rsidR="009A0E1A">
        <w:rPr>
          <w:rFonts w:ascii="Times New Roman" w:hAnsi="Times New Roman" w:cs="Times New Roman"/>
          <w:sz w:val="28"/>
          <w:szCs w:val="28"/>
        </w:rPr>
        <w:t>возможность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</w:t>
      </w:r>
      <w:r w:rsidR="009A0E1A">
        <w:rPr>
          <w:rFonts w:ascii="Times New Roman" w:hAnsi="Times New Roman" w:cs="Times New Roman"/>
          <w:sz w:val="28"/>
          <w:szCs w:val="28"/>
        </w:rPr>
        <w:t>усилить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свое </w:t>
      </w:r>
      <w:r w:rsidR="009A0E1A">
        <w:rPr>
          <w:rFonts w:ascii="Times New Roman" w:hAnsi="Times New Roman" w:cs="Times New Roman"/>
          <w:sz w:val="28"/>
          <w:szCs w:val="28"/>
        </w:rPr>
        <w:t>участие</w:t>
      </w:r>
      <w:r w:rsidRPr="00682AD8">
        <w:rPr>
          <w:rFonts w:ascii="Times New Roman" w:hAnsi="Times New Roman" w:cs="Times New Roman"/>
          <w:sz w:val="28"/>
          <w:szCs w:val="28"/>
        </w:rPr>
        <w:t xml:space="preserve"> на продовольственном рынке. «Цель наших усилий – увеличить производство собственной сельхозпродукции и снизить зависимость от импорта. Мы намерены создать единую информационную систему обеспечения продовольственной безопасности, планируем внести изменения в государственную программу развития сельского хозяйства. Она предусматривает определение не только новых приоритетных направлений, но и увеличение финансирования», – заявил Медведев. Он подчеркнул, что финансирование АПК будет увеличено, несмотря на «трудный и жесткий бюджет». </w:t>
      </w:r>
      <w:r w:rsidR="009A0E1A">
        <w:rPr>
          <w:rFonts w:ascii="Times New Roman" w:hAnsi="Times New Roman" w:cs="Times New Roman"/>
          <w:sz w:val="28"/>
          <w:szCs w:val="28"/>
        </w:rPr>
        <w:t xml:space="preserve">Исходя из этого, можно сделать обобщенный вывод о том, </w:t>
      </w:r>
      <w:r w:rsidRPr="00682AD8">
        <w:rPr>
          <w:rFonts w:ascii="Times New Roman" w:hAnsi="Times New Roman" w:cs="Times New Roman"/>
          <w:sz w:val="28"/>
          <w:szCs w:val="28"/>
        </w:rPr>
        <w:t xml:space="preserve">эффективная система обеспечения экономической, в том числе инвестиционной, безопасности – вопрос выживания любого государства. Тем более это важно для современной России, </w:t>
      </w:r>
      <w:r w:rsidR="009A0E1A">
        <w:rPr>
          <w:rFonts w:ascii="Times New Roman" w:hAnsi="Times New Roman" w:cs="Times New Roman"/>
          <w:sz w:val="28"/>
          <w:szCs w:val="28"/>
        </w:rPr>
        <w:t>одной из главных целей которой является занять</w:t>
      </w:r>
      <w:r w:rsidRPr="00682AD8">
        <w:rPr>
          <w:rFonts w:ascii="Times New Roman" w:hAnsi="Times New Roman" w:cs="Times New Roman"/>
          <w:sz w:val="28"/>
          <w:szCs w:val="28"/>
        </w:rPr>
        <w:t xml:space="preserve"> достойное место в мировом геополитическом и экономическом пространстве</w:t>
      </w:r>
      <w:r w:rsidR="00E95C58">
        <w:rPr>
          <w:rFonts w:ascii="Times New Roman" w:hAnsi="Times New Roman" w:cs="Times New Roman"/>
          <w:sz w:val="28"/>
          <w:szCs w:val="28"/>
        </w:rPr>
        <w:t>.</w:t>
      </w:r>
      <w:r w:rsidR="00E95C58" w:rsidRPr="00E95C58">
        <w:rPr>
          <w:rFonts w:ascii="Times New Roman" w:hAnsi="Times New Roman" w:cs="Times New Roman"/>
          <w:sz w:val="28"/>
          <w:szCs w:val="28"/>
        </w:rPr>
        <w:t xml:space="preserve">[5, </w:t>
      </w:r>
      <w:r w:rsidR="00E95C58">
        <w:rPr>
          <w:rFonts w:ascii="Times New Roman" w:hAnsi="Times New Roman" w:cs="Times New Roman"/>
          <w:sz w:val="28"/>
          <w:szCs w:val="28"/>
        </w:rPr>
        <w:t>с 191</w:t>
      </w:r>
      <w:r w:rsidR="00E95C58" w:rsidRPr="00E95C58">
        <w:rPr>
          <w:rFonts w:ascii="Times New Roman" w:hAnsi="Times New Roman" w:cs="Times New Roman"/>
          <w:sz w:val="28"/>
          <w:szCs w:val="28"/>
        </w:rPr>
        <w:t>]</w:t>
      </w:r>
    </w:p>
    <w:p w:rsidR="00E95C58" w:rsidRPr="00E948F1" w:rsidRDefault="00275F78" w:rsidP="00E948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вышеуказанное в главе указывает на две главные вещи. Во-первых,</w:t>
      </w:r>
      <w:r w:rsidR="008F6757">
        <w:rPr>
          <w:rFonts w:ascii="Times New Roman" w:hAnsi="Times New Roman" w:cs="Times New Roman"/>
          <w:sz w:val="28"/>
          <w:szCs w:val="28"/>
        </w:rPr>
        <w:t xml:space="preserve"> несмотря на то, что приток инвестиций в основной капитал стал заметно возрастать, тем не менее </w:t>
      </w:r>
      <w:r w:rsidR="008F6757" w:rsidRPr="00F20919">
        <w:rPr>
          <w:rFonts w:ascii="Times New Roman" w:hAnsi="Times New Roman" w:cs="Times New Roman"/>
          <w:sz w:val="28"/>
        </w:rPr>
        <w:t xml:space="preserve">нынешняя экономическая ситуация в сфере </w:t>
      </w:r>
      <w:r w:rsidR="008F6757" w:rsidRPr="00F20919">
        <w:rPr>
          <w:rFonts w:ascii="Times New Roman" w:hAnsi="Times New Roman" w:cs="Times New Roman"/>
          <w:sz w:val="28"/>
        </w:rPr>
        <w:lastRenderedPageBreak/>
        <w:t>привлечения иностранных инвестиций в Россию является неудовлетворительной</w:t>
      </w:r>
      <w:r w:rsidR="008F6757">
        <w:rPr>
          <w:rFonts w:ascii="Times New Roman" w:hAnsi="Times New Roman" w:cs="Times New Roman"/>
          <w:sz w:val="28"/>
        </w:rPr>
        <w:t xml:space="preserve">, что обусловлено рядом проблем на нее влияющих. </w:t>
      </w:r>
      <w:r w:rsidR="00BD303C">
        <w:rPr>
          <w:rFonts w:ascii="Times New Roman" w:hAnsi="Times New Roman" w:cs="Times New Roman"/>
          <w:sz w:val="28"/>
        </w:rPr>
        <w:t xml:space="preserve">Однако, заметен сильный скачок в притоке ПИИ в Россию, что является моментом положительным. </w:t>
      </w:r>
      <w:r w:rsidR="008F6757">
        <w:rPr>
          <w:rFonts w:ascii="Times New Roman" w:hAnsi="Times New Roman" w:cs="Times New Roman"/>
          <w:sz w:val="28"/>
        </w:rPr>
        <w:t>И, во-вторых, мы видим то, что на данный момент уже существует ряд механизмов и программ, направленных на развитие данной области. И, возможно, к 2020 году нам доведется увидеть предполагаемые разработчиками результаты.</w:t>
      </w:r>
      <w:r w:rsidR="00EF5042">
        <w:rPr>
          <w:rFonts w:ascii="Times New Roman" w:hAnsi="Times New Roman" w:cs="Times New Roman"/>
          <w:sz w:val="28"/>
        </w:rPr>
        <w:t xml:space="preserve"> В 3 главе предлагается более подробное рассмотрение вопросов, касающихся</w:t>
      </w:r>
      <w:r w:rsidR="0002011B">
        <w:rPr>
          <w:rFonts w:ascii="Times New Roman" w:hAnsi="Times New Roman" w:cs="Times New Roman"/>
          <w:sz w:val="28"/>
        </w:rPr>
        <w:t xml:space="preserve"> мер по улучшению инвестиционной обстановки страны.</w:t>
      </w: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6BFE" w:rsidRDefault="00036BFE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B5521" w:rsidRDefault="00EB5521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948F1" w:rsidRDefault="00C93090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5D4E">
        <w:rPr>
          <w:rFonts w:ascii="Times New Roman" w:hAnsi="Times New Roman" w:cs="Times New Roman"/>
          <w:sz w:val="28"/>
        </w:rPr>
        <w:lastRenderedPageBreak/>
        <w:t>3. Организация системы противодействия угрозам инвестиционной безопасности государства</w:t>
      </w:r>
    </w:p>
    <w:p w:rsidR="007A0305" w:rsidRDefault="007A0305" w:rsidP="00C9309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93090" w:rsidRPr="0002011B" w:rsidRDefault="00C93090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С учетом вышеуказанных условий, следует заметить, что ключевым элементом структуры обеспечения безопасности экономики являются меры предпринятые государством направленные на своевременное предотвращение внешних и внутренних отрицательных воздействий на экономическую безопасность. Основным направлением деятельности государственных органов, ответственных за безопасность экономики, должно стать распознавание случаев, в которых фактические значения индикаторов экономической безопасности отклоняются от пороговых параметров, и принятие мер по снижению уровней показателей, достигающих критического уровня. При условии стабилизации налоговой системы РФ, в частности снижения налоговой нагрузки, гарантий инвесторам обеспечения их прав на территории нашего государства, освоения механизма государственного частного партнерства, отток прямых иностранных инвестиций из экономики Российской Федерации прекратиться и в дальнейшем динамика будет положительной.   </w:t>
      </w:r>
      <w:r w:rsidR="00F2558B" w:rsidRPr="00F2558B">
        <w:rPr>
          <w:rFonts w:ascii="Times New Roman" w:hAnsi="Times New Roman" w:cs="Times New Roman"/>
          <w:sz w:val="28"/>
        </w:rPr>
        <w:t>[</w:t>
      </w:r>
      <w:r w:rsidR="00F2558B" w:rsidRPr="0002011B">
        <w:rPr>
          <w:rFonts w:ascii="Times New Roman" w:hAnsi="Times New Roman" w:cs="Times New Roman"/>
          <w:sz w:val="28"/>
        </w:rPr>
        <w:t xml:space="preserve">27, </w:t>
      </w:r>
      <w:r w:rsidR="00F2558B">
        <w:rPr>
          <w:rFonts w:ascii="Times New Roman" w:hAnsi="Times New Roman" w:cs="Times New Roman"/>
          <w:sz w:val="28"/>
          <w:lang w:val="en-US"/>
        </w:rPr>
        <w:t>c</w:t>
      </w:r>
      <w:r w:rsidR="00F2558B" w:rsidRPr="0002011B">
        <w:rPr>
          <w:rFonts w:ascii="Times New Roman" w:hAnsi="Times New Roman" w:cs="Times New Roman"/>
          <w:sz w:val="28"/>
        </w:rPr>
        <w:t xml:space="preserve"> 204]</w:t>
      </w:r>
    </w:p>
    <w:p w:rsidR="003B7400" w:rsidRPr="00FE2ABD" w:rsidRDefault="00C93090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Таким образом, одним из главных путей стабилизации национальной безопасности экономики, предупреждение и устранение угроз в её отношении на всех уровнях, является активизация и продвижение деятельности инвесторов на территории России, которая формирует для нашей страны основу для развития экономики в </w:t>
      </w:r>
      <w:r w:rsidR="0002011B">
        <w:rPr>
          <w:rFonts w:ascii="Times New Roman" w:hAnsi="Times New Roman" w:cs="Times New Roman"/>
          <w:sz w:val="28"/>
        </w:rPr>
        <w:t>общем виде</w:t>
      </w:r>
      <w:r w:rsidR="00A077D3">
        <w:rPr>
          <w:rFonts w:ascii="Times New Roman" w:hAnsi="Times New Roman" w:cs="Times New Roman"/>
          <w:sz w:val="28"/>
        </w:rPr>
        <w:t xml:space="preserve"> на длительную перспективу. А для этого необходимо создать благоприятные условия, которые бы показали целесообразность и удобство таких вложений.</w:t>
      </w:r>
    </w:p>
    <w:p w:rsidR="000F7A07" w:rsidRDefault="00A077D3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</w:t>
      </w:r>
      <w:r w:rsidR="0008012D" w:rsidRPr="00FE2ABD">
        <w:rPr>
          <w:rFonts w:ascii="Times New Roman" w:hAnsi="Times New Roman" w:cs="Times New Roman"/>
          <w:sz w:val="28"/>
        </w:rPr>
        <w:t xml:space="preserve"> целом проведенный анализ свидетельствует о необходимости корректировки инвестиционной политики в целях ее активного содействия устойчивому экономическому росту и модернизации российской экономики, что предполагает ряд оперативных мер.  </w:t>
      </w:r>
    </w:p>
    <w:p w:rsidR="00854AF6" w:rsidRPr="00FE2ABD" w:rsidRDefault="0008012D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lastRenderedPageBreak/>
        <w:t>Во-первых, следует провести настройку инструментов инвестиционной политики (в увязке с инструментами промышленной, структурной, бюджетно-налоговой и денежно-кредитной политик) на расширенное воспроизводство и усиление в нем инновационной составляющей.</w:t>
      </w:r>
    </w:p>
    <w:p w:rsidR="00854AF6" w:rsidRPr="00FE2ABD" w:rsidRDefault="0008012D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 Структурные приоритеты такой политики должны быть сформулированы с учетом комплекса инвестиционных критериев экономической безопасности, встроенных в систему целевых и инструментальных критериев социально-экономического развития.  </w:t>
      </w:r>
    </w:p>
    <w:p w:rsidR="00854AF6" w:rsidRPr="00FE2ABD" w:rsidRDefault="0008012D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Во-вторых, следует </w:t>
      </w:r>
      <w:r w:rsidR="000F7A07">
        <w:rPr>
          <w:rFonts w:ascii="Times New Roman" w:hAnsi="Times New Roman" w:cs="Times New Roman"/>
          <w:sz w:val="28"/>
        </w:rPr>
        <w:t>заняться улучшением</w:t>
      </w:r>
      <w:r w:rsidRPr="00FE2ABD">
        <w:rPr>
          <w:rFonts w:ascii="Times New Roman" w:hAnsi="Times New Roman" w:cs="Times New Roman"/>
          <w:sz w:val="28"/>
        </w:rPr>
        <w:t xml:space="preserve"> делового и инвестиционного климата, прежде всего по критическим направлениям: развитие институциональной среды, установление гарантированной защиты прав собственности, инфраструктурное обеспечение, достижение более высокой степени </w:t>
      </w:r>
      <w:r w:rsidR="000F7A07">
        <w:rPr>
          <w:rFonts w:ascii="Times New Roman" w:hAnsi="Times New Roman" w:cs="Times New Roman"/>
          <w:sz w:val="28"/>
        </w:rPr>
        <w:t>развития</w:t>
      </w:r>
      <w:r w:rsidRPr="00FE2ABD">
        <w:rPr>
          <w:rFonts w:ascii="Times New Roman" w:hAnsi="Times New Roman" w:cs="Times New Roman"/>
          <w:sz w:val="28"/>
        </w:rPr>
        <w:t xml:space="preserve"> финансового рынка, снижение информационных, технологических и организационных барьеров на пути финансовых и материальных потоков, оздоровление процессов взаимодействия государства  и бизнеса. </w:t>
      </w:r>
    </w:p>
    <w:p w:rsidR="00D71471" w:rsidRDefault="0008012D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 В-третьих, необходимо обеспечить эффективное взаимодействие элементов отечественной экономики с иностранными компаниями и органами власти зарубежных государств в части активизации двустороннего инвестиционного сотрудничества.  </w:t>
      </w:r>
      <w:r w:rsidR="00E95C58" w:rsidRPr="0002011B">
        <w:rPr>
          <w:rFonts w:ascii="Times New Roman" w:hAnsi="Times New Roman" w:cs="Times New Roman"/>
          <w:sz w:val="28"/>
        </w:rPr>
        <w:t>[</w:t>
      </w:r>
      <w:r w:rsidR="00E95C58">
        <w:rPr>
          <w:rFonts w:ascii="Times New Roman" w:hAnsi="Times New Roman" w:cs="Times New Roman"/>
          <w:sz w:val="28"/>
        </w:rPr>
        <w:t>23, с 543</w:t>
      </w:r>
      <w:r w:rsidR="00E95C58" w:rsidRPr="0002011B">
        <w:rPr>
          <w:rFonts w:ascii="Times New Roman" w:hAnsi="Times New Roman" w:cs="Times New Roman"/>
          <w:sz w:val="28"/>
        </w:rPr>
        <w:t>]</w:t>
      </w:r>
    </w:p>
    <w:p w:rsidR="006462A5" w:rsidRPr="00E95C58" w:rsidRDefault="006462A5" w:rsidP="00FE2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связанно с тем, что Россия заинтересована не только во вложениях в собственную экономику, но и в участии формирования капитала зарубежных стран, что в следствие поможет получать процентную отдачу и налаживание отношений со странами-партнерами.</w:t>
      </w:r>
    </w:p>
    <w:p w:rsidR="006979C0" w:rsidRDefault="006979C0" w:rsidP="006979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этого, следует обеспечить необходимую отраслевую и территориальную</w:t>
      </w:r>
      <w:r w:rsidR="0002011B">
        <w:rPr>
          <w:rFonts w:ascii="Times New Roman" w:hAnsi="Times New Roman" w:cs="Times New Roman"/>
          <w:sz w:val="28"/>
        </w:rPr>
        <w:t xml:space="preserve"> структуры </w:t>
      </w:r>
      <w:r>
        <w:rPr>
          <w:rFonts w:ascii="Times New Roman" w:hAnsi="Times New Roman" w:cs="Times New Roman"/>
          <w:sz w:val="28"/>
        </w:rPr>
        <w:t>с помощью формирования</w:t>
      </w:r>
      <w:r w:rsidR="00D71471" w:rsidRPr="00FE2ABD">
        <w:rPr>
          <w:rFonts w:ascii="Times New Roman" w:hAnsi="Times New Roman" w:cs="Times New Roman"/>
          <w:sz w:val="28"/>
        </w:rPr>
        <w:t xml:space="preserve"> оптимальной институциональной структуры,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="00D71471" w:rsidRPr="00FE2ABD">
        <w:rPr>
          <w:rFonts w:ascii="Times New Roman" w:hAnsi="Times New Roman" w:cs="Times New Roman"/>
          <w:sz w:val="28"/>
        </w:rPr>
        <w:t>поз</w:t>
      </w:r>
      <w:r>
        <w:rPr>
          <w:rFonts w:ascii="Times New Roman" w:hAnsi="Times New Roman" w:cs="Times New Roman"/>
          <w:sz w:val="28"/>
        </w:rPr>
        <w:t>волит</w:t>
      </w:r>
      <w:r w:rsidR="00D71471" w:rsidRPr="00FE2ABD">
        <w:rPr>
          <w:rFonts w:ascii="Times New Roman" w:hAnsi="Times New Roman" w:cs="Times New Roman"/>
          <w:sz w:val="28"/>
        </w:rPr>
        <w:t xml:space="preserve"> привлекать инвестиционные средства в отрасль. Это возможно путем стимулирования кластерных инициатив и создания кластеров в регионах. Стимулирование инновационного развития и осуществления потока инновационных проектов </w:t>
      </w:r>
      <w:r w:rsidR="00D71471" w:rsidRPr="00FE2ABD">
        <w:rPr>
          <w:rFonts w:ascii="Times New Roman" w:hAnsi="Times New Roman" w:cs="Times New Roman"/>
          <w:sz w:val="28"/>
        </w:rPr>
        <w:lastRenderedPageBreak/>
        <w:t xml:space="preserve">позволяет достичь лидерства на отраслевом рынке. Кроме того, реализация кластерных инициатив связана с комплексным подходом к развитию </w:t>
      </w:r>
      <w:r>
        <w:rPr>
          <w:rFonts w:ascii="Times New Roman" w:hAnsi="Times New Roman" w:cs="Times New Roman"/>
          <w:sz w:val="28"/>
        </w:rPr>
        <w:t>территори</w:t>
      </w:r>
      <w:r w:rsidR="00D71471" w:rsidRPr="00FE2ABD">
        <w:rPr>
          <w:rFonts w:ascii="Times New Roman" w:hAnsi="Times New Roman" w:cs="Times New Roman"/>
          <w:sz w:val="28"/>
        </w:rPr>
        <w:t>и.</w:t>
      </w:r>
    </w:p>
    <w:p w:rsidR="00435A68" w:rsidRDefault="00D71471" w:rsidP="006979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ABD">
        <w:rPr>
          <w:rFonts w:ascii="Times New Roman" w:hAnsi="Times New Roman" w:cs="Times New Roman"/>
          <w:sz w:val="28"/>
        </w:rPr>
        <w:t xml:space="preserve"> Для осуществления крупномасштабных инновационных проектов необходимо привлечение специалистов, обновление материальной базы компаний, что сопровождается развитием инфраструктуры региона, повышением конкурентоспособности выпускаемой продукции, ростом уровня жизни населения и уровня ассимиляции в регионе. </w:t>
      </w:r>
      <w:r w:rsidR="00435A68">
        <w:rPr>
          <w:rFonts w:ascii="Times New Roman" w:hAnsi="Times New Roman" w:cs="Times New Roman"/>
          <w:sz w:val="28"/>
        </w:rPr>
        <w:t>Формирование межотраслевых кластеров может значительно облегчить решение этих задач</w:t>
      </w:r>
      <w:r w:rsidRPr="00FE2ABD">
        <w:rPr>
          <w:rFonts w:ascii="Times New Roman" w:hAnsi="Times New Roman" w:cs="Times New Roman"/>
          <w:sz w:val="28"/>
        </w:rPr>
        <w:t xml:space="preserve">. </w:t>
      </w:r>
      <w:r w:rsidR="00435A68">
        <w:rPr>
          <w:rFonts w:ascii="Times New Roman" w:hAnsi="Times New Roman" w:cs="Times New Roman"/>
          <w:sz w:val="28"/>
        </w:rPr>
        <w:t xml:space="preserve">Подобные структуры играют важную роль в создании единого инновационного пространства, чтобы позволить перемещать технологии между отраслями. </w:t>
      </w:r>
    </w:p>
    <w:p w:rsidR="00435A68" w:rsidRDefault="00435A68" w:rsidP="006979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государство задает общие условия для складывающихся отношений партнерства, в особенности это касается государственно-частного партнерства, что позволяет привлекать</w:t>
      </w:r>
      <w:r w:rsidR="00D71471" w:rsidRPr="00FE2ABD">
        <w:rPr>
          <w:rFonts w:ascii="Times New Roman" w:hAnsi="Times New Roman" w:cs="Times New Roman"/>
          <w:sz w:val="28"/>
        </w:rPr>
        <w:t xml:space="preserve"> дополнительные объемы инвестиций за счет распределения рисков</w:t>
      </w:r>
      <w:r>
        <w:rPr>
          <w:rFonts w:ascii="Times New Roman" w:hAnsi="Times New Roman" w:cs="Times New Roman"/>
          <w:sz w:val="28"/>
        </w:rPr>
        <w:t xml:space="preserve"> между ними, обеспечение</w:t>
      </w:r>
      <w:r w:rsidR="00D71471" w:rsidRPr="00FE2A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вложений большей надежностью</w:t>
      </w:r>
      <w:r w:rsidR="00D71471" w:rsidRPr="00FE2ABD">
        <w:rPr>
          <w:rFonts w:ascii="Times New Roman" w:hAnsi="Times New Roman" w:cs="Times New Roman"/>
          <w:sz w:val="28"/>
        </w:rPr>
        <w:t xml:space="preserve"> (гарантом надежности является участие в проекте государства) и законности осуществления деятельности.</w:t>
      </w:r>
      <w:r>
        <w:rPr>
          <w:rFonts w:ascii="Times New Roman" w:hAnsi="Times New Roman" w:cs="Times New Roman"/>
          <w:sz w:val="28"/>
        </w:rPr>
        <w:t xml:space="preserve"> Иностранные инвесторы при выборе объекта финансирования отдают предпочтение проектам с большей прозрачностью и соблюдением имеющихся сводов правил и законов.</w:t>
      </w:r>
      <w:r w:rsidR="00D71471" w:rsidRPr="00FE2ABD">
        <w:rPr>
          <w:rFonts w:ascii="Times New Roman" w:hAnsi="Times New Roman" w:cs="Times New Roman"/>
          <w:sz w:val="28"/>
        </w:rPr>
        <w:t xml:space="preserve"> </w:t>
      </w:r>
    </w:p>
    <w:p w:rsidR="0002011B" w:rsidRDefault="00435A68" w:rsidP="006979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уделяется созданию инкубационных условий для бизнеса, что позволит осуществлять развитие территорий более равномерно. Для этого</w:t>
      </w:r>
      <w:r w:rsidR="00D71471" w:rsidRPr="00FE2ABD">
        <w:rPr>
          <w:rFonts w:ascii="Times New Roman" w:hAnsi="Times New Roman" w:cs="Times New Roman"/>
          <w:sz w:val="28"/>
        </w:rPr>
        <w:t xml:space="preserve"> государственными структурами инициируется строительство бизнес</w:t>
      </w:r>
      <w:r w:rsidR="0002011B">
        <w:rPr>
          <w:rFonts w:ascii="Times New Roman" w:hAnsi="Times New Roman" w:cs="Times New Roman"/>
          <w:sz w:val="28"/>
        </w:rPr>
        <w:t>-</w:t>
      </w:r>
      <w:r w:rsidR="00D71471" w:rsidRPr="00FE2ABD">
        <w:rPr>
          <w:rFonts w:ascii="Times New Roman" w:hAnsi="Times New Roman" w:cs="Times New Roman"/>
          <w:sz w:val="28"/>
        </w:rPr>
        <w:t>инкубаторов, технопарков</w:t>
      </w:r>
      <w:r>
        <w:rPr>
          <w:rFonts w:ascii="Times New Roman" w:hAnsi="Times New Roman" w:cs="Times New Roman"/>
          <w:sz w:val="28"/>
        </w:rPr>
        <w:t xml:space="preserve"> и</w:t>
      </w:r>
      <w:r w:rsidR="00D71471" w:rsidRPr="00FE2ABD">
        <w:rPr>
          <w:rFonts w:ascii="Times New Roman" w:hAnsi="Times New Roman" w:cs="Times New Roman"/>
          <w:sz w:val="28"/>
        </w:rPr>
        <w:t xml:space="preserve"> предоставл</w:t>
      </w:r>
      <w:r>
        <w:rPr>
          <w:rFonts w:ascii="Times New Roman" w:hAnsi="Times New Roman" w:cs="Times New Roman"/>
          <w:sz w:val="28"/>
        </w:rPr>
        <w:t>яются льготные условия</w:t>
      </w:r>
      <w:r w:rsidR="00D71471" w:rsidRPr="00FE2ABD">
        <w:rPr>
          <w:rFonts w:ascii="Times New Roman" w:hAnsi="Times New Roman" w:cs="Times New Roman"/>
          <w:sz w:val="28"/>
        </w:rPr>
        <w:t xml:space="preserve"> налогообложения. </w:t>
      </w:r>
      <w:r>
        <w:rPr>
          <w:rFonts w:ascii="Times New Roman" w:hAnsi="Times New Roman" w:cs="Times New Roman"/>
          <w:sz w:val="28"/>
        </w:rPr>
        <w:t>Создаются</w:t>
      </w:r>
      <w:r w:rsidR="00D71471" w:rsidRPr="00FE2ABD">
        <w:rPr>
          <w:rFonts w:ascii="Times New Roman" w:hAnsi="Times New Roman" w:cs="Times New Roman"/>
          <w:sz w:val="28"/>
        </w:rPr>
        <w:t xml:space="preserve"> свободны</w:t>
      </w:r>
      <w:r>
        <w:rPr>
          <w:rFonts w:ascii="Times New Roman" w:hAnsi="Times New Roman" w:cs="Times New Roman"/>
          <w:sz w:val="28"/>
        </w:rPr>
        <w:t>е</w:t>
      </w:r>
      <w:r w:rsidR="00D71471" w:rsidRPr="00FE2ABD">
        <w:rPr>
          <w:rFonts w:ascii="Times New Roman" w:hAnsi="Times New Roman" w:cs="Times New Roman"/>
          <w:sz w:val="28"/>
        </w:rPr>
        <w:t xml:space="preserve"> экономически</w:t>
      </w:r>
      <w:r>
        <w:rPr>
          <w:rFonts w:ascii="Times New Roman" w:hAnsi="Times New Roman" w:cs="Times New Roman"/>
          <w:sz w:val="28"/>
        </w:rPr>
        <w:t>е</w:t>
      </w:r>
      <w:r w:rsidR="00D71471" w:rsidRPr="00FE2ABD">
        <w:rPr>
          <w:rFonts w:ascii="Times New Roman" w:hAnsi="Times New Roman" w:cs="Times New Roman"/>
          <w:sz w:val="28"/>
        </w:rPr>
        <w:t xml:space="preserve"> зон</w:t>
      </w:r>
      <w:r>
        <w:rPr>
          <w:rFonts w:ascii="Times New Roman" w:hAnsi="Times New Roman" w:cs="Times New Roman"/>
          <w:sz w:val="28"/>
        </w:rPr>
        <w:t>ы, территории</w:t>
      </w:r>
      <w:r w:rsidR="00D71471" w:rsidRPr="00FE2ABD">
        <w:rPr>
          <w:rFonts w:ascii="Times New Roman" w:hAnsi="Times New Roman" w:cs="Times New Roman"/>
          <w:sz w:val="28"/>
        </w:rPr>
        <w:t xml:space="preserve"> опережающего социально-экономического развития, </w:t>
      </w:r>
      <w:r>
        <w:rPr>
          <w:rFonts w:ascii="Times New Roman" w:hAnsi="Times New Roman" w:cs="Times New Roman"/>
          <w:sz w:val="28"/>
        </w:rPr>
        <w:t>которые позволяют</w:t>
      </w:r>
      <w:r w:rsidR="00D71471" w:rsidRPr="00FE2ABD">
        <w:rPr>
          <w:rFonts w:ascii="Times New Roman" w:hAnsi="Times New Roman" w:cs="Times New Roman"/>
          <w:sz w:val="28"/>
        </w:rPr>
        <w:t xml:space="preserve"> достичь быстрого роста предприятий и существенно сокра</w:t>
      </w:r>
      <w:r>
        <w:rPr>
          <w:rFonts w:ascii="Times New Roman" w:hAnsi="Times New Roman" w:cs="Times New Roman"/>
          <w:sz w:val="28"/>
        </w:rPr>
        <w:t>щают</w:t>
      </w:r>
      <w:r w:rsidR="00D71471" w:rsidRPr="00FE2ABD">
        <w:rPr>
          <w:rFonts w:ascii="Times New Roman" w:hAnsi="Times New Roman" w:cs="Times New Roman"/>
          <w:sz w:val="28"/>
        </w:rPr>
        <w:t xml:space="preserve"> период окупаемости бизнеса</w:t>
      </w:r>
      <w:r w:rsidR="009C2F4A">
        <w:rPr>
          <w:rFonts w:ascii="Times New Roman" w:hAnsi="Times New Roman" w:cs="Times New Roman"/>
          <w:sz w:val="28"/>
        </w:rPr>
        <w:t>.</w:t>
      </w:r>
    </w:p>
    <w:p w:rsidR="0008012D" w:rsidRDefault="0002011B" w:rsidP="005A6E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при соблюдении хотя бы части вышеуказанных мер можно значительно сдвинуть отстающие показатели в лучшую сторону. На </w:t>
      </w:r>
      <w:r>
        <w:rPr>
          <w:rFonts w:ascii="Times New Roman" w:hAnsi="Times New Roman" w:cs="Times New Roman"/>
          <w:sz w:val="28"/>
        </w:rPr>
        <w:lastRenderedPageBreak/>
        <w:t xml:space="preserve">наш взгляд успех проведения данных мероприятий напрямую зависит от эффективности </w:t>
      </w:r>
      <w:r w:rsidR="003B7EDA">
        <w:rPr>
          <w:rFonts w:ascii="Times New Roman" w:hAnsi="Times New Roman" w:cs="Times New Roman"/>
          <w:sz w:val="28"/>
        </w:rPr>
        <w:t>работы государства.</w:t>
      </w:r>
      <w:r w:rsidR="004C7635" w:rsidRPr="004C7635">
        <w:rPr>
          <w:rFonts w:ascii="Times New Roman" w:hAnsi="Times New Roman" w:cs="Times New Roman"/>
          <w:sz w:val="28"/>
        </w:rPr>
        <w:t xml:space="preserve"> </w:t>
      </w:r>
      <w:r w:rsidR="005A6EC8">
        <w:rPr>
          <w:rFonts w:ascii="Times New Roman" w:hAnsi="Times New Roman" w:cs="Times New Roman"/>
          <w:sz w:val="28"/>
        </w:rPr>
        <w:t>Это связанно с тем, что вопросы, касающиеся инвестиций, достигают крупных масштабов, и их невозможно решить только силами частного сектора. Развитие системы ГЧП должно помочь в решении большого перечня проблем и вопросов, связанных с инвестиционными процессами страны.</w:t>
      </w:r>
      <w:r w:rsidR="003B7400" w:rsidRPr="0008012D">
        <w:br w:type="page"/>
      </w:r>
    </w:p>
    <w:p w:rsidR="005A6EC8" w:rsidRDefault="003B7400" w:rsidP="005A6E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E948F1" w:rsidRDefault="00E948F1" w:rsidP="005A6E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B6B27" w:rsidRPr="000F05F7" w:rsidRDefault="005A6EC8" w:rsidP="000F05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страны</w:t>
      </w:r>
      <w:r w:rsidR="002B6B27" w:rsidRPr="000F05F7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96E9F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2B6B27" w:rsidRPr="000F05F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F557F7" w:rsidRPr="000F05F7">
        <w:rPr>
          <w:rFonts w:ascii="Times New Roman" w:hAnsi="Times New Roman" w:cs="Times New Roman"/>
          <w:sz w:val="28"/>
          <w:szCs w:val="28"/>
        </w:rPr>
        <w:t>можно отнести</w:t>
      </w:r>
      <w:r w:rsidR="002B6B27" w:rsidRPr="000F05F7">
        <w:rPr>
          <w:rFonts w:ascii="Times New Roman" w:hAnsi="Times New Roman" w:cs="Times New Roman"/>
          <w:sz w:val="28"/>
          <w:szCs w:val="28"/>
        </w:rPr>
        <w:t xml:space="preserve"> к важнейшим функциям государства. </w:t>
      </w:r>
      <w:r w:rsidR="00296E9F">
        <w:rPr>
          <w:rFonts w:ascii="Times New Roman" w:hAnsi="Times New Roman" w:cs="Times New Roman"/>
          <w:sz w:val="28"/>
          <w:szCs w:val="28"/>
        </w:rPr>
        <w:t>В связи с этим можно обозначить, что ее роль в общем спектре национальной безопасности может оказаться приоритетной.</w:t>
      </w:r>
    </w:p>
    <w:p w:rsidR="000F05F7" w:rsidRPr="000F05F7" w:rsidRDefault="000F05F7" w:rsidP="000F05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5F7">
        <w:rPr>
          <w:rFonts w:ascii="Times New Roman" w:hAnsi="Times New Roman" w:cs="Times New Roman"/>
          <w:sz w:val="28"/>
          <w:szCs w:val="28"/>
        </w:rPr>
        <w:t>Для осуществления инвестиционной безопасности стоит уделять особое внимание сфере правового регулирования инвестиционной деятельности, ее законодательной базе. В РФ инвестиционная безопасность упомянута в Указе Президента «О Стратегии национальной безопасности Российской Федерации до 2020 г»., где отмечены основные направления инвестиций, необходимых для обеспечения национальной безопасности. В частности, в интересах достижения необходимого уровня безопасности в военной, оборонно-промышленной и международной сферах, необходимо сосредотачивать основные усилия на развитии науки, технологий и образования, совершенствовании национальных инвестиционных и финансовых институтов.</w:t>
      </w:r>
    </w:p>
    <w:p w:rsidR="000F05F7" w:rsidRPr="00203462" w:rsidRDefault="00296E9F" w:rsidP="000F05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международных нормативно-правовых актов, </w:t>
      </w:r>
      <w:r>
        <w:rPr>
          <w:rFonts w:ascii="Times New Roman" w:hAnsi="Times New Roman" w:cs="Times New Roman"/>
          <w:sz w:val="28"/>
          <w:szCs w:val="28"/>
        </w:rPr>
        <w:t>которые как-то бы касались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обеспечения инвестиционной безопасности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выделить Конвенцию о защите прав инвестора, </w:t>
      </w:r>
      <w:r>
        <w:rPr>
          <w:rFonts w:ascii="Times New Roman" w:hAnsi="Times New Roman" w:cs="Times New Roman"/>
          <w:sz w:val="28"/>
          <w:szCs w:val="28"/>
        </w:rPr>
        <w:t>заключенную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в Москве 28 марта 1997 года. </w:t>
      </w:r>
      <w:r>
        <w:rPr>
          <w:rFonts w:ascii="Times New Roman" w:hAnsi="Times New Roman" w:cs="Times New Roman"/>
          <w:sz w:val="28"/>
          <w:szCs w:val="28"/>
        </w:rPr>
        <w:t>Ее положения гласят о том, что  инвестор обладает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05F7" w:rsidRPr="000F05F7">
        <w:rPr>
          <w:rFonts w:ascii="Times New Roman" w:hAnsi="Times New Roman" w:cs="Times New Roman"/>
          <w:sz w:val="28"/>
          <w:szCs w:val="28"/>
        </w:rPr>
        <w:t xml:space="preserve"> на возмещение ущерба, причиненного ему решениями и действиями (бездействием) государственных органов, либо должностных лиц, противоречащими законодательству страны-реципиента и нормам международного права. </w:t>
      </w:r>
    </w:p>
    <w:p w:rsidR="00F2558B" w:rsidRPr="00203462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 xml:space="preserve">Поэтому анализ инвестиционной безопасности очень важен, его проведение включает в себя следующие шаги:      определение угроз инвестиционной безопасности и составление их классификации;          формирование совокупности показателей, необходимых для диагностики инвестиционной безопасности; формирование </w:t>
      </w:r>
      <w:r w:rsidRPr="00F2558B">
        <w:rPr>
          <w:rFonts w:ascii="Times New Roman" w:hAnsi="Times New Roman" w:cs="Times New Roman"/>
          <w:sz w:val="28"/>
        </w:rPr>
        <w:lastRenderedPageBreak/>
        <w:t xml:space="preserve">индикативных показателей инвестиционной безопасности; проведение индикативного анализа по ситуации инвестиционной безопасности в целом; обобщение и анализ результатов состояния инвестиционной безопасности. </w:t>
      </w:r>
    </w:p>
    <w:p w:rsidR="00F2558B" w:rsidRPr="00203462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 xml:space="preserve">Также при исследовании проблем инвестиционной безопасности особенно остро встает вопрос об определении границ безопасного функционирования страны и разработки пороговых значений, которые бы позволили объективно оценить пределы изменения параметров развития народного хозяйства, безопасных для национальной экономики. </w:t>
      </w:r>
    </w:p>
    <w:p w:rsidR="00F2558B" w:rsidRPr="00203462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>В настоящий момент Россия не располагает достаточными инвестиционными ресурсами для полномасштабной реализации программы модернизации и обновления основного капитала. Приведенный анализ показывает, что инвестиционные риски в России высоки. Однако сейчас они еще усиливаются наложенными на РФ санкциями, так как они ставят под угрозу многие проекты, что отрицательно сказывается на притоке иностранных инвестиций.</w:t>
      </w:r>
    </w:p>
    <w:p w:rsidR="00F2558B" w:rsidRPr="00203462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 xml:space="preserve"> Таким образом, проблема инвестиционной безопасности стоит очень остро. Для защиты нашей экономики необходим комплекс мер.</w:t>
      </w:r>
    </w:p>
    <w:p w:rsidR="00F2558B" w:rsidRPr="00F2558B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 xml:space="preserve"> Во-первых, следует провести настройку инструментов инвестиционной политики на расширенное воспроизводство и усиление в нем инновационной составляющей. </w:t>
      </w:r>
    </w:p>
    <w:p w:rsidR="002720D4" w:rsidRDefault="00F2558B" w:rsidP="005A4B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2558B">
        <w:rPr>
          <w:rFonts w:ascii="Times New Roman" w:hAnsi="Times New Roman" w:cs="Times New Roman"/>
          <w:sz w:val="28"/>
        </w:rPr>
        <w:t xml:space="preserve">Во-вторых, </w:t>
      </w:r>
      <w:r w:rsidR="002720D4">
        <w:rPr>
          <w:rFonts w:ascii="Times New Roman" w:hAnsi="Times New Roman" w:cs="Times New Roman"/>
          <w:sz w:val="28"/>
        </w:rPr>
        <w:t xml:space="preserve">стоит обратить внимание на вопрос связанные с </w:t>
      </w:r>
      <w:r w:rsidRPr="00F2558B">
        <w:rPr>
          <w:rFonts w:ascii="Times New Roman" w:hAnsi="Times New Roman" w:cs="Times New Roman"/>
          <w:sz w:val="28"/>
        </w:rPr>
        <w:t xml:space="preserve"> улучшение</w:t>
      </w:r>
      <w:r w:rsidR="002720D4">
        <w:rPr>
          <w:rFonts w:ascii="Times New Roman" w:hAnsi="Times New Roman" w:cs="Times New Roman"/>
          <w:sz w:val="28"/>
        </w:rPr>
        <w:t>м</w:t>
      </w:r>
      <w:r w:rsidRPr="00F2558B">
        <w:rPr>
          <w:rFonts w:ascii="Times New Roman" w:hAnsi="Times New Roman" w:cs="Times New Roman"/>
          <w:sz w:val="28"/>
        </w:rPr>
        <w:t xml:space="preserve"> делового и инвестиционного климата</w:t>
      </w:r>
      <w:r w:rsidR="002720D4">
        <w:rPr>
          <w:rFonts w:ascii="Times New Roman" w:hAnsi="Times New Roman" w:cs="Times New Roman"/>
          <w:sz w:val="28"/>
        </w:rPr>
        <w:t>. Приоритетными направлениями предлагаем обозначить: институциональную</w:t>
      </w:r>
      <w:r w:rsidRPr="00F2558B">
        <w:rPr>
          <w:rFonts w:ascii="Times New Roman" w:hAnsi="Times New Roman" w:cs="Times New Roman"/>
          <w:sz w:val="28"/>
        </w:rPr>
        <w:t xml:space="preserve"> сред</w:t>
      </w:r>
      <w:r w:rsidR="002720D4">
        <w:rPr>
          <w:rFonts w:ascii="Times New Roman" w:hAnsi="Times New Roman" w:cs="Times New Roman"/>
          <w:sz w:val="28"/>
        </w:rPr>
        <w:t>у</w:t>
      </w:r>
      <w:r w:rsidRPr="00F2558B">
        <w:rPr>
          <w:rFonts w:ascii="Times New Roman" w:hAnsi="Times New Roman" w:cs="Times New Roman"/>
          <w:sz w:val="28"/>
        </w:rPr>
        <w:t>, защит</w:t>
      </w:r>
      <w:r w:rsidR="002720D4">
        <w:rPr>
          <w:rFonts w:ascii="Times New Roman" w:hAnsi="Times New Roman" w:cs="Times New Roman"/>
          <w:sz w:val="28"/>
        </w:rPr>
        <w:t>у</w:t>
      </w:r>
      <w:r w:rsidRPr="00F2558B">
        <w:rPr>
          <w:rFonts w:ascii="Times New Roman" w:hAnsi="Times New Roman" w:cs="Times New Roman"/>
          <w:sz w:val="28"/>
        </w:rPr>
        <w:t xml:space="preserve"> прав собственности, инфраструктурное обеспечение, проблемы взаимодействия государства и бизнеса, зрелость финансового рынка, снижение организационных, инфор</w:t>
      </w:r>
      <w:r w:rsidR="003B7EDA">
        <w:rPr>
          <w:rFonts w:ascii="Times New Roman" w:hAnsi="Times New Roman" w:cs="Times New Roman"/>
          <w:sz w:val="28"/>
        </w:rPr>
        <w:t>мационных, регулятивных и техно</w:t>
      </w:r>
      <w:r w:rsidRPr="00F2558B">
        <w:rPr>
          <w:rFonts w:ascii="Times New Roman" w:hAnsi="Times New Roman" w:cs="Times New Roman"/>
          <w:sz w:val="28"/>
        </w:rPr>
        <w:t>логических барьеров.</w:t>
      </w:r>
    </w:p>
    <w:p w:rsidR="004B5208" w:rsidRDefault="002720D4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всего следует обратить внимание на уже существующие инвестиционные проекты, касающиеся партнерства со странами Западной Европы</w:t>
      </w:r>
      <w:r w:rsidR="005A4BCC">
        <w:rPr>
          <w:rFonts w:ascii="Times New Roman" w:hAnsi="Times New Roman" w:cs="Times New Roman"/>
          <w:sz w:val="28"/>
        </w:rPr>
        <w:t xml:space="preserve">. Так, в частности, Россией был совершен отказ от участия в </w:t>
      </w:r>
      <w:r w:rsidR="005A4BCC">
        <w:rPr>
          <w:rFonts w:ascii="Times New Roman" w:hAnsi="Times New Roman" w:cs="Times New Roman"/>
          <w:sz w:val="28"/>
        </w:rPr>
        <w:lastRenderedPageBreak/>
        <w:t xml:space="preserve">строительстве «Южного потока», что дало возможность рассмотрения и финансирования новых, более удачных проектов.  А принятие быстрых решений в ответ на санкции, а также улучшение инвестиционного климата РФ, позволит сохранить свою инвестиционную безопасность и выйти на путь </w:t>
      </w:r>
      <w:r w:rsidR="005A4BCC" w:rsidRPr="00F2558B">
        <w:rPr>
          <w:rFonts w:ascii="Times New Roman" w:hAnsi="Times New Roman" w:cs="Times New Roman"/>
          <w:sz w:val="28"/>
        </w:rPr>
        <w:t>устойчивого экономического роста.</w:t>
      </w:r>
    </w:p>
    <w:p w:rsidR="00F2558B" w:rsidRPr="00F2558B" w:rsidRDefault="00F2558B" w:rsidP="00F255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2558B">
        <w:rPr>
          <w:rFonts w:ascii="Times New Roman" w:hAnsi="Times New Roman" w:cs="Times New Roman"/>
        </w:rPr>
        <w:br/>
      </w:r>
      <w:r w:rsidRPr="00F2558B">
        <w:rPr>
          <w:rFonts w:ascii="Times New Roman" w:hAnsi="Times New Roman" w:cs="Times New Roman"/>
        </w:rPr>
        <w:br/>
      </w:r>
    </w:p>
    <w:p w:rsidR="003F1535" w:rsidRDefault="003F1535" w:rsidP="002B6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F1535" w:rsidRDefault="003F1535" w:rsidP="002B6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F2FC5" w:rsidRPr="002B6B27" w:rsidRDefault="002B6B27" w:rsidP="002B6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B6B27">
        <w:rPr>
          <w:rFonts w:ascii="Times New Roman" w:hAnsi="Times New Roman" w:cs="Times New Roman"/>
        </w:rPr>
        <w:br/>
      </w: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A74" w:rsidRDefault="00585A74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8AC" w:rsidRDefault="009548AC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EDA" w:rsidRDefault="003B7EDA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EDA" w:rsidRDefault="003B7EDA" w:rsidP="00E948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2FC5" w:rsidRPr="00171A90" w:rsidRDefault="00AF2FC5" w:rsidP="00AF2F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1A90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Белокрылова О.С. Экономическая безопасность и ее роль в обеспечении общественного благосостояния. - Ростов-на-Дону: Изд-во Ростовского университета, 2015. – 263c.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 xml:space="preserve">Богомолов В.А. Экономическая безопасность: учеб. пособие. - М.: ЮНИТИ-ДАНА; 2016. – 303 с. 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Бочаров В.В. Инвестиционный менеджмент. - СПб: Питер, 2016.-160 с.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Вечканов Г.С. Экономическая безопасность: учебник для ВУЗов. - СПб.: Питер, 2016. – 384 с.</w:t>
      </w:r>
    </w:p>
    <w:p w:rsidR="00D05C6F" w:rsidRPr="00AF2FC5" w:rsidRDefault="00D05C6F" w:rsidP="00AF2FC5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Гарахина И.В., Колосов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C5">
        <w:rPr>
          <w:rFonts w:ascii="Times New Roman" w:hAnsi="Times New Roman" w:cs="Times New Roman"/>
          <w:sz w:val="28"/>
          <w:szCs w:val="28"/>
        </w:rPr>
        <w:t>Инвестиционная Безопасность России - Реалии Нашего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FC5">
        <w:rPr>
          <w:rFonts w:ascii="Times New Roman" w:hAnsi="Times New Roman" w:cs="Times New Roman"/>
          <w:sz w:val="28"/>
          <w:szCs w:val="28"/>
        </w:rPr>
        <w:t>Вестник Волжской государственной академии водного транспорта. 2014. № 41</w:t>
      </w:r>
      <w:r>
        <w:rPr>
          <w:rFonts w:ascii="Times New Roman" w:hAnsi="Times New Roman" w:cs="Times New Roman"/>
          <w:sz w:val="28"/>
          <w:szCs w:val="28"/>
        </w:rPr>
        <w:t>. С. 189-194.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 xml:space="preserve">Глазьев С.Ю. Основа обеспечения экономической безопасности - альтернативный реформационный курс. // Российский экономический журнал, 2016. – №3. – С. 14-19. 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Гончаренко Л.П., Куценко Е.С. Управление безопасностью. - М.: КНОРУС, 2015. – 272 с.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Градов А.П. Экономическая Безопасность Страны И Приоритеты Инвестиционной Политики. Экономическая наука современной России. 2001. № 3. С. 70-78.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Инжиева Д.М., Сейдалиев С.Р. Инвестиционная Безопасность Рф В Современных Условиях. Стратегия предприятия в контексте повышения его конкурентоспособности. 2016. Т. 2. № 5 (5). С. 32-35.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 xml:space="preserve">Кочергина Т.Е. Экономическая безопасность. - Ростов н/Д: Феникс, 2015. - 445 с. 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Купрещенко Н.П. Экономическая безопасность. - М., 2015. – 396 с.</w:t>
      </w:r>
      <w:r w:rsidRPr="00D72C7F">
        <w:rPr>
          <w:rFonts w:ascii="Times New Roman" w:hAnsi="Times New Roman" w:cs="Times New Roman"/>
          <w:sz w:val="28"/>
        </w:rPr>
        <w:br/>
        <w:t xml:space="preserve">Модернизация экономики на основе технологических инноваций. - СПб: АНО ИПЭВ, 2015. - 606 с. </w:t>
      </w:r>
    </w:p>
    <w:p w:rsidR="00D05C6F" w:rsidRPr="00AF2FC5" w:rsidRDefault="00D05C6F" w:rsidP="00AF2FC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lastRenderedPageBreak/>
        <w:t xml:space="preserve">Мамий Е.А., Лембурова В.М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C5">
        <w:rPr>
          <w:rFonts w:ascii="Times New Roman" w:hAnsi="Times New Roman" w:cs="Times New Roman"/>
          <w:sz w:val="28"/>
          <w:szCs w:val="28"/>
        </w:rPr>
        <w:t>Инвестиционная безопасность в системе экономической безопасности государства.. Новая наука: Опыт, традиции, инновации. 2016. № 4-1 (77). С. 113-117.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Мамий Е.А., Лембурова В.М. Инвестиционная Безопасность В Системе Экономической Безопасности Государства</w:t>
      </w:r>
      <w:r w:rsidRPr="00D72C7F">
        <w:rPr>
          <w:rFonts w:ascii="Times New Roman" w:hAnsi="Times New Roman" w:cs="Times New Roman"/>
          <w:sz w:val="28"/>
        </w:rPr>
        <w:br/>
        <w:t>Новая наука: Опыт, традиции, инновации. 2016. № 4-1 (77). С. 113-117.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Молчан А.С., Саенко С.В. Инвестиционная Безопасность Как Показатель Экономической Безопасности Страны В Условиях Кризиса Вестник современных исследований. 2017. № 1-2 (4). С. 90-101.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 xml:space="preserve">Нарышкин, С. Е. Инвестиционная безопасность как фактор устойчивого экономического развития / С. Е. Нарышкин //Вопросы экономики. - 2016. - № 5. - С. 16–25. 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О безопасности: федеральный закон Российской Федерации от 28 декабря 2016 г. N 390-ФЗ [Электронный ресурс] // Справочная правовая система «Консультант Плюс». - Режим доступа: http://www.consultant.ru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Овчинникова Е.А.Инвестиционная Безопасность России В Современных Условиях. Факторы успеха. 2017. № 2 (9). С. 66-70.</w:t>
      </w:r>
      <w:r w:rsidRPr="00D72C7F">
        <w:rPr>
          <w:rFonts w:ascii="Times New Roman" w:hAnsi="Times New Roman" w:cs="Times New Roman"/>
          <w:sz w:val="28"/>
        </w:rPr>
        <w:br/>
        <w:t>Экономическая безопасность хозяйственных систем / Под ред. А.В. Колосова. - М.: РАГС, 2015. – 488 с.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 xml:space="preserve">Одинцов A.A. Экономическая и информационная безопасность предпринимательства. - М.: Академия, 2016. – 336 с. 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Пайщикова Е.Н., Токарчик Ю.Н., Бахматова А.Е. Инвестиционная Безопасность Как Фактор Устойчивого Экономического Развития. В сборнике: Наука в исследованиях молодежи - 2016 Материалы студенческой научной конференции. 2016. С. 221-223.</w:t>
      </w:r>
    </w:p>
    <w:p w:rsidR="00D05C6F" w:rsidRPr="00AF2FC5" w:rsidRDefault="00D05C6F" w:rsidP="00AF2FC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Патрикеева В. Е. Привлечение инвестиций // Научноисследовательские публикации. – 2015. –   №1. – С.1-14.</w:t>
      </w:r>
    </w:p>
    <w:p w:rsidR="00D05C6F" w:rsidRPr="00D72C7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Полетаева Д.М., Катков Ю.Н. Анализ Инвестиционных Потоков В Экономическую Безопасность России</w:t>
      </w:r>
      <w:r w:rsidRPr="00D72C7F">
        <w:rPr>
          <w:rFonts w:ascii="Times New Roman" w:hAnsi="Times New Roman" w:cs="Times New Roman"/>
          <w:sz w:val="28"/>
        </w:rPr>
        <w:br/>
      </w:r>
      <w:r w:rsidRPr="00D72C7F">
        <w:rPr>
          <w:rFonts w:ascii="Times New Roman" w:hAnsi="Times New Roman" w:cs="Times New Roman"/>
          <w:sz w:val="28"/>
        </w:rPr>
        <w:lastRenderedPageBreak/>
        <w:t>В Сборнике: Проблемы Анализа, Экономической Безопасности И Аудита В Современной России. материалы Международной научно-практической конференции студентов и преподавателей. 2016. С. 73-76.</w:t>
      </w:r>
    </w:p>
    <w:p w:rsidR="00D05C6F" w:rsidRPr="00AF2FC5" w:rsidRDefault="00D05C6F" w:rsidP="00AF2FC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Семенова Н.Н. Бюджет как инструмент стимулирования инвестиционной активности / Н.Н. Семенова, И.В. Сундикова // Приоритетные направления развития науки и образования : материалы VIII Междунар. науч.-практ. конф. (Чебоксары, 29 янв. 2016 г.) / редкол.: О. Н. Широков [и др.]. – Чебоксары: ЦНС «И</w:t>
      </w:r>
      <w:r>
        <w:rPr>
          <w:rFonts w:ascii="Times New Roman" w:hAnsi="Times New Roman" w:cs="Times New Roman"/>
          <w:sz w:val="28"/>
          <w:szCs w:val="28"/>
        </w:rPr>
        <w:t>нтерактив плюс», 2016. № 1 (8).</w:t>
      </w:r>
    </w:p>
    <w:p w:rsidR="00D05C6F" w:rsidRPr="00AF2FC5" w:rsidRDefault="00D05C6F" w:rsidP="009960C8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Сундикова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C5">
        <w:rPr>
          <w:rFonts w:ascii="Times New Roman" w:hAnsi="Times New Roman" w:cs="Times New Roman"/>
          <w:sz w:val="28"/>
          <w:szCs w:val="28"/>
        </w:rPr>
        <w:t>Инвестиционная Безопасность Национальной Экономики: Оценка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FC5">
        <w:rPr>
          <w:rFonts w:ascii="Times New Roman" w:hAnsi="Times New Roman" w:cs="Times New Roman"/>
          <w:sz w:val="28"/>
          <w:szCs w:val="28"/>
        </w:rPr>
        <w:t>В сборнике: Актуальные Проблемы Развития Финансового Сектора материалы V Международной научно-практической конференции. 2017. С. 539-549.</w:t>
      </w:r>
    </w:p>
    <w:p w:rsidR="00D05C6F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Таранова Г.П. Инвестиционная Безопасность И Ее Составляющие. В сборнике: Молодая наука сборник научных трудов научно-практической конференции для студентов и мо</w:t>
      </w:r>
      <w:r w:rsidR="00BE4D8D">
        <w:rPr>
          <w:rFonts w:ascii="Times New Roman" w:hAnsi="Times New Roman" w:cs="Times New Roman"/>
          <w:sz w:val="28"/>
        </w:rPr>
        <w:t>лодых ученых. 2016. С. 147-148.</w:t>
      </w:r>
    </w:p>
    <w:p w:rsidR="00D05C6F" w:rsidRPr="00AF2FC5" w:rsidRDefault="00D05C6F" w:rsidP="00AF2FC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Филатова А. С. Инвестиционная безопасность РФ в современных условиях // Молодой ученый. – 2015. – №1. – С. 304-307.</w:t>
      </w:r>
    </w:p>
    <w:p w:rsidR="00D05C6F" w:rsidRPr="00AF2FC5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C5">
        <w:rPr>
          <w:rFonts w:ascii="Times New Roman" w:hAnsi="Times New Roman" w:cs="Times New Roman"/>
          <w:sz w:val="28"/>
          <w:szCs w:val="28"/>
        </w:rPr>
        <w:t>Финансы, экономика и управление: проблемы, тенденции и перспективы развития в условиях нестабильности    [Текст]: Материалы межвузовской региональной  научно-практической конференции студентов, магистрантов и аспирантов, 14 апреля 2016г. / Липецкий филиал Финансового университета при Правительстве РФ. – ООО «Издательство «РИТМ», 2016. – 218 с.</w:t>
      </w:r>
    </w:p>
    <w:p w:rsidR="00AF2FC5" w:rsidRDefault="00D05C6F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C7F">
        <w:rPr>
          <w:rFonts w:ascii="Times New Roman" w:hAnsi="Times New Roman" w:cs="Times New Roman"/>
          <w:sz w:val="28"/>
        </w:rPr>
        <w:t>Шинкаренко Е.А. Экономическая Безопасность Инвестиционной Деятельности В России. В сборнике: Финансы, экономика и управление: проблемы, тенденции и перспективы развития в условиях нестабильности материалы межвузовской региональной научно-</w:t>
      </w:r>
      <w:r w:rsidRPr="00D72C7F">
        <w:rPr>
          <w:rFonts w:ascii="Times New Roman" w:hAnsi="Times New Roman" w:cs="Times New Roman"/>
          <w:sz w:val="28"/>
        </w:rPr>
        <w:lastRenderedPageBreak/>
        <w:t>практической конференции студентов, магистрантов и аспирантов, в рамках VII Международного научного студенческого конгресса «Проект для России». «Финансовый университет при Правительстве Российской Федерации» (Финуниверситет), Липецкий филиал Финуниверситета. 2016. С. 201-204.</w:t>
      </w:r>
    </w:p>
    <w:p w:rsidR="00F07741" w:rsidRDefault="00F07741" w:rsidP="00D72C7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Электронный ресурс: </w:t>
      </w:r>
      <w:r w:rsidRPr="00F07741">
        <w:rPr>
          <w:rFonts w:ascii="Times New Roman" w:hAnsi="Times New Roman" w:cs="Times New Roman"/>
          <w:sz w:val="28"/>
        </w:rPr>
        <w:t>https://nangs.org/analytics/rosstat-investitsii-v-rossii-s-prilozheniyami-onlajn-pdf-rar</w:t>
      </w:r>
      <w:r>
        <w:rPr>
          <w:rFonts w:ascii="Times New Roman" w:hAnsi="Times New Roman" w:cs="Times New Roman"/>
          <w:sz w:val="28"/>
        </w:rPr>
        <w:t xml:space="preserve"> .</w:t>
      </w:r>
    </w:p>
    <w:p w:rsidR="00C60DCC" w:rsidRDefault="008374E0" w:rsidP="00C60DC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Электронный ресурс: </w:t>
      </w:r>
      <w:r w:rsidRPr="008374E0">
        <w:rPr>
          <w:rFonts w:ascii="Times New Roman" w:hAnsi="Times New Roman" w:cs="Times New Roman"/>
          <w:sz w:val="28"/>
        </w:rPr>
        <w:t>http://www.cbr.ru/statistics/?PrtId=svs</w:t>
      </w:r>
      <w:r>
        <w:rPr>
          <w:rFonts w:ascii="Times New Roman" w:hAnsi="Times New Roman" w:cs="Times New Roman"/>
          <w:sz w:val="28"/>
        </w:rPr>
        <w:t xml:space="preserve"> .</w:t>
      </w:r>
    </w:p>
    <w:p w:rsidR="00C60DCC" w:rsidRPr="00492BE8" w:rsidRDefault="00C60DCC" w:rsidP="00C60DC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Электронный ресурс: </w:t>
      </w:r>
      <w:r w:rsidRPr="00C60DCC">
        <w:rPr>
          <w:rFonts w:ascii="Times New Roman" w:hAnsi="Times New Roman" w:cs="Times New Roman"/>
          <w:sz w:val="28"/>
        </w:rPr>
        <w:t>https://raexpert.ru/ratings/regions</w:t>
      </w:r>
      <w:r>
        <w:rPr>
          <w:rFonts w:ascii="Times New Roman" w:hAnsi="Times New Roman" w:cs="Times New Roman"/>
          <w:sz w:val="28"/>
        </w:rPr>
        <w:t xml:space="preserve"> .</w:t>
      </w:r>
    </w:p>
    <w:p w:rsidR="00557689" w:rsidRDefault="00492BE8" w:rsidP="00C60DC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Электронный ресурс:</w:t>
      </w:r>
      <w:r w:rsidRPr="00492BE8">
        <w:rPr>
          <w:rFonts w:ascii="Times New Roman" w:hAnsi="Times New Roman" w:cs="Times New Roman"/>
          <w:sz w:val="28"/>
        </w:rPr>
        <w:t>http://gtmarket.ru/research/foreign-direct-investment-index/info</w:t>
      </w:r>
      <w:r>
        <w:rPr>
          <w:rFonts w:ascii="Times New Roman" w:hAnsi="Times New Roman" w:cs="Times New Roman"/>
          <w:sz w:val="28"/>
        </w:rPr>
        <w:t>.</w:t>
      </w:r>
    </w:p>
    <w:p w:rsidR="00557689" w:rsidRDefault="005576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567B0" w:rsidRDefault="00B567B0" w:rsidP="0055768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А</w:t>
      </w:r>
    </w:p>
    <w:p w:rsidR="00BD303C" w:rsidRDefault="00BD303C" w:rsidP="0055768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D303C" w:rsidRPr="00BD303C" w:rsidRDefault="00BD303C" w:rsidP="00BD303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Источник: Электронный ресурс: </w:t>
      </w:r>
      <w:r w:rsidRPr="008374E0">
        <w:rPr>
          <w:rFonts w:ascii="Times New Roman" w:hAnsi="Times New Roman" w:cs="Times New Roman"/>
          <w:sz w:val="28"/>
        </w:rPr>
        <w:t>http://www.cbr.ru/statistics/?PrtId=svs</w:t>
      </w:r>
      <w:r>
        <w:rPr>
          <w:rFonts w:ascii="Times New Roman" w:hAnsi="Times New Roman" w:cs="Times New Roman"/>
          <w:sz w:val="28"/>
        </w:rPr>
        <w:t xml:space="preserve"> .</w:t>
      </w:r>
    </w:p>
    <w:p w:rsidR="00B567B0" w:rsidRDefault="00B567B0" w:rsidP="0055768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67B0">
        <w:rPr>
          <w:rFonts w:ascii="Times New Roman" w:hAnsi="Times New Roman" w:cs="Times New Roman"/>
          <w:sz w:val="28"/>
        </w:rPr>
        <w:t>Прямые инвестиции в Россию в 2010-2016 годах, I-III кварталах 2017 года по видам экономической деятельности</w:t>
      </w:r>
      <w:r>
        <w:rPr>
          <w:rFonts w:ascii="Times New Roman" w:hAnsi="Times New Roman" w:cs="Times New Roman"/>
          <w:sz w:val="28"/>
        </w:rPr>
        <w:t>. млн.дол.США</w:t>
      </w:r>
    </w:p>
    <w:tbl>
      <w:tblPr>
        <w:tblW w:w="9280" w:type="dxa"/>
        <w:tblInd w:w="89" w:type="dxa"/>
        <w:tblLook w:val="04A0"/>
      </w:tblPr>
      <w:tblGrid>
        <w:gridCol w:w="5786"/>
        <w:gridCol w:w="1044"/>
        <w:gridCol w:w="1323"/>
        <w:gridCol w:w="1127"/>
      </w:tblGrid>
      <w:tr w:rsidR="00B567B0" w:rsidTr="00105F3B">
        <w:trPr>
          <w:trHeight w:val="390"/>
        </w:trPr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7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вида экономической деятельности</w:t>
            </w:r>
          </w:p>
        </w:tc>
        <w:tc>
          <w:tcPr>
            <w:tcW w:w="1044" w:type="dxa"/>
            <w:vAlign w:val="center"/>
          </w:tcPr>
          <w:p w:rsidR="00B567B0" w:rsidRDefault="00B567B0" w:rsidP="00105F3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 квартал 2016 г.</w:t>
            </w:r>
          </w:p>
        </w:tc>
        <w:tc>
          <w:tcPr>
            <w:tcW w:w="1323" w:type="dxa"/>
            <w:vAlign w:val="center"/>
          </w:tcPr>
          <w:p w:rsidR="00B567B0" w:rsidRDefault="00B567B0" w:rsidP="00105F3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B567B0" w:rsidRDefault="00B567B0" w:rsidP="00105F3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567B0" w:rsidTr="00105F3B">
        <w:trPr>
          <w:trHeight w:val="525"/>
        </w:trPr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Сальдо</w:t>
            </w: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Погашено</w:t>
            </w:r>
          </w:p>
        </w:tc>
      </w:tr>
      <w:tr w:rsidR="00B567B0" w:rsidTr="00105F3B">
        <w:trPr>
          <w:trHeight w:val="52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768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26 261</w:t>
            </w:r>
          </w:p>
        </w:tc>
        <w:tc>
          <w:tcPr>
            <w:tcW w:w="0" w:type="auto"/>
            <w:vAlign w:val="center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26 197</w:t>
            </w:r>
          </w:p>
        </w:tc>
      </w:tr>
      <w:tr w:rsidR="00B567B0" w:rsidTr="00105F3B">
        <w:trPr>
          <w:trHeight w:val="25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5576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СЕЛЬСКОЕ, ЛЕСНОЕ ХОЗЯЙСТВО,ОХОТА И РЫБОЛОВСТВО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b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-290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4 913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5 203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</w:rPr>
            </w:pPr>
            <w:r w:rsidRPr="00557689">
              <w:rPr>
                <w:rFonts w:ascii="Arial CYR" w:eastAsia="Times New Roman" w:hAnsi="Arial CYR" w:cs="Arial CYR"/>
                <w:b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1 050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5 028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3 978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B567B0" w:rsidTr="00105F3B">
        <w:trPr>
          <w:trHeight w:val="70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СТРОИТЕЛЬСТВО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-152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b/>
                <w:sz w:val="14"/>
                <w:szCs w:val="1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-120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9 347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9 467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ТРАНСПОРТИРОВКА И ХРАНЕНИЕ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-511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ИНФОРМАЦИИ И СВЯЗИ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-27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b/>
                <w:sz w:val="14"/>
                <w:szCs w:val="14"/>
              </w:rPr>
              <w:t>ДЕЯТЕЛЬНОСТЬ ФИНАНСОВАЯ И СТРАХОВАЯ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2 095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2 217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57689">
              <w:rPr>
                <w:rFonts w:ascii="Arial CYR" w:eastAsia="Times New Roman" w:hAnsi="Arial CYR" w:cs="Arial CYR"/>
                <w:sz w:val="14"/>
                <w:szCs w:val="1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-152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ОБРАЗОВАНИЕ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b/>
                <w:sz w:val="14"/>
                <w:szCs w:val="14"/>
              </w:rPr>
              <w:t>ПРЕДОСТАВЛЕНИЕ ПРОЧИХ ВИДОВ УСЛУГ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1 638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1 441</w:t>
            </w:r>
          </w:p>
        </w:tc>
      </w:tr>
      <w:tr w:rsidR="00B567B0" w:rsidTr="00105F3B">
        <w:trPr>
          <w:trHeight w:val="43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557689" w:rsidRDefault="00B567B0" w:rsidP="00105F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57689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НЕ РАСПРЕДЕЛЕНО ПО ВИДАМ ДЕЯТЕЛЬНОСТИ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-72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0" w:type="auto"/>
            <w:vAlign w:val="bottom"/>
          </w:tcPr>
          <w:p w:rsidR="00B567B0" w:rsidRDefault="00B567B0" w:rsidP="00105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</w:tbl>
    <w:p w:rsidR="00B567B0" w:rsidRPr="00BD303C" w:rsidRDefault="00B567B0" w:rsidP="00BD30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03C">
        <w:rPr>
          <w:rFonts w:ascii="Times New Roman" w:hAnsi="Times New Roman" w:cs="Times New Roman"/>
          <w:sz w:val="28"/>
        </w:rPr>
        <w:lastRenderedPageBreak/>
        <w:t>Приложение Б</w:t>
      </w:r>
    </w:p>
    <w:p w:rsidR="00BD303C" w:rsidRDefault="00BD303C" w:rsidP="00B567B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D303C" w:rsidRDefault="00BD303C" w:rsidP="00B567B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Источник: Электронный ресурс: </w:t>
      </w:r>
      <w:r w:rsidRPr="008374E0">
        <w:rPr>
          <w:rFonts w:ascii="Times New Roman" w:hAnsi="Times New Roman" w:cs="Times New Roman"/>
          <w:sz w:val="28"/>
        </w:rPr>
        <w:t>http://www.cbr.ru/statistics/?PrtId=svs</w:t>
      </w:r>
      <w:r>
        <w:rPr>
          <w:rFonts w:ascii="Times New Roman" w:hAnsi="Times New Roman" w:cs="Times New Roman"/>
          <w:sz w:val="28"/>
        </w:rPr>
        <w:t xml:space="preserve"> .</w:t>
      </w:r>
    </w:p>
    <w:p w:rsidR="00B567B0" w:rsidRPr="00B567B0" w:rsidRDefault="00B567B0" w:rsidP="00B567B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67B0">
        <w:rPr>
          <w:rFonts w:ascii="Times New Roman" w:hAnsi="Times New Roman" w:cs="Times New Roman"/>
          <w:sz w:val="28"/>
        </w:rPr>
        <w:t>Прямые инвестиции в Россию в 2010-2</w:t>
      </w:r>
      <w:r w:rsidR="00BD303C">
        <w:rPr>
          <w:rFonts w:ascii="Times New Roman" w:hAnsi="Times New Roman" w:cs="Times New Roman"/>
          <w:sz w:val="28"/>
        </w:rPr>
        <w:t xml:space="preserve">016 годах, I-III кварталах 2017 </w:t>
      </w:r>
      <w:r w:rsidRPr="00B567B0">
        <w:rPr>
          <w:rFonts w:ascii="Times New Roman" w:hAnsi="Times New Roman" w:cs="Times New Roman"/>
          <w:sz w:val="28"/>
        </w:rPr>
        <w:t>года по видам экономической деятельности</w:t>
      </w:r>
      <w:r>
        <w:rPr>
          <w:rFonts w:ascii="Times New Roman" w:hAnsi="Times New Roman" w:cs="Times New Roman"/>
          <w:sz w:val="28"/>
        </w:rPr>
        <w:t>. млн.дол.США</w:t>
      </w:r>
    </w:p>
    <w:tbl>
      <w:tblPr>
        <w:tblW w:w="8860" w:type="dxa"/>
        <w:tblInd w:w="89" w:type="dxa"/>
        <w:tblLook w:val="04A0"/>
      </w:tblPr>
      <w:tblGrid>
        <w:gridCol w:w="5080"/>
        <w:gridCol w:w="1226"/>
        <w:gridCol w:w="1315"/>
        <w:gridCol w:w="1239"/>
      </w:tblGrid>
      <w:tr w:rsidR="00B567B0" w:rsidRPr="00B567B0" w:rsidTr="00B567B0">
        <w:trPr>
          <w:trHeight w:val="39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7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вида экономической деятельности</w:t>
            </w:r>
          </w:p>
        </w:tc>
        <w:tc>
          <w:tcPr>
            <w:tcW w:w="1226" w:type="dxa"/>
            <w:vAlign w:val="center"/>
          </w:tcPr>
          <w:p w:rsidR="00B567B0" w:rsidRDefault="00B567B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квартал 2017 г.</w:t>
            </w:r>
          </w:p>
        </w:tc>
        <w:tc>
          <w:tcPr>
            <w:tcW w:w="1315" w:type="dxa"/>
            <w:vAlign w:val="center"/>
          </w:tcPr>
          <w:p w:rsidR="00B567B0" w:rsidRDefault="00B567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vAlign w:val="center"/>
          </w:tcPr>
          <w:p w:rsidR="00B567B0" w:rsidRDefault="00B567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567B0" w:rsidRPr="00B567B0" w:rsidTr="00B567B0">
        <w:trPr>
          <w:trHeight w:val="52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Сальдо</w:t>
            </w: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Погашено</w:t>
            </w:r>
          </w:p>
        </w:tc>
      </w:tr>
      <w:tr w:rsidR="00B567B0" w:rsidRPr="00B567B0" w:rsidTr="00B567B0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567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4 844</w:t>
            </w: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31 591</w:t>
            </w:r>
          </w:p>
        </w:tc>
        <w:tc>
          <w:tcPr>
            <w:tcW w:w="0" w:type="auto"/>
            <w:vAlign w:val="center"/>
          </w:tcPr>
          <w:p w:rsidR="00B567B0" w:rsidRDefault="00B567B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26 747</w:t>
            </w:r>
          </w:p>
        </w:tc>
      </w:tr>
      <w:tr w:rsidR="00B567B0" w:rsidRPr="00B567B0" w:rsidTr="00B567B0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567B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567B0" w:rsidRDefault="00B56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567B0" w:rsidRDefault="00B56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СЕЛЬСКОЕ, ЛЕСНОЕ ХОЗЯЙСТВО,ОХОТА И РЫБОЛОВСТВО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-142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3 031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5 940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2 909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67B0">
              <w:rPr>
                <w:rFonts w:ascii="Arial CYR" w:eastAsia="Times New Roman" w:hAnsi="Arial CYR" w:cs="Arial CYR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2 509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6 276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3 768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B567B0" w:rsidRPr="00B567B0" w:rsidTr="00B567B0">
        <w:trPr>
          <w:trHeight w:val="7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СТРОИТЕЛЬСТВО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-3 126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13 030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ТРАНСПОРТИРОВКА И ХРАНЕНИЕ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1 158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1 184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ИНФОРМАЦИИ И СВЯЗИ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ФИНАНСОВАЯ И СТРАХОВАЯ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2 168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1 233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67B0">
              <w:rPr>
                <w:rFonts w:ascii="Arial CYR" w:eastAsia="Times New Roman" w:hAnsi="Arial CYR" w:cs="Arial CYR"/>
                <w:sz w:val="14"/>
                <w:szCs w:val="1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ОБРАЗОВАНИЕ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sz w:val="14"/>
                <w:szCs w:val="14"/>
              </w:rPr>
              <w:t>ПРЕДОСТАВЛЕНИЕ ПРОЧИХ ВИДОВ УСЛУГ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67B0" w:rsidRPr="00B567B0" w:rsidTr="00B567B0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B0" w:rsidRPr="00B567B0" w:rsidRDefault="00B567B0" w:rsidP="00B567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B567B0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НЕ РАСПРЕДЕЛЕНО ПО ВИДАМ ДЕЯТЕЛЬНОСТИ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0" w:type="auto"/>
            <w:vAlign w:val="bottom"/>
          </w:tcPr>
          <w:p w:rsidR="00B567B0" w:rsidRDefault="00B56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</w:tr>
    </w:tbl>
    <w:p w:rsidR="00B567B0" w:rsidRDefault="008E7038" w:rsidP="008E70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В</w:t>
      </w:r>
    </w:p>
    <w:p w:rsidR="008E7038" w:rsidRDefault="008E7038" w:rsidP="008E7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E7038" w:rsidRDefault="008E7038" w:rsidP="008E7038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</w:rPr>
      </w:pPr>
      <w:r w:rsidRPr="008E7038">
        <w:rPr>
          <w:rFonts w:ascii="Times New Roman" w:hAnsi="Times New Roman" w:cs="Times New Roman"/>
          <w:sz w:val="28"/>
        </w:rPr>
        <w:t>Источник: Электронный ресурс:http://gtmarket.ru/research/foreign-direct-investment-index/info.</w:t>
      </w:r>
    </w:p>
    <w:p w:rsidR="00991635" w:rsidRPr="00991635" w:rsidRDefault="00991635" w:rsidP="00991635">
      <w:pPr>
        <w:ind w:left="709"/>
        <w:jc w:val="both"/>
        <w:rPr>
          <w:rFonts w:ascii="Times New Roman" w:hAnsi="Times New Roman" w:cs="Times New Roman"/>
          <w:sz w:val="28"/>
        </w:rPr>
      </w:pPr>
      <w:r w:rsidRPr="00991635">
        <w:rPr>
          <w:rFonts w:ascii="Times New Roman" w:hAnsi="Times New Roman" w:cs="Times New Roman"/>
          <w:sz w:val="28"/>
        </w:rPr>
        <w:t>Рейтинг стран и территорий по уровню прямых иностранных инвестиций</w:t>
      </w:r>
    </w:p>
    <w:p w:rsidR="008E7038" w:rsidRPr="00B567B0" w:rsidRDefault="00991635" w:rsidP="00991635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2141855</wp:posOffset>
            </wp:positionV>
            <wp:extent cx="5775960" cy="541464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901" t="25247" r="37958" b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541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t xml:space="preserve"> </w:t>
      </w:r>
    </w:p>
    <w:sectPr w:rsidR="008E7038" w:rsidRPr="00B567B0" w:rsidSect="00CF6DE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3F" w:rsidRDefault="00814A3F" w:rsidP="000C7637">
      <w:pPr>
        <w:spacing w:after="0" w:line="240" w:lineRule="auto"/>
      </w:pPr>
      <w:r>
        <w:separator/>
      </w:r>
    </w:p>
  </w:endnote>
  <w:endnote w:type="continuationSeparator" w:id="1">
    <w:p w:rsidR="00814A3F" w:rsidRDefault="00814A3F" w:rsidP="000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4266"/>
      <w:docPartObj>
        <w:docPartGallery w:val="Page Numbers (Bottom of Page)"/>
        <w:docPartUnique/>
      </w:docPartObj>
    </w:sdtPr>
    <w:sdtContent>
      <w:p w:rsidR="00557689" w:rsidRDefault="0065600E">
        <w:pPr>
          <w:pStyle w:val="a6"/>
          <w:jc w:val="center"/>
        </w:pPr>
        <w:fldSimple w:instr=" PAGE   \* MERGEFORMAT ">
          <w:r w:rsidR="00EB5521">
            <w:rPr>
              <w:noProof/>
            </w:rPr>
            <w:t>4</w:t>
          </w:r>
        </w:fldSimple>
      </w:p>
    </w:sdtContent>
  </w:sdt>
  <w:p w:rsidR="00557689" w:rsidRDefault="005576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3F" w:rsidRDefault="00814A3F" w:rsidP="000C7637">
      <w:pPr>
        <w:spacing w:after="0" w:line="240" w:lineRule="auto"/>
      </w:pPr>
      <w:r>
        <w:separator/>
      </w:r>
    </w:p>
  </w:footnote>
  <w:footnote w:type="continuationSeparator" w:id="1">
    <w:p w:rsidR="00814A3F" w:rsidRDefault="00814A3F" w:rsidP="000C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1C0"/>
    <w:multiLevelType w:val="hybridMultilevel"/>
    <w:tmpl w:val="E376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09DC"/>
    <w:multiLevelType w:val="hybridMultilevel"/>
    <w:tmpl w:val="E376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36E7F"/>
    <w:multiLevelType w:val="hybridMultilevel"/>
    <w:tmpl w:val="BB78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744"/>
    <w:rsid w:val="000013B5"/>
    <w:rsid w:val="0002011B"/>
    <w:rsid w:val="00036BFE"/>
    <w:rsid w:val="000453DF"/>
    <w:rsid w:val="000724F2"/>
    <w:rsid w:val="0008012D"/>
    <w:rsid w:val="00096315"/>
    <w:rsid w:val="000A01F8"/>
    <w:rsid w:val="000A179F"/>
    <w:rsid w:val="000B0FC5"/>
    <w:rsid w:val="000C1435"/>
    <w:rsid w:val="000C7637"/>
    <w:rsid w:val="000E22FA"/>
    <w:rsid w:val="000E475A"/>
    <w:rsid w:val="000F05F7"/>
    <w:rsid w:val="000F228E"/>
    <w:rsid w:val="000F7A07"/>
    <w:rsid w:val="00103072"/>
    <w:rsid w:val="00165EB7"/>
    <w:rsid w:val="00170444"/>
    <w:rsid w:val="00180A1D"/>
    <w:rsid w:val="001A367B"/>
    <w:rsid w:val="001A6091"/>
    <w:rsid w:val="001B648C"/>
    <w:rsid w:val="001C723F"/>
    <w:rsid w:val="001D01DC"/>
    <w:rsid w:val="001E44C8"/>
    <w:rsid w:val="001E7D3C"/>
    <w:rsid w:val="001F66C3"/>
    <w:rsid w:val="00203462"/>
    <w:rsid w:val="00246641"/>
    <w:rsid w:val="002564B2"/>
    <w:rsid w:val="0027085A"/>
    <w:rsid w:val="002720D4"/>
    <w:rsid w:val="00275F78"/>
    <w:rsid w:val="00296E9F"/>
    <w:rsid w:val="002B6B27"/>
    <w:rsid w:val="002C7DFA"/>
    <w:rsid w:val="002F5763"/>
    <w:rsid w:val="003219F6"/>
    <w:rsid w:val="0034673B"/>
    <w:rsid w:val="003B2110"/>
    <w:rsid w:val="003B7400"/>
    <w:rsid w:val="003B7EDA"/>
    <w:rsid w:val="003D5D4E"/>
    <w:rsid w:val="003F1535"/>
    <w:rsid w:val="00421564"/>
    <w:rsid w:val="00435A68"/>
    <w:rsid w:val="004445FF"/>
    <w:rsid w:val="00446787"/>
    <w:rsid w:val="00464FC7"/>
    <w:rsid w:val="004832FB"/>
    <w:rsid w:val="004861FF"/>
    <w:rsid w:val="00492BE8"/>
    <w:rsid w:val="00494914"/>
    <w:rsid w:val="004B5208"/>
    <w:rsid w:val="004C7635"/>
    <w:rsid w:val="00501D3C"/>
    <w:rsid w:val="00507AE8"/>
    <w:rsid w:val="00557689"/>
    <w:rsid w:val="00585A74"/>
    <w:rsid w:val="005A4BCC"/>
    <w:rsid w:val="005A6EC8"/>
    <w:rsid w:val="005B6467"/>
    <w:rsid w:val="005C486E"/>
    <w:rsid w:val="006243C4"/>
    <w:rsid w:val="006462A5"/>
    <w:rsid w:val="00655506"/>
    <w:rsid w:val="0065600E"/>
    <w:rsid w:val="0068002D"/>
    <w:rsid w:val="00682AD8"/>
    <w:rsid w:val="006979C0"/>
    <w:rsid w:val="006A7B03"/>
    <w:rsid w:val="006B71C2"/>
    <w:rsid w:val="00773D00"/>
    <w:rsid w:val="00774E17"/>
    <w:rsid w:val="00785EDD"/>
    <w:rsid w:val="00786E07"/>
    <w:rsid w:val="007A0305"/>
    <w:rsid w:val="007B38A0"/>
    <w:rsid w:val="007D1D12"/>
    <w:rsid w:val="007E6854"/>
    <w:rsid w:val="007E7AFC"/>
    <w:rsid w:val="0080650C"/>
    <w:rsid w:val="00810BAE"/>
    <w:rsid w:val="00811651"/>
    <w:rsid w:val="0081444D"/>
    <w:rsid w:val="00814A3F"/>
    <w:rsid w:val="00815C91"/>
    <w:rsid w:val="008266FB"/>
    <w:rsid w:val="00831D11"/>
    <w:rsid w:val="008374E0"/>
    <w:rsid w:val="0084490C"/>
    <w:rsid w:val="0085152D"/>
    <w:rsid w:val="00854AF6"/>
    <w:rsid w:val="008747C9"/>
    <w:rsid w:val="00893D49"/>
    <w:rsid w:val="008A6547"/>
    <w:rsid w:val="008B031E"/>
    <w:rsid w:val="008B7868"/>
    <w:rsid w:val="008D1CAE"/>
    <w:rsid w:val="008D7719"/>
    <w:rsid w:val="008E7038"/>
    <w:rsid w:val="008F6757"/>
    <w:rsid w:val="00907D3A"/>
    <w:rsid w:val="00911521"/>
    <w:rsid w:val="009352D1"/>
    <w:rsid w:val="00944973"/>
    <w:rsid w:val="009523E2"/>
    <w:rsid w:val="009548AC"/>
    <w:rsid w:val="00965FC7"/>
    <w:rsid w:val="00990051"/>
    <w:rsid w:val="00991635"/>
    <w:rsid w:val="009960C8"/>
    <w:rsid w:val="009A0E1A"/>
    <w:rsid w:val="009A6017"/>
    <w:rsid w:val="009C12D1"/>
    <w:rsid w:val="009C2F4A"/>
    <w:rsid w:val="009E0FB8"/>
    <w:rsid w:val="00A001B1"/>
    <w:rsid w:val="00A077D3"/>
    <w:rsid w:val="00A20924"/>
    <w:rsid w:val="00A60B31"/>
    <w:rsid w:val="00A65E2E"/>
    <w:rsid w:val="00A81DEC"/>
    <w:rsid w:val="00AA1185"/>
    <w:rsid w:val="00AA16A3"/>
    <w:rsid w:val="00AF2FC5"/>
    <w:rsid w:val="00B101A7"/>
    <w:rsid w:val="00B30D3E"/>
    <w:rsid w:val="00B47D25"/>
    <w:rsid w:val="00B52CD8"/>
    <w:rsid w:val="00B567B0"/>
    <w:rsid w:val="00B774E4"/>
    <w:rsid w:val="00B77793"/>
    <w:rsid w:val="00B810FF"/>
    <w:rsid w:val="00B90D7C"/>
    <w:rsid w:val="00BA2B0A"/>
    <w:rsid w:val="00BD303C"/>
    <w:rsid w:val="00BE4D8D"/>
    <w:rsid w:val="00C33129"/>
    <w:rsid w:val="00C37C2A"/>
    <w:rsid w:val="00C54908"/>
    <w:rsid w:val="00C60DCC"/>
    <w:rsid w:val="00C72ED1"/>
    <w:rsid w:val="00C93090"/>
    <w:rsid w:val="00CC4C06"/>
    <w:rsid w:val="00CE4776"/>
    <w:rsid w:val="00CF6DEE"/>
    <w:rsid w:val="00D05C6F"/>
    <w:rsid w:val="00D06BF5"/>
    <w:rsid w:val="00D14AC5"/>
    <w:rsid w:val="00D32F32"/>
    <w:rsid w:val="00D62E90"/>
    <w:rsid w:val="00D71471"/>
    <w:rsid w:val="00D72C7F"/>
    <w:rsid w:val="00D877DB"/>
    <w:rsid w:val="00D93025"/>
    <w:rsid w:val="00D93B77"/>
    <w:rsid w:val="00DB1CA1"/>
    <w:rsid w:val="00E14DD6"/>
    <w:rsid w:val="00E1707E"/>
    <w:rsid w:val="00E178D4"/>
    <w:rsid w:val="00E31290"/>
    <w:rsid w:val="00E67B2D"/>
    <w:rsid w:val="00E72425"/>
    <w:rsid w:val="00E948F1"/>
    <w:rsid w:val="00E95C58"/>
    <w:rsid w:val="00EA1019"/>
    <w:rsid w:val="00EA2EF8"/>
    <w:rsid w:val="00EB5521"/>
    <w:rsid w:val="00EF5042"/>
    <w:rsid w:val="00EF7744"/>
    <w:rsid w:val="00F07741"/>
    <w:rsid w:val="00F20919"/>
    <w:rsid w:val="00F2558B"/>
    <w:rsid w:val="00F42005"/>
    <w:rsid w:val="00F4683C"/>
    <w:rsid w:val="00F557F7"/>
    <w:rsid w:val="00F72AC6"/>
    <w:rsid w:val="00FE2ABD"/>
    <w:rsid w:val="00FE3D9F"/>
    <w:rsid w:val="00F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E"/>
  </w:style>
  <w:style w:type="paragraph" w:styleId="3">
    <w:name w:val="heading 3"/>
    <w:basedOn w:val="a"/>
    <w:link w:val="30"/>
    <w:uiPriority w:val="9"/>
    <w:qFormat/>
    <w:rsid w:val="008E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74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637"/>
  </w:style>
  <w:style w:type="paragraph" w:styleId="a6">
    <w:name w:val="footer"/>
    <w:basedOn w:val="a"/>
    <w:link w:val="a7"/>
    <w:uiPriority w:val="99"/>
    <w:unhideWhenUsed/>
    <w:rsid w:val="000C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637"/>
  </w:style>
  <w:style w:type="table" w:styleId="a8">
    <w:name w:val="Table Grid"/>
    <w:basedOn w:val="a1"/>
    <w:rsid w:val="009C1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01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0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1B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0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F07741"/>
    <w:rPr>
      <w:i/>
      <w:iCs/>
    </w:rPr>
  </w:style>
  <w:style w:type="character" w:styleId="ae">
    <w:name w:val="Strong"/>
    <w:basedOn w:val="a0"/>
    <w:uiPriority w:val="22"/>
    <w:qFormat/>
    <w:rsid w:val="00A81D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703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10065.700000000004</c:v>
                </c:pt>
                <c:pt idx="1">
                  <c:v>10379.6</c:v>
                </c:pt>
                <c:pt idx="2">
                  <c:v>10496.3</c:v>
                </c:pt>
                <c:pt idx="3">
                  <c:v>11267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4549.9000000000005</c:v>
                </c:pt>
                <c:pt idx="1">
                  <c:v>2742.3</c:v>
                </c:pt>
                <c:pt idx="2">
                  <c:v>5271.1</c:v>
                </c:pt>
                <c:pt idx="3">
                  <c:v>5738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5515.8</c:v>
                </c:pt>
                <c:pt idx="1">
                  <c:v>5637.3</c:v>
                </c:pt>
                <c:pt idx="2">
                  <c:v>5529</c:v>
                </c:pt>
                <c:pt idx="3">
                  <c:v>5529</c:v>
                </c:pt>
              </c:numCache>
            </c:numRef>
          </c:val>
        </c:ser>
        <c:marker val="1"/>
        <c:axId val="79875456"/>
        <c:axId val="149562880"/>
      </c:lineChart>
      <c:catAx>
        <c:axId val="79875456"/>
        <c:scaling>
          <c:orientation val="minMax"/>
        </c:scaling>
        <c:axPos val="b"/>
        <c:numFmt formatCode="General" sourceLinked="1"/>
        <c:tickLblPos val="nextTo"/>
        <c:crossAx val="149562880"/>
        <c:crosses val="autoZero"/>
        <c:auto val="1"/>
        <c:lblAlgn val="ctr"/>
        <c:lblOffset val="100"/>
      </c:catAx>
      <c:valAx>
        <c:axId val="149562880"/>
        <c:scaling>
          <c:orientation val="minMax"/>
        </c:scaling>
        <c:axPos val="l"/>
        <c:majorGridlines/>
        <c:numFmt formatCode="General" sourceLinked="1"/>
        <c:tickLblPos val="nextTo"/>
        <c:crossAx val="7987545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1.Добыча полезных ископаемых</c:v>
                </c:pt>
                <c:pt idx="1">
                  <c:v>2.Торговля оптовая и розничная</c:v>
                </c:pt>
                <c:pt idx="2">
                  <c:v>3.Предоставление прочих видов услуг</c:v>
                </c:pt>
                <c:pt idx="3">
                  <c:v>4.Обрабатывающие проихводства</c:v>
                </c:pt>
                <c:pt idx="4">
                  <c:v>5.Деятельность финансовая и страховая</c:v>
                </c:pt>
                <c:pt idx="5">
                  <c:v>6.Прочие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0.19</c:v>
                </c:pt>
                <c:pt idx="1">
                  <c:v>0.36000000000000026</c:v>
                </c:pt>
                <c:pt idx="2">
                  <c:v>6.0000000000000032E-2</c:v>
                </c:pt>
                <c:pt idx="3">
                  <c:v>0.19</c:v>
                </c:pt>
                <c:pt idx="4">
                  <c:v>8.0000000000000043E-2</c:v>
                </c:pt>
                <c:pt idx="5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0111934801204647"/>
          <c:y val="0.14021542900950801"/>
          <c:w val="0.38437629554168123"/>
          <c:h val="0.8348620722794415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1.Добыча полезных ископаемых</c:v>
                </c:pt>
                <c:pt idx="1">
                  <c:v>2.Обрабатывающие производства</c:v>
                </c:pt>
                <c:pt idx="2">
                  <c:v>3.Торговля оптовая и розничная</c:v>
                </c:pt>
                <c:pt idx="3">
                  <c:v>4.Деятельность финансоваяи страховая</c:v>
                </c:pt>
                <c:pt idx="4">
                  <c:v>5.Деятельность по операциям с недвижимым имуществом</c:v>
                </c:pt>
                <c:pt idx="5">
                  <c:v>6.Прочие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9.0000000000000024E-2</c:v>
                </c:pt>
                <c:pt idx="2">
                  <c:v>0.36000000000000026</c:v>
                </c:pt>
                <c:pt idx="3">
                  <c:v>0.13</c:v>
                </c:pt>
                <c:pt idx="4">
                  <c:v>0.05</c:v>
                </c:pt>
                <c:pt idx="5">
                  <c:v>0.15000000000000013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537D-24DE-4B1F-8F6D-35EA52D5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18677</TotalTime>
  <Pages>42</Pages>
  <Words>8927</Words>
  <Characters>50888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62</cp:revision>
  <cp:lastPrinted>2018-03-21T18:29:00Z</cp:lastPrinted>
  <dcterms:created xsi:type="dcterms:W3CDTF">2018-03-18T21:27:00Z</dcterms:created>
  <dcterms:modified xsi:type="dcterms:W3CDTF">2018-05-28T17:14:00Z</dcterms:modified>
</cp:coreProperties>
</file>