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6A" w:rsidRPr="00D1014F" w:rsidRDefault="00AC5D6A" w:rsidP="00AC5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C5D6A" w:rsidRPr="00676934" w:rsidRDefault="00AC5D6A" w:rsidP="00AC5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C5D6A" w:rsidRPr="00676934" w:rsidRDefault="00AC5D6A" w:rsidP="00AC5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C5D6A" w:rsidRPr="00D1014F" w:rsidRDefault="00AC5D6A" w:rsidP="00AC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AC5D6A" w:rsidRPr="00D1014F" w:rsidRDefault="00AC5D6A" w:rsidP="00AC5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D1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D1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AC5D6A" w:rsidRPr="00D1014F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гражданского процесса и международного права</w:t>
      </w:r>
    </w:p>
    <w:p w:rsidR="00AC5D6A" w:rsidRPr="00D1014F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6A" w:rsidRPr="00D1014F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6A" w:rsidRPr="00D1014F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6A" w:rsidRPr="00D1014F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5D6A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ЗАЩИТА ТРУДОВЫХ ПРАВ</w:t>
      </w:r>
    </w:p>
    <w:p w:rsidR="00AC5D6A" w:rsidRPr="00D1014F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6A" w:rsidRPr="00D1014F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Салфетникова</w:t>
      </w:r>
      <w:proofErr w:type="spellEnd"/>
      <w:r w:rsidRPr="00D10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14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(подпись, дата)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638"/>
      </w:tblGrid>
      <w:tr w:rsidR="00AC5D6A" w:rsidRPr="00175C8B" w:rsidTr="00AC5D6A">
        <w:tc>
          <w:tcPr>
            <w:tcW w:w="5000" w:type="pct"/>
          </w:tcPr>
          <w:p w:rsidR="00AC5D6A" w:rsidRPr="00175C8B" w:rsidRDefault="00AC5D6A" w:rsidP="00087E64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Факультет        юридический им. А.А. Хмырова             курс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3</w:t>
            </w:r>
            <w:r w:rsidRPr="0017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AC5D6A" w:rsidRPr="00175C8B" w:rsidTr="00AC5D6A">
        <w:tc>
          <w:tcPr>
            <w:tcW w:w="5000" w:type="pct"/>
          </w:tcPr>
          <w:p w:rsidR="00AC5D6A" w:rsidRPr="00175C8B" w:rsidRDefault="00AC5D6A" w:rsidP="00087E64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C8B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E2373" wp14:editId="7582BF47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7620</wp:posOffset>
                      </wp:positionV>
                      <wp:extent cx="1228725" cy="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B2979F"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3pt,.6pt" to="45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"/>
                  </w:pict>
                </mc:Fallback>
              </mc:AlternateContent>
            </w:r>
            <w:r w:rsidRPr="00175C8B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0F217" wp14:editId="3D843A64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3175</wp:posOffset>
                      </wp:positionV>
                      <wp:extent cx="3207385" cy="0"/>
                      <wp:effectExtent l="0" t="0" r="1206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7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F00985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.25pt" to="326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"/>
                  </w:pict>
                </mc:Fallback>
              </mc:AlternateContent>
            </w:r>
          </w:p>
          <w:p w:rsidR="00AC5D6A" w:rsidRPr="00175C8B" w:rsidRDefault="00AC5D6A" w:rsidP="00AC5D6A">
            <w:pPr>
              <w:shd w:val="clear" w:color="auto" w:fill="FFFFFF"/>
              <w:tabs>
                <w:tab w:val="left" w:pos="426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C8B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C0E699" wp14:editId="475B2E02">
                      <wp:simplePos x="0" y="0"/>
                      <wp:positionH relativeFrom="column">
                        <wp:posOffset>1003936</wp:posOffset>
                      </wp:positionH>
                      <wp:positionV relativeFrom="paragraph">
                        <wp:posOffset>203200</wp:posOffset>
                      </wp:positionV>
                      <wp:extent cx="47625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9CEFA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16pt" to="454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"/>
                  </w:pict>
                </mc:Fallback>
              </mc:AlternateContent>
            </w:r>
            <w:r w:rsidRPr="0017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40.03</w:t>
            </w:r>
            <w:r w:rsidRPr="0017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.01 Юриспруденция </w:t>
            </w:r>
            <w:r w:rsidRPr="00175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17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17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AC5D6A" w:rsidRPr="00175C8B" w:rsidRDefault="00AC5D6A" w:rsidP="00087E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D6A" w:rsidRPr="00175C8B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доцент, канд. </w:t>
      </w:r>
      <w:proofErr w:type="spellStart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_____________________________О.Н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Малиновский</w:t>
      </w: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(подпись, дата)</w:t>
      </w:r>
    </w:p>
    <w:p w:rsidR="00AC5D6A" w:rsidRPr="00A51C37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доцент, канд. </w:t>
      </w:r>
      <w:proofErr w:type="spellStart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_____________________________О.Н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Малиновский</w:t>
      </w: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5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(подпись, дата)</w:t>
      </w:r>
    </w:p>
    <w:p w:rsidR="00AC5D6A" w:rsidRPr="00A51C37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Pr="00A51C37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Pr="00A51C37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Default="00AC5D6A" w:rsidP="00AC5D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D6A" w:rsidRDefault="00AC5D6A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AC5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AF" w:rsidRPr="00D86545" w:rsidRDefault="00AC5D6A" w:rsidP="00D865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</w:p>
    <w:p w:rsidR="00087E64" w:rsidRDefault="00AC5D6A" w:rsidP="00AC5D6A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762B6" w:rsidRPr="00A51C37" w:rsidRDefault="000762B6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……………………………………………………………………………...3</w:t>
      </w:r>
    </w:p>
    <w:p w:rsidR="000762B6" w:rsidRPr="00A51C37" w:rsidRDefault="000762B6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82880138"/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основы международной защиты трудовых прав……………5</w:t>
      </w:r>
    </w:p>
    <w:p w:rsidR="000762B6" w:rsidRDefault="000762B6" w:rsidP="000762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организация труда……………………………………</w:t>
      </w:r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……5</w:t>
      </w:r>
    </w:p>
    <w:p w:rsidR="000762B6" w:rsidRDefault="000762B6" w:rsidP="000762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Деятельность региональных организ</w:t>
      </w:r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по защите трудовых прав</w:t>
      </w:r>
      <w:proofErr w:type="gramStart"/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BC79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0762B6" w:rsidRPr="00A51C37" w:rsidRDefault="000762B6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Правовые основы международно</w:t>
      </w:r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защиты трудовых прав……………………15</w:t>
      </w:r>
    </w:p>
    <w:p w:rsidR="000762B6" w:rsidRDefault="000762B6" w:rsidP="000762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нормы международног</w:t>
      </w:r>
      <w:r w:rsidR="00817E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 по защите трудовых прав…………………………………………………………………………</w:t>
      </w:r>
      <w:proofErr w:type="gramStart"/>
      <w:r w:rsidR="00817E4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="00474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762B6" w:rsidRDefault="000762B6" w:rsidP="000762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нормы международного п</w:t>
      </w:r>
      <w:r w:rsidR="004D7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по защите трудовых прав………………………………………………...............</w:t>
      </w:r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</w:t>
      </w:r>
      <w:proofErr w:type="gramStart"/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0762B6" w:rsidRPr="00A51C37" w:rsidRDefault="000762B6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………………....</w:t>
      </w:r>
      <w:r w:rsidR="0075272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="004D7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0762B6" w:rsidRDefault="000762B6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r w:rsid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..........28</w:t>
      </w: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Default="00A40288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57" w:rsidRDefault="004D7757" w:rsidP="0007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B6" w:rsidRDefault="00A40288" w:rsidP="00A40288">
      <w:pPr>
        <w:spacing w:after="0" w:line="7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171658" w:rsidRDefault="00FB2C3C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</w:t>
      </w:r>
      <w:r w:rsidR="00C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нами темы курсовой работы не вызывает сомнения, поскольку з</w:t>
      </w:r>
      <w:r w:rsidR="00C379A9" w:rsidRPr="00C379A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трудовых прав работника и коллективных интересов работников организаций (предприятий) п</w:t>
      </w:r>
      <w:r w:rsidR="00CB6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риобретает все большее значение. М</w:t>
      </w:r>
      <w:r w:rsidR="00C3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ировая экономика находится в </w:t>
      </w:r>
      <w:r w:rsidR="00CB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нестабильном состоянии, и в</w:t>
      </w:r>
      <w:r w:rsidR="00C3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</w:t>
      </w:r>
      <w:r w:rsidR="00DF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с дестабилизирующими её факторами, </w:t>
      </w:r>
      <w:r w:rsidR="00B41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деформируется и рынок труда</w:t>
      </w:r>
      <w:r w:rsidR="00DF07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растёт безработица</w:t>
      </w:r>
      <w:r w:rsidR="00B4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41024" w:rsidRPr="00B4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Столкновение интересов работодателя и работников либо нарушение руководителем (администрацией) трудовых прав работника нередко порождают разногласия между ними, перерастающие в трудовые споры </w:t>
      </w:r>
      <w:r w:rsidR="00475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и индивидуальные. Причины возникновения таких споров кроются не только в нестабильности экономики, но и в нарушении трудовых прав рабо</w:t>
      </w:r>
      <w:r w:rsid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со стороны работодателей и наоборот.</w:t>
      </w:r>
      <w:r w:rsidR="004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58" w:rsidRPr="0017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неправомерные действия могут быть результатом невысокого уровня индивидуального правосознания </w:t>
      </w:r>
      <w:r w:rsidR="0017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работника, так и работодателя) </w:t>
      </w:r>
      <w:r w:rsidR="00171658" w:rsidRPr="0017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недостаточности правовых знаний либо пренебрежи</w:t>
      </w:r>
      <w:r w:rsidR="0017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отношения руководителей к соблюдению трудовых договоров, законов о труде и в частности норм международного права.</w:t>
      </w:r>
    </w:p>
    <w:p w:rsidR="00171658" w:rsidRDefault="00D23DD9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нашего исследования является отображение нынешнего состояния системы международно-правовой защиты трудовых прав.</w:t>
      </w:r>
    </w:p>
    <w:p w:rsidR="00B954F4" w:rsidRDefault="00D23DD9" w:rsidP="00B95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курсовой работы являются, во-первых, изучение специальной литературы, нормативных актов, мнений ученых-правоведов, посвященных институту международной защиты трудовых прав, во-вторых, исследование организационных и правовых основ данного института, а именно деятельности</w:t>
      </w:r>
      <w:r w:rsidR="00BA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организации труда</w:t>
      </w:r>
      <w:r w:rsidR="00B9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организаций, основной целью которых является защита индивидуальных и коллективных трудовых прав работников и работодателей</w:t>
      </w:r>
      <w:r w:rsidR="00BA19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и региональных норм, направленных на защиту трудовых прав.</w:t>
      </w:r>
    </w:p>
    <w:p w:rsidR="00B954F4" w:rsidRDefault="00B954F4" w:rsidP="00B95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работы является система международной защиты трудовых прав.</w:t>
      </w:r>
    </w:p>
    <w:p w:rsidR="00B954F4" w:rsidRDefault="00B954F4" w:rsidP="00B95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работы служат организационные и правовые основы вышеназванного института.</w:t>
      </w:r>
    </w:p>
    <w:p w:rsidR="00B954F4" w:rsidRDefault="00B954F4" w:rsidP="00B95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работы мы собираемся руководствоваться системно-структурным</w:t>
      </w:r>
      <w:r w:rsidRPr="00B9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сравнительно-правовым</w:t>
      </w:r>
      <w:r w:rsidRPr="00B954F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-юридическим, историко-правовым, социологическим и иными методами исследования.</w:t>
      </w:r>
    </w:p>
    <w:p w:rsidR="00B954F4" w:rsidRPr="004326BB" w:rsidRDefault="00B954F4" w:rsidP="004326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теоретической базы нашей работы используются тру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таких ученых-правоведов, как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Дмитриева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К.,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Куренной 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М.,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Е., Ткаченко А. А.,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Жигалов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И., 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Матчанова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Ш., 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</w:t>
      </w:r>
      <w:r w:rsid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и других, 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нормативной базы мы используем международное законодательство, так или иначе затрагивающее защиту трудовых прав, а именно Устав МОТ, Устав СНГ, Декларации</w:t>
      </w:r>
      <w:r w:rsidR="004326BB" w:rsidRP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 </w:t>
      </w:r>
      <w:r w:rsidR="004326BB" w:rsidRP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целях и задачах Международной организации труда» 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326BB" w:rsidRP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основополагающих принципах и правах в сфере труда»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26BB" w:rsidRP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функционировании Е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С, ТК РФ, Закон РФ «</w:t>
      </w:r>
      <w:r w:rsidR="004326BB" w:rsidRP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занятости н</w:t>
      </w:r>
      <w:r w:rsidR="00432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в РФ», Конвенции МОТ № 1, 138, 182, 187, 155, 122, 132 и другие акты (подробнее указано в списке использованных источников).</w:t>
      </w:r>
    </w:p>
    <w:p w:rsidR="00B954F4" w:rsidRPr="00B954F4" w:rsidRDefault="00B954F4" w:rsidP="00B95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состоит из введения, основной части, в которую входят две главы, разделенные на пункты, заключения, а также списка используемых источников.</w:t>
      </w:r>
    </w:p>
    <w:p w:rsidR="00BA1900" w:rsidRDefault="00BA1900" w:rsidP="00432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BB" w:rsidRDefault="004326BB" w:rsidP="00432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C37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BA190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D8654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основы международной защиты трудовых прав</w:t>
      </w:r>
    </w:p>
    <w:p w:rsidR="00BA1900" w:rsidRDefault="00BA1900" w:rsidP="00BA1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главе нами будут рассмотрены история создания, становления и структура деятельности международных организаций, основной целью которых является защита трудовых прав работников и работодателей.</w:t>
      </w:r>
    </w:p>
    <w:p w:rsidR="00BA1900" w:rsidRDefault="00BA1900" w:rsidP="00BA1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00" w:rsidRDefault="00BA1900" w:rsidP="006D2BA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Международная организация труда</w:t>
      </w:r>
    </w:p>
    <w:p w:rsidR="00A3069C" w:rsidRPr="00A3069C" w:rsidRDefault="00A3069C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</w:t>
      </w:r>
      <w:r w:rsidRPr="00A3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Уставе МОТ не содержится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дефиниции </w:t>
      </w:r>
      <w:r w:rsidRPr="00A30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организации, он лишь подробно разъясняет её структуру и цели её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научной литературе можно найти достаточно определений, позволяющих понять, что собой представляет Международная организация труда.</w:t>
      </w:r>
    </w:p>
    <w:p w:rsidR="00AD73AE" w:rsidRDefault="00A3069C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 П. Е. даёт ей следующее определение: </w:t>
      </w:r>
      <w:r w:rsidR="00AD73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«МОТ является всемирной межправительственной организацией в сфере международного правого регулирования отношений в области реализации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«представляет собой специализированное учреждение ООН</w:t>
      </w:r>
      <w:r w:rsidR="00AD7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73A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определении, на наш взгляд, содержится исчерпывающее количество признаков, отличающих МОТ от других международных организаций, в частности, специализированных учреждений ООН.</w:t>
      </w:r>
    </w:p>
    <w:p w:rsidR="002327C4" w:rsidRDefault="00646332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«Международная организация труда возникла как следствие Версальского мирного договора. Её устав был утвержден 11 апреля 1919 г. и включен в Версальский договор в качестве его части»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пишет Ткаченко А. А. в своей статье, посвященной 90-летнему юбилею МОТ. </w:t>
      </w:r>
      <w:r w:rsidR="0019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МОТ, как и любое событие всемирного масштаба, не </w:t>
      </w:r>
      <w:r w:rsidR="00A26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могло произойти беспричинно</w:t>
      </w:r>
      <w:r w:rsid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Первой причиной, по мнению многих ученых, является «политическая». </w:t>
      </w:r>
      <w:r w:rsidR="00B64CAE" w:rsidRP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для создания МОТ послужили революции в России и ряде других Европейских стран. В целях </w:t>
      </w:r>
      <w:r w:rsidR="00B64CAE" w:rsidRP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возникающих в обществе противоречий взрывным, насильственным, революционным путем</w:t>
      </w:r>
      <w:r w:rsid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CAE" w:rsidRP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МОТ решили создать международную организацию, призванную всемирно содействовать социальному прогрессу, установлению и поддержанию социального мира между различными слоями общества, способствовать р</w:t>
      </w:r>
      <w:r w:rsid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азрешению возникающих социальны</w:t>
      </w:r>
      <w:r w:rsidR="00B64CAE" w:rsidRP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 эволюционным мирным путем</w:t>
      </w:r>
      <w:r w:rsidR="00B6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второй можно выделить так называемую «социальную» причину. </w:t>
      </w:r>
      <w:r w:rsidR="00B80B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трудящихся во всем мире в то время была куда более тяжелой, чем в наши дни. Отсутствова</w:t>
      </w:r>
      <w:r w:rsidR="00001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всякая социальная защищенность работающих</w:t>
      </w:r>
      <w:r w:rsidR="00B80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экономич</w:t>
      </w:r>
      <w:r w:rsidR="00C8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развитие опережало развитие системы защиты прав человека (в </w:t>
      </w:r>
      <w:r w:rsid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трудовых), что сильно тормозило развитие общества в целом. Третья причина – </w:t>
      </w:r>
      <w:r w:rsidR="000018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</w:t>
      </w:r>
      <w:r w:rsidR="000018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заключается в том, что с</w:t>
      </w:r>
      <w:r w:rsidR="00E77226" w:rsidRP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тремление отдельных стран к улучшению положения трудящихся вызывало увеличение затрат, рост себестоимости продукц</w:t>
      </w:r>
      <w:r w:rsid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что затрудняло конкуренцию</w:t>
      </w:r>
      <w:r w:rsidR="00E77226" w:rsidRP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требовало решения социальны</w:t>
      </w:r>
      <w:r w:rsid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 в большинстве стран</w:t>
      </w:r>
      <w:r w:rsidR="00E77226" w:rsidRP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Преамбуле отмечается, что «</w:t>
      </w:r>
      <w:proofErr w:type="spellStart"/>
      <w:r w:rsidR="00E77226" w:rsidRP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="00E77226" w:rsidRPr="00E7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страной трудящимся человеческих условий труда является препятствием для других народов, желающих улучшить положение трудящихся в своих странах»</w:t>
      </w:r>
      <w:r w:rsidR="00A26EB6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001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14" w:rsidRDefault="002327C4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деятел</w:t>
      </w:r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МОТ лежит принцип </w:t>
      </w:r>
      <w:proofErr w:type="spellStart"/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«формирование почти всех её органов базируется на основе трехстороннего представительства – от правительств, представителей работников и предпринимателей»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Ткаченко А. А., в этом заключается «отличие МОТ от других международных и всемирных организаций»</w:t>
      </w:r>
      <w:r w:rsidR="002802E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из трех сторон при этом имеет равный голос. На наш взгляд, базирование деятельности МОТ на принципе </w:t>
      </w:r>
      <w:proofErr w:type="spellStart"/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трипартизма</w:t>
      </w:r>
      <w:proofErr w:type="spellEnd"/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весьма прогрессивный шаг, поскольку в данном случае в принятии решений </w:t>
      </w:r>
      <w:r w:rsidR="00280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</w:t>
      </w:r>
      <w:r w:rsidR="00F11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не только государство - работает институт представительства. Это свидетельствует о наиболее эффективной защите прав работников и работодателей по всему миру.</w:t>
      </w:r>
    </w:p>
    <w:p w:rsidR="00B466D5" w:rsidRDefault="00B466D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организация труда, как и любая организация, имеет свою структуру. 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2 Устава организации указаны ее основные органы. Так, Организация состоит: </w:t>
      </w:r>
    </w:p>
    <w:p w:rsidR="00B466D5" w:rsidRDefault="00B466D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a) из Генеральной конференции представителей членов Организации (ранее Международная конференция труда);</w:t>
      </w:r>
    </w:p>
    <w:p w:rsidR="00B466D5" w:rsidRDefault="00B466D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Административного совета;</w:t>
      </w:r>
    </w:p>
    <w:p w:rsidR="00B466D5" w:rsidRDefault="00B466D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Международного бюро труда, подчиненного Административному совету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6D5" w:rsidRDefault="00B466D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 Устава МОТ, Гене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ральная конференция представителей членов Организации созывается каждый раз, когда этого требуют обстоятельства, но не реже чем один раз в год. В ней участвуют по четыре представителя от каждого члена Организации, из которых двое являются правительственными делегатами,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других представляют соот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предпринимателей, а дру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– трудящихся.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сути, Генеральная конференция представителей членов Организации является её высшим органом управления. </w:t>
      </w:r>
    </w:p>
    <w:p w:rsidR="00C868AF" w:rsidRDefault="00B466D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МОТ является Админи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вет, который состоит из 56 чле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нов: 28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 правительств, 14 пред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редпринимателей и 14 представи</w:t>
      </w:r>
      <w:r w:rsidRPr="00B46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трудящихся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608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цитирует Устав МОТ Жигалов М. И. </w:t>
      </w:r>
      <w:r w:rsidR="00851608" w:rsidRP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совет избирается на три года. Если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какой-либо причине по исте</w:t>
      </w:r>
      <w:r w:rsidR="00851608" w:rsidRP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этого срока не бу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произведены выборы, Админи</w:t>
      </w:r>
      <w:r w:rsidR="00851608" w:rsidRP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совет продолжает дей</w:t>
      </w:r>
      <w:r w:rsidR="00851608" w:rsidRP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до проведения выборов. Адми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</w:t>
      </w:r>
      <w:r w:rsidR="00851608" w:rsidRP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совет и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збирает из своего состава пред</w:t>
      </w:r>
      <w:r w:rsidR="00851608" w:rsidRP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седателя и двух заместителей, из которых один является представителем правительства, один – предпринимателей и один – трудящихся</w:t>
      </w:r>
      <w:r w:rsidR="00851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09E" w:rsidRDefault="00C868AF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орган МОТ - Международное</w:t>
      </w:r>
      <w:r w:rsidRPr="00C8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правовой статус регламентирован ст. 8 – 10 Устава МОТ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главе Международ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бюро труда стоит Генеральный директор, который наз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начается Административным сове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 в соотве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его инструкциями отве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перед ним за эффективную работу Бюро и за выполнение любых других задач, которые могут быть ему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поручены. Генеральный дирек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или его заместитель присутствуют на всех заседаниях А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совета. Персо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 Международного бюро труда назначается Генеральным директором согласно правилам, утвержденным Административным советом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Международного бюро труда входят: сбор и распространение сведений по всем вопросам, относящимся к международному регулированию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 и положения тру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дящихся, и, в частности, изучение вопросов, которые пре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дполагается представить на рас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смотрение К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 с целью принятия ме</w:t>
      </w:r>
      <w:r w:rsidR="00AD3C69" w:rsidRP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ждународных конвенций, а также проведение различных специальных обследований, которые могут быть поручены ему Конференцией или Административным советом</w:t>
      </w:r>
      <w:r w:rsidR="00AD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же, согласно ч. 3 ст. 10 Устава МОТ, Конференцией или Административным советом на Бюро могут быть возложены и другие полномочия. </w:t>
      </w:r>
    </w:p>
    <w:p w:rsidR="00DD7738" w:rsidRDefault="00452F4C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Абсолютное большинство ученых, занимающихся исследованием МОТ и её деятельности, считают, что в</w:t>
      </w:r>
      <w:r w:rsid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этапом в формировании МОТ стала сессия в Филадельфии в 1944 г., на которой была принята </w:t>
      </w:r>
      <w:r w:rsidR="00DD7738" w:rsidRP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Филадельфийская декларация о целях и задачах Международной организации труда</w:t>
      </w:r>
      <w:r w:rsid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является приложением к самому Уставу МОТ и содержит основные принципы, цели и задачи организации. Так, основными принципами Международной организации труда статья </w:t>
      </w:r>
      <w:r w:rsidR="00DD7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следующие: </w:t>
      </w:r>
    </w:p>
    <w:p w:rsidR="00DD7738" w:rsidRDefault="00DD7738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труд не является товаром;</w:t>
      </w:r>
    </w:p>
    <w:p w:rsidR="00DD7738" w:rsidRDefault="00DD7738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свобода слова и профсоюзной деятельности является необходимым условием постоянного прогресса;</w:t>
      </w:r>
    </w:p>
    <w:p w:rsidR="00DD7738" w:rsidRDefault="00DD7738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нищета в любом месте является угрозой для общего благосостояния;</w:t>
      </w:r>
    </w:p>
    <w:p w:rsidR="00452F4C" w:rsidRDefault="00DD7738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борьба с нуждой должна вестись с неослабевающей силой в каждом государстве и путем постоянных и объединенных международных усилий, при которых представители рабочих и предпринимателей, пользующиеся равными правами с представителями правительств, присоединятся к ним в свободном обсуждении и принятии демократических решений в целях содействия общему благосостоянию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DD7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98D" w:rsidRDefault="00452F4C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по мнению Матчановой З. Ш., «вышеназванные </w:t>
      </w:r>
      <w:r w:rsidRPr="00452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прежде всего, раскрывают подходы, которым должны следовать государства в их социально-трудовой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2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предлагает «назвать триаду принципов», на которых основана сама деятельность МОТ. На этом основании она выделяет три принципа: универсальность, </w:t>
      </w:r>
      <w:proofErr w:type="spellStart"/>
      <w:r w:rsidR="002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трипартизм</w:t>
      </w:r>
      <w:proofErr w:type="spellEnd"/>
      <w:r w:rsidR="002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 контроля 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конвенций МОТ. Универсальность, согласно её мнению,</w:t>
      </w:r>
      <w:r w:rsidR="002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заключается, во-первых, в том, что в</w:t>
      </w:r>
      <w:r w:rsidR="00290E62" w:rsidRPr="00290E6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 может вступить любое государство, берущее на себя обязательства, предусмотренные Уставом МОТ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во-вторых, в том, 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нормы, вырабатываемые и принимаемые в рамках МОТ, предполагают создание универсальной системы защиты основных трудовых прав человека, улучшения условий труда и жизни работников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в-третьих, в том, что </w:t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международно-правовых норм в сфере труда участвуют государства, имеющие отличные друг от друга политические системы, разное социальное устройство, совершенно разный уровень экономического развития. 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трипартизма</w:t>
      </w:r>
      <w:proofErr w:type="spellEnd"/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был раскрыт нами выше, поэтому сразу перейдем к третьему принципу, выделенному ученой - </w:t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соблюдением конвенций МОТ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Матчановой З. Ш., контроль состоит в том, что, во-первых, «</w:t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ратификации конвенции государство обязано регулярно представлять в МОТ отчеты (доклады) относительно принятых мер по эффективному примен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ра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тифицированной конвенции» и, во-вторых, «</w:t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конвенция не ратифицирована, государство обязано по запросам Административного совета МОТ информировать о состоянии национального законодательства и практики в отношении нератифицированной конвенции и оповещать МОТ о мерах, которые предполагается принять для придания конвенции силы</w:t>
      </w:r>
      <w:r w:rsid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98D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="00AE098D" w:rsidRPr="00AE0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620" w:rsidRDefault="00817620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сказать, что важным этапом в дополнении системы принципов МОТ, является принятие Декларации</w:t>
      </w:r>
      <w:r w:rsidR="0073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 «О</w:t>
      </w:r>
      <w:r w:rsidRPr="0081762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основополагающих принципах и правах в сфере труда и механизм</w:t>
      </w:r>
      <w:r w:rsidR="00035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реализации</w:t>
      </w:r>
      <w:r w:rsidR="0073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принципы не характеризуют деятельность организации с её структурной стороны, но всё ра</w:t>
      </w:r>
      <w:r w:rsidR="007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не могут не быть упомянуты, поскольку являются очень значимыми</w:t>
      </w:r>
      <w:r w:rsidR="0003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международной защиты трудовых прав. Так, ст. 2 вышеназванного акта закрепляет</w:t>
      </w:r>
      <w:r w:rsidR="0073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принципы, являющиеся предметом принятых МОТ конвенций, «а именно:</w:t>
      </w:r>
    </w:p>
    <w:p w:rsidR="00737E65" w:rsidRPr="00D86545" w:rsidRDefault="00737E6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</w:t>
      </w:r>
      <w:r w:rsidRP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свободу объединения и действенное признание права на ведение коллективных переговоров;</w:t>
      </w:r>
    </w:p>
    <w:p w:rsidR="00737E65" w:rsidRPr="00D86545" w:rsidRDefault="00737E6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</w:t>
      </w:r>
      <w:r w:rsidRP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упразднение всех форм принудительного или обязательного труда;</w:t>
      </w:r>
    </w:p>
    <w:p w:rsidR="00737E65" w:rsidRPr="00D86545" w:rsidRDefault="00737E6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</w:t>
      </w:r>
      <w:r w:rsidRP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действенное запрещение детского труда; и</w:t>
      </w:r>
    </w:p>
    <w:p w:rsidR="00737E65" w:rsidRPr="00D86545" w:rsidRDefault="00737E6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</w:t>
      </w:r>
      <w:r w:rsidRP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недопущение дискриминации в области труда и занятий»</w:t>
      </w:r>
      <w:r w:rsidRPr="00D8654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AE499C" w:rsidRP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FC5" w:rsidRDefault="00737E65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Приведенная нами классификация принципов МОТ, на наш взгляд, несмотря на то, что охватывает деятельность МОТ и государств-участников целиком, нуждается в расширении, так как деятельность организации является многоаспектной и с течением времени приобретает всё</w:t>
      </w:r>
      <w:r w:rsidR="00B7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направлений.</w:t>
      </w:r>
    </w:p>
    <w:p w:rsidR="00EF76C0" w:rsidRDefault="00EF76C0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А. выделяет в деятельности МОТ «четыре стратегические цели:</w:t>
      </w:r>
    </w:p>
    <w:p w:rsidR="00EF76C0" w:rsidRPr="00EF76C0" w:rsidRDefault="00EF76C0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реализация норм и основополагающих принципов и прав в сфере труда;</w:t>
      </w:r>
    </w:p>
    <w:p w:rsidR="00EF76C0" w:rsidRPr="00EF76C0" w:rsidRDefault="00EF76C0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более широких возможностей для женщин и мужчин по обеспечению достойной занятости;</w:t>
      </w:r>
    </w:p>
    <w:p w:rsidR="00EF76C0" w:rsidRDefault="00EF76C0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расширение охвата и повышение эффективности социальной защиты для всех;</w:t>
      </w:r>
    </w:p>
    <w:p w:rsidR="00EF76C0" w:rsidRDefault="00EF76C0" w:rsidP="00F92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трехсторонней структуры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социального диалога»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63" w:rsidRDefault="00F92B74" w:rsidP="00492A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взгляд, данный перечень целей МОТ не может являться исчерпывающим: </w:t>
      </w:r>
      <w:r w:rsidR="00744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как и список принципов МОТ, нуждается в дополнении, поскольку социальная, экономическая и политическая жизнь общества находится в постоянном развитии. В данном случае организации для того, чтобы «существовать эффективно», следует постоянно пересматривать цели и принципы деятельности.</w:t>
      </w:r>
    </w:p>
    <w:p w:rsidR="00492A0F" w:rsidRDefault="00744763" w:rsidP="00492A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сказанному, стоит заметить, что, во-первых, МОТ является одной из самых первых международных организаций, которая играет ведущую роль в международно-правовом регулировании труда и задаёт ориентиры всем государствам-членам ООН, во-вторых, структура МОТ своеобразна – разделение властей в данной организации базируется на принципе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трипартизма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работникам, работодателям (предпринимателям) наиболее эффективно повлиять</w:t>
      </w:r>
      <w:r w:rsidR="0049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своих трудовых прав 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принципы и цели МОТ отражены в </w:t>
      </w:r>
      <w:r w:rsidR="009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Уставе МОТ и Декларации МОТ </w:t>
      </w:r>
      <w:r w:rsidR="00907302" w:rsidRPr="0090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основополагающих принципах и правах в сфере труда</w:t>
      </w:r>
      <w:r w:rsidR="00492A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их перечень не может считаться исчерпывающим, поскольку общество находится в постоянном развитии и требует постановки новых целей, корректировки принципов любой международной организации.</w:t>
      </w:r>
    </w:p>
    <w:p w:rsidR="00492A0F" w:rsidRDefault="00492A0F" w:rsidP="00492A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0F" w:rsidRDefault="00492A0F" w:rsidP="006D2BA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492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региональных организаций по защите трудовых прав</w:t>
      </w:r>
    </w:p>
    <w:p w:rsidR="00DA09B2" w:rsidRDefault="002B0815" w:rsidP="00DA0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МОТ, трудовые права человека так же охраняются и другими международными организациями</w:t>
      </w:r>
      <w:r w:rsidR="00D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региональном уровне.</w:t>
      </w:r>
    </w:p>
    <w:p w:rsidR="00DA09B2" w:rsidRDefault="00DA09B2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начать с той организации, участие Российской Федерации в которой обусловлено исторически и политически, а именно с Содружества Независимых Государств.</w:t>
      </w:r>
    </w:p>
    <w:p w:rsidR="00222CE6" w:rsidRDefault="000C2A5C" w:rsidP="00222CE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C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Содружество Независимых Государств (СНГ) — это региональная международная организация, призванная регулировать отношения сотрудничества между государствами, ранее входившими в состав СССР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всеми)</w:t>
      </w:r>
      <w:r w:rsidRPr="000C2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Уставу СНГ, </w:t>
      </w:r>
      <w:r w:rsid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22CE6"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Содружества являются:</w:t>
      </w:r>
    </w:p>
    <w:p w:rsidR="00222CE6" w:rsidRPr="00222CE6" w:rsidRDefault="00222CE6" w:rsidP="00222CE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сотрудничества в политической, экономической, экологической, гуманитарной, культурной и иных областях;</w:t>
      </w:r>
    </w:p>
    <w:p w:rsidR="00222CE6" w:rsidRPr="00222CE6" w:rsidRDefault="00222CE6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 сбалансированное экономическое и социальное развитие государств-членов в рамках общего экономического пространства, межгосударственная кооперация и интеграция;</w:t>
      </w:r>
    </w:p>
    <w:p w:rsidR="00222CE6" w:rsidRPr="00222CE6" w:rsidRDefault="00222CE6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прав и основных свобод человека в соответствии с общепризнанными принципами и </w:t>
      </w:r>
      <w:proofErr w:type="gramStart"/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международного права</w:t>
      </w:r>
      <w:proofErr w:type="gramEnd"/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документами СБСЕ;</w:t>
      </w:r>
    </w:p>
    <w:p w:rsidR="00222CE6" w:rsidRPr="00222CE6" w:rsidRDefault="00222CE6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между государствами-членами в обеспечении международного мира и безопасности, осуществление эффективных мер по сокращению вооружений и военных расходов, ликвидации ядерного и других видов оружия массового уничтожения, достижению всеобщего и полного разоружения;</w:t>
      </w:r>
    </w:p>
    <w:p w:rsidR="00222CE6" w:rsidRPr="00222CE6" w:rsidRDefault="00222CE6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гражданам государств-членов в свободном общении, контактах и передвижении в Содружестве;</w:t>
      </w:r>
    </w:p>
    <w:p w:rsidR="00222CE6" w:rsidRPr="00222CE6" w:rsidRDefault="00222CE6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 правовая помощь и сотрудничество в других сферах правовых отношений;</w:t>
      </w:r>
    </w:p>
    <w:p w:rsidR="00DA09B2" w:rsidRDefault="00222CE6" w:rsidP="00692B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мирное разрешение споров и конфликтов между государствами Содружества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2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BC2" w:rsidRDefault="00692BC2" w:rsidP="00692B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заметить, цели данной организации направлены преимущественно на сотрудничество между государствами в различных сферах и охрану прав и основных свобод человека и гражданина, в том числе и трудовых. </w:t>
      </w:r>
    </w:p>
    <w:p w:rsidR="00FB1EAE" w:rsidRDefault="00FB1EAE" w:rsidP="00692B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Важнейшим направлением трудовой политики Содружества является трудовая миграция в странах СНГ. Эта проблема неоднократно поднималась как в рамках различных конференций организации, так и в доктрине. </w:t>
      </w:r>
    </w:p>
    <w:p w:rsidR="00FB1EAE" w:rsidRDefault="00FB1EAE" w:rsidP="005C6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Миграционным процессам и защите трудовых прав мигрантов в СНГ посвящено много актов организации (они будут рассмотрены нами далее), тем не менее, проблема мигрантов и их занятости актуальности не утратила. </w:t>
      </w:r>
      <w:r w:rsidR="005C6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 А. П. видит преодоление данной проблемы «</w:t>
      </w:r>
      <w:r w:rsidR="005C6B3E" w:rsidRPr="005C6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разработки и принятия многостороннего международного регионального договор</w:t>
      </w:r>
      <w:r w:rsidR="005C6B3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охватывающего все страны СНГ»</w:t>
      </w:r>
      <w:r w:rsidR="005C6B3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5C6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B3E" w:rsidRPr="005C6B3E" w:rsidRDefault="00A90DAF" w:rsidP="005C6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региональное образование, которое</w:t>
      </w:r>
      <w:r w:rsidR="002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упомянуть, но членом которого</w:t>
      </w:r>
      <w:r w:rsidR="0020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в силу территориальных и иных причин не является – это Европейский Союз.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815" w:rsidRPr="00BC7901" w:rsidRDefault="0020697E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«Одним из приоритетных направлений деятельности ЕС является правовое регулирование труда и проведение общей социальной политики»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считает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С., с чем у нас нет оснований не согласиться. </w:t>
      </w:r>
      <w:r w:rsidR="0012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Европейского Сообщества и Европейского союза было принято достаточно много актов, посвященных именно вопросам регулирования труда. </w:t>
      </w:r>
    </w:p>
    <w:p w:rsidR="0012661F" w:rsidRDefault="0012661F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нормы и принципы регулирования труда закреплены были ещё в 1957 г. в договоре, учреждающем Европейское сообщество, хотя стоит сказать, что в принципе и «все институты ЕС, так или иначе, задействованы</w:t>
      </w:r>
      <w:r w:rsidR="005B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регулировании труда на европейском уровне»</w:t>
      </w:r>
      <w:r w:rsidR="005B2E0F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="005B2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E46" w:rsidRDefault="005B2E0F" w:rsidP="004D1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для РФ важно сотрудничество в сфере трудового права с ЕС в практическом плане, даже несмотря на то, что участником Союза она не является, поскольку наше государство и Европа взаимодействуют в рамках одного экономического пространства, а также по причине того, что опыт, накопленный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надгосударственным образованием как Европейский союз, весьма полезен для России. </w:t>
      </w:r>
      <w:r w:rsidR="00A9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не являясь членом Европейского союза, РФ является членом Совета Европы – важнейшей региональной международной организации в Европе по защите прав человека и демократического развития в государствах-участниках. </w:t>
      </w:r>
    </w:p>
    <w:p w:rsidR="00BA2F49" w:rsidRDefault="00BA2F49" w:rsidP="00AB6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существует немало региональных организаций и те из них, основной целью которых является охрана прав и свобод человека и гражданина, так или иначе затрагивают и защиту трудовых прав. Может показаться, что рассмотрение нами деятельности и актов организ</w:t>
      </w:r>
      <w:r w:rsidR="00EC401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членами которых Россия 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имеет значения для нашего исследования, но это ошибочное мнение, поскольку</w:t>
      </w:r>
      <w:r w:rsidR="00EC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страны в мире и все международные организации </w:t>
      </w:r>
      <w:r w:rsidR="000F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или иной степени </w:t>
      </w:r>
      <w:r w:rsidR="00EC4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интегрированы в мировую экономику, между странами происходит обмен ресурсами, в том числе и трудовыми.</w:t>
      </w:r>
    </w:p>
    <w:p w:rsidR="00EC401F" w:rsidRDefault="00EC401F" w:rsidP="00AB66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0F000F">
      <w:pPr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DB" w:rsidRDefault="00EC401F" w:rsidP="00D8654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Правовые основы международной защиты трудовых прав</w:t>
      </w:r>
    </w:p>
    <w:p w:rsidR="000F000F" w:rsidRDefault="000F000F" w:rsidP="0081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главе нами будут рассмотрены акты различных организаций</w:t>
      </w:r>
      <w:r w:rsidR="0081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рекомендательные, так и обязательные к исполнению)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вопр</w:t>
      </w:r>
      <w:r w:rsidR="0081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осам защиты трудовых прав. </w:t>
      </w:r>
    </w:p>
    <w:p w:rsidR="00817E49" w:rsidRDefault="00817E49" w:rsidP="0081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49" w:rsidRDefault="00EC401F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1F">
        <w:rPr>
          <w:rFonts w:ascii="Times New Roman" w:eastAsia="Times New Roman" w:hAnsi="Times New Roman" w:cs="Times New Roman"/>
          <w:sz w:val="28"/>
          <w:szCs w:val="28"/>
          <w:lang w:eastAsia="ru-RU"/>
        </w:rPr>
        <w:t>2.1 Универсальные нормы международного права по защите трудовых прав</w:t>
      </w:r>
    </w:p>
    <w:p w:rsidR="0003273D" w:rsidRDefault="0003273D" w:rsidP="00817E4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3D" w:rsidRDefault="0003273D" w:rsidP="00032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роль в международной защите трудовых прав отведена Международной организации труда и её актам, однако есть и другие универсальные нормы, направленные на регулирование данного вопроса. </w:t>
      </w:r>
    </w:p>
    <w:p w:rsidR="0003273D" w:rsidRDefault="00EE0882" w:rsidP="00032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273D" w:rsidRPr="0003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международно-правовом уровне большой вклад в развитие международного регулирования труда внесли: Всеоб</w:t>
      </w:r>
      <w:r w:rsidR="0003273D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декларация прав человека</w:t>
      </w:r>
      <w:r w:rsidR="0003273D" w:rsidRPr="00032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Международный пакт об экономических, социальных и культурных правах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пишет Шумилов О. В. Так оно и есть: сам факт принятия данных документов в середине ХХ века имел огромное значение для общества. Всеобщая декларация прав человека </w:t>
      </w:r>
      <w:r w:rsidRPr="00EE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 единую, целостную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естественных и неотъемлемых прав и свобод человека, а Международный пакт об экономических, социальных и культурных правах развивал её идеи. Пакт, в частности, закрепил право человека на труд, разъяснив его содержание, право на</w:t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справедливые и благоприятные условия труда, а также, что очень важно, право на забастовки (ст. 6 – 8 )</w:t>
      </w:r>
      <w:r w:rsidR="0037145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="00371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45A" w:rsidRDefault="00BB27EB" w:rsidP="00032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 и конвенции по данному вопросу, принятые под эгидой ООН: </w:t>
      </w:r>
      <w:r w:rsidRPr="00B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ликвидации всех форм дискриминации в отношении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1979 г., </w:t>
      </w:r>
      <w:r w:rsidRPr="00B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ликвидации всех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 расовой дискриминации 1966 г. и </w:t>
      </w:r>
      <w:r w:rsidRPr="00B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защите прав трудящихся-мигрантов и членов их семей 1990 г. </w:t>
      </w:r>
    </w:p>
    <w:p w:rsidR="00BB27EB" w:rsidRDefault="00BB27EB" w:rsidP="00032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</w:t>
      </w:r>
      <w:r w:rsidR="008C444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бесспорно, ведущую роль в правовых основах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защиты трудовых прав </w:t>
      </w:r>
      <w:r w:rsidR="008C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конвенции и рекомендации МОТ. </w:t>
      </w:r>
    </w:p>
    <w:p w:rsidR="008C4443" w:rsidRDefault="00B73DB3" w:rsidP="00B73D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П. Е. отмечает, что в отличие от актов ООН, «Конвенции и Рекомен</w:t>
      </w:r>
      <w:r w:rsidRPr="00B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дации МОТ имеют, в свою очередь, более конкретную цель – создание действенного механизма защиты трудовых прав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поэтому данная глава нашей курсовой работы будет посвящена преимущественно актам МОТ. </w:t>
      </w:r>
    </w:p>
    <w:p w:rsidR="00DB415A" w:rsidRDefault="00B73DB3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первой Конвенцией, принятой МОТ, является </w:t>
      </w:r>
      <w:r w:rsidR="00CB7C63" w:rsidRP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</w:t>
      </w:r>
      <w:r w:rsid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CB7C63" w:rsidRP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1919 года о рабочем времени в промышленности</w:t>
      </w:r>
      <w:r w:rsid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национальном законодательстве многих стран (в том числе и в России) к тому времени уже существовали нормы, ограничивающие рабочее время, но этот акт всё же имел огромное значение для мирового сообщества, так как </w:t>
      </w:r>
      <w:r w:rsidR="00CB7C63" w:rsidRP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</w:t>
      </w:r>
      <w:r w:rsid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CB7C63" w:rsidRP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первый акт международного масштаба, официально ограничивающий рабочее время на промышленных предприятиях до 8 часов в день и 48 часов в неделю</w:t>
      </w:r>
      <w:r w:rsidR="0027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2)</w:t>
      </w:r>
      <w:r w:rsidR="002710FD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="00CB7C63" w:rsidRPr="00CB7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15A" w:rsidRDefault="00561AA9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много актов МОТ посвящено гендерным вопросам. Это неспроста – женщинам всегда в силу их биологических</w:t>
      </w:r>
      <w:r w:rsidR="00DB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сложившегося социального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</w:t>
      </w:r>
      <w:r w:rsidR="00DB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претерпевать дискриминацию в различных сферах их жизни, особенно в области труда. Таким образом, уже в 1919 г. были приняты </w:t>
      </w:r>
      <w:r w:rsidR="00B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конвенции о женщинах: № 3 </w:t>
      </w:r>
      <w:r w:rsidR="00BA79D7" w:rsidRPr="00BA79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охране материнства</w:t>
      </w:r>
      <w:r w:rsidR="00BA79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(впоследствии пересмотренная в 1952 г.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2000г.</w:t>
      </w:r>
      <w:r w:rsidR="00BA79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и №4 </w:t>
      </w:r>
      <w:r w:rsidR="00BA79D7" w:rsidRPr="00BA79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труде женщин в ночное время</w:t>
      </w:r>
      <w:r w:rsidR="00BA79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Впоследствии были приняты ещё несколько Конвенций:</w:t>
      </w:r>
      <w:r w:rsidR="00DB415A" w:rsidRP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Конвенция о равном вознаграждении (№100)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1951 г., </w:t>
      </w:r>
      <w:r w:rsidR="00DB415A" w:rsidRP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 дискриминации в области труда и занятости (№111)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1958 г.,</w:t>
      </w:r>
      <w:r w:rsidR="00DB415A" w:rsidRP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Конвенция о работниках с семейными обязанностями (№156)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1981 г., </w:t>
      </w:r>
      <w:r w:rsidR="00DB415A" w:rsidRP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 работе в условиях неполного времени (№175)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1994 г., </w:t>
      </w:r>
      <w:r w:rsidR="00DB415A" w:rsidRP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 надомном труде (№177)</w:t>
      </w:r>
      <w:r w:rsidR="00DB41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1996 г.</w:t>
      </w:r>
    </w:p>
    <w:p w:rsidR="00DB415A" w:rsidRDefault="00DB415A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Все эти акты так или иначе з</w:t>
      </w:r>
      <w:r w:rsidR="005C2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атрагивают особенности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труда</w:t>
      </w:r>
      <w:r w:rsidR="005C2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женщин и девочек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устанавливают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недискриминационность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гендерному признаку.</w:t>
      </w:r>
    </w:p>
    <w:p w:rsidR="009D5B27" w:rsidRDefault="009D5B27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Говоря о незащищенных категориях населения, нельзя не упомянуть детей. </w:t>
      </w:r>
      <w:r w:rsidR="00B279F7" w:rsidRPr="00B279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Глобальном докладе МОТ о прекращении детского труда говорится об общей тенденции сокращения числа работающих детей в странах с переходной экономикой в Восточной Европе и Центральной Азии. Общественность плохо информирована о проблеме детского труда, и это мешает получить полномасштабную поддержку общества для коллективных действий. Поэтому задача МОТ состоит в том, чтобы разработать и применить разнообразные модели искоренения детского труда как на региональном, так и на национальном уровнях.</w:t>
      </w:r>
    </w:p>
    <w:p w:rsidR="004859FD" w:rsidRDefault="004859FD" w:rsidP="00DE0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Международной организацией труда было принято достаточно много конвенций, так или иначе затрагивающих детство, материнство, семью, минимальный возраст приёма на особо опасные или неблагоприятные виды работ, ночной труд детей и подростков, но, на наш взгляд, </w:t>
      </w:r>
      <w:r w:rsidR="00DE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самыми главными из них являются Конвенция о минимальном возрасте </w:t>
      </w:r>
      <w:r w:rsidR="00DE0D99" w:rsidRPr="00DE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приема на работу</w:t>
      </w:r>
      <w:r w:rsidR="00DE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(№ 138) 1973 г. и </w:t>
      </w:r>
      <w:r w:rsidR="00DE0D99" w:rsidRPr="00DE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 запрещении и немедленных мерах по искоренению наихудших форм детского труда</w:t>
      </w:r>
      <w:r w:rsidR="00DE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(№ 182) 1999 г. </w:t>
      </w:r>
    </w:p>
    <w:p w:rsidR="00DE0D99" w:rsidRDefault="00DE0D99" w:rsidP="00DE0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Первая из упомянутых нами конвенций является обобщающим актом для всех ранее принятых конвенций МОТ о минимальном возрасте для разного вида работ. Ст. 1 закрепляет, что каждое государство-член МОТ, ратифицирующее Конвенцию «</w:t>
      </w:r>
      <w:r w:rsidRPr="00DE0D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обязуется осуществлять национальную политику, имеющую целью обеспечить эффективное упразднение детского труда и постепенное повышение минимального возраста для приема на работу до уровня, соответствующего наиболее полному физическому и умственному развитию подростков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73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Минимальным возрастом для данного акта является возраст, который «</w:t>
      </w:r>
      <w:r w:rsidR="009736DF" w:rsidRPr="00973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должен быть ниже возраста окончания обязательного школьного образования</w:t>
      </w:r>
      <w:r w:rsidR="00973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736DF">
        <w:rPr>
          <w:rStyle w:val="a6"/>
          <w:rFonts w:ascii="Times New Roman" w:eastAsia="Times New Roman" w:hAnsi="Times New Roman" w:cs="Times New Roman"/>
          <w:iCs/>
          <w:sz w:val="28"/>
          <w:szCs w:val="28"/>
          <w:lang w:eastAsia="ru-RU"/>
        </w:rPr>
        <w:footnoteReference w:id="20"/>
      </w:r>
      <w:r w:rsidR="00973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9736DF" w:rsidRDefault="009736DF" w:rsidP="00DE0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Вторая из названных нами конвенций, посвященных детскому труду, содержит нормы, направленные на искоренение худших форм детского труда.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преамбуле </w:t>
      </w:r>
      <w:r w:rsidR="002F5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Конвенции отмечается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«</w:t>
      </w:r>
      <w:r w:rsidRPr="00973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эффективное искоренение наихудших форм детского труда требует немедленных и всесторонних действий, при которых принимаются во внимание большое значение бесплатного базового образования и необходимость освобождения детей от любой работы такого рода, а также их реабилитации и социальной интеграции, учитывая при этом нужды их семей</w:t>
      </w:r>
      <w:r w:rsidR="002F5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F543A">
        <w:rPr>
          <w:rStyle w:val="a6"/>
          <w:rFonts w:ascii="Times New Roman" w:eastAsia="Times New Roman" w:hAnsi="Times New Roman" w:cs="Times New Roman"/>
          <w:iCs/>
          <w:sz w:val="28"/>
          <w:szCs w:val="28"/>
          <w:lang w:eastAsia="ru-RU"/>
        </w:rPr>
        <w:footnoteReference w:id="21"/>
      </w:r>
      <w:r w:rsidR="002F5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в ст. 4 содержит ряд предложений по решению поставленной проблемы, которые могут быть приняты государствами-участниками.</w:t>
      </w:r>
    </w:p>
    <w:p w:rsidR="005C2622" w:rsidRDefault="005C2622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Другой блок вопросов, затронутых актами МОТ, это трудовая миграция. Данная тема действительно не могла остаться без внимания, поскольку в наши дни существует достаточно много сфер деятельности, в которых занят</w:t>
      </w:r>
      <w:r w:rsidR="00A42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рабочие из других государств</w:t>
      </w:r>
      <w:r w:rsidR="009D5B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42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Российская Федерация занимает </w:t>
      </w:r>
      <w:r w:rsidR="00A42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одно из лидирующих мест по количеству работающих в государстве мигрантов (по данным на 2007 г. в РФ было зарегистрировано более 1,9 млн трудящихся-мигрантов). Недостаточное правовая защищенность рассматриваемого слоя трудящихся открывает простор для </w:t>
      </w:r>
      <w:r w:rsidR="00A42538" w:rsidRPr="00A42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эксплуатации труда мигрантов, выливающуюся в принудительный труд, наихудшие формы детского труда, торговлю людьми и другие формы насилия.</w:t>
      </w:r>
      <w:r w:rsidR="00A42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42538" w:rsidRDefault="00A42538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 Н. Г. отмечает, что «о</w:t>
      </w:r>
      <w:r w:rsidRPr="00A42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забоченность МОТ положением трудящихся-мигрантов была выражена в при</w:t>
      </w:r>
      <w:r w:rsidRPr="00A425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нятии на первой сессии Международной конференции труда в 1919 году Рекомендации, которая очертила две цели МОТ в этой области: равенство обращения для коренных работни</w:t>
      </w:r>
      <w:r w:rsidRPr="00A425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трудящихся-мигрантов; и координация миграционной политики между государствами и с одной стороны, и между правительствами, организациями предпринимателей и тру</w:t>
      </w:r>
      <w:r w:rsidRPr="00A425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дящихся в другой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576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  <w:r w:rsidR="0071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можно заметить, что вопросы трудовой миграции освещались МОТ с самого начала её деятельности. </w:t>
      </w:r>
    </w:p>
    <w:p w:rsidR="009D5B27" w:rsidRDefault="009D5B27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вопросу трудовой миграции 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были приняты три основных документа: Конвенция об установлении международной системы сохра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прав в области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оциального обеспечения 1962 г. (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Конвенция о злоупотреблениях в области миграции и об обе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спечении работникам-мигрантам равенства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озможностей и обращения 1978 г.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Конвенция о злоупотреблениях в области миграции и об обеспечении работникам-мигрантам равенства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озможностей и обращения 1975 г.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5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B27" w:rsidRDefault="00CF1811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деятельности МОТ является также гигиена и безопасность труда. Воронцов Д. И.</w:t>
      </w:r>
      <w:r w:rsidR="00214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анализируя Глобальную стратегию МОТ по безопасности и гигиене труда 2003 года, отмечает, что «с момента основания организации усилия по обеспечению безопасности и гигиены труда всегда были центральной областью её деятельности»</w:t>
      </w:r>
      <w:r w:rsidR="00214A7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 w:rsidR="00214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действительности, МОТ было принято ряд конвенций, посвященных безопасности и гигиене труда в различных сферах труда: в торговле и учреждениях (№ 120), </w:t>
      </w:r>
      <w:r w:rsidR="0027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портовых работах (№ 152), на шахтах (№ 176), в сельском хозяйстве (№ 184) и т. д. </w:t>
      </w:r>
    </w:p>
    <w:p w:rsidR="0027714D" w:rsidRDefault="0027714D" w:rsidP="00DB41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Важнейшими, на наш взгляд, актами, посвященными безопасности и гигиене труда, являются две Конвенции МОТ: о безопасности и гигиене труда и производственной среде 1981 г. (№ 155) и об основах, содействующих безопасности и гигиене труда 2006 г. (№ 187). </w:t>
      </w:r>
    </w:p>
    <w:p w:rsidR="003F538B" w:rsidRDefault="0027714D" w:rsidP="003F53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 Конвенции № 187 закрепляет за государствами-членами обязанность содействовать «</w:t>
      </w:r>
      <w:r w:rsidRPr="00277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 совершенствованию безопасности и гигиены труда в целях предупреждения случаев производственного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равматизма, профессиональных за</w:t>
      </w:r>
      <w:r w:rsidRPr="00277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болеваний и гибели людей на производстве посредством разработки, на основе консультаций с наиболее представительными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 работодателей и ра</w:t>
      </w:r>
      <w:r w:rsidRPr="00277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ботников, национальной политики, национал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системы и национальной про</w:t>
      </w:r>
      <w:r w:rsidRPr="002771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ст. 4 обязывает каждое государство-член МОТ содей</w:t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ствовать «</w:t>
      </w:r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езопасной и здоровой производст</w:t>
      </w:r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среде </w:t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национальной политики»</w:t>
      </w:r>
      <w:r w:rsidR="006E004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2 ст. 4 Конвенции № 155 разъясняет, что «цель такой политики - </w:t>
      </w:r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несчастные случаи и повреждение здоровья, возникающие в результате работы, в ходе ее или связанные с </w:t>
      </w:r>
      <w:bookmarkStart w:id="1" w:name="OCRUncertain1167"/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</w:t>
      </w:r>
      <w:bookmarkEnd w:id="1"/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сводя к минимуму, насколько это обоснованно и практически осуществи</w:t>
      </w:r>
      <w:bookmarkStart w:id="2" w:name="OCRUncertain1168"/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"/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причины опасностей, </w:t>
      </w:r>
      <w:bookmarkStart w:id="3" w:name="OCRUncertain1169"/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свойственных</w:t>
      </w:r>
      <w:bookmarkEnd w:id="3"/>
      <w:r w:rsidR="006E0042" w:rsidRP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производственной среде</w:t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04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="006E0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941" w:rsidRDefault="00474B84" w:rsidP="00886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актов МОТ </w:t>
      </w:r>
      <w:r w:rsid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 проблеме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граждан. </w:t>
      </w:r>
      <w:r w:rsid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понимания такой категории как «занятость», можно сослаться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РФ «О занятости населения в РФ», </w:t>
      </w:r>
      <w:r w:rsid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занятость </w:t>
      </w:r>
      <w:r w:rsid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как «</w:t>
      </w:r>
      <w:r w:rsidRPr="00474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граждан, связанная с удовлетворением личных и общественных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4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приносящая, как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им заработок, трудовой доход»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МОТ, подчеркивающими эту цель, являются Конвенция 1964 года о политике в области занятости (№ 122) и сопровождающая ее Рекомендация 1964 года (№122), Рекомендация 1984 года о политике в области занятости (№169), а также другие нормы и основополагающие принципы и права в сфере труда.</w:t>
      </w:r>
      <w:r w:rsid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941" w:rsidRPr="00950941" w:rsidRDefault="00950941" w:rsidP="00886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вышеназванной Конвенции № 122 в п. 2 ст. 1 разъясняются цели проведения политики, направленной</w:t>
      </w: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содействие полной, продуктивной и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избранной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политика имеет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того, чтобы:</w:t>
      </w:r>
    </w:p>
    <w:p w:rsidR="00950941" w:rsidRDefault="00886394" w:rsidP="00886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a) 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имелась работа для всех, кто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работе и ищет работу;</w:t>
      </w:r>
    </w:p>
    <w:p w:rsidR="00950941" w:rsidRPr="00950941" w:rsidRDefault="00950941" w:rsidP="00886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b)</w:t>
      </w:r>
      <w:r w:rsidR="0088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была как можно более</w:t>
      </w:r>
      <w:r w:rsidR="0088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продуктивной;</w:t>
      </w:r>
    </w:p>
    <w:p w:rsidR="00474B84" w:rsidRDefault="00886394" w:rsidP="00886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существовала свобода выбора занятости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широкие возможности для каждого работника получить подготовку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свои навыки и способности для выполнения работы, к которой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пригоден, независимо от расы,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цвета кожи, пола, религии, политических взглядов,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41" w:rsidRPr="00950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происхождения или социального происхождения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BA5" w:rsidRDefault="00886394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значение, на наш взгляд, имеет и Конвенция МОТ об оплачиваемых отпусках 1973 г. (№ 132). Впервые на международном уровне государства-участники оказались обязанными установить минимальную продолжительность отпуска – не менее трёх рабочих недель за один год работы</w:t>
      </w:r>
      <w:r w:rsid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к</w:t>
      </w:r>
      <w:r w:rsidR="00375DAE" w:rsidRP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лицо, пользующееся отпуском, предусмотренным в данной Конвенции, получает за полный период этого отпуска по крайней мере свою нормальную или среднюю заработную плату</w:t>
      </w:r>
      <w:r w:rsid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7)</w:t>
      </w:r>
      <w:r w:rsidR="00375DA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 ратифицировала данную конвенцию в 2010 г., и, согласно ст. 115 ТК РФ, «е</w:t>
      </w:r>
      <w:r w:rsidR="00375DAE" w:rsidRP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жегодный основной оплачиваемый отпуск предоставляется работникам продолжительностью 28 календарных дней</w:t>
      </w:r>
      <w:r w:rsid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5DA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="00375DAE" w:rsidRPr="00375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3" w:rsidRDefault="008C4443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 время</w:t>
      </w:r>
      <w:r w:rsidR="006D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 МОТ приняла 189 Конвенций. Россией ратифицированы менее половины из них. Более того, ратификация конвенций МОТ сама по себе не принуждает государство к их исполнению. Однако у МОТ имеется механизм контроля, который заключается в том, чтобы придать события нарушения трудовых прав международной огласке. </w:t>
      </w:r>
      <w:r w:rsidRPr="008C44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контроль осуществляется Комитетом экспертов МОТ по применению Конвенций и Рекомендаций, Комитетом Административного Совета по свободе объединения и Комитетом Конференции по применению Конвенций и Рекомендаций.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можно сказать, что неисполнение конвенций МОТ влечет скорее политические последствия (осуждение со стороны мирового сообщества), чем правовые.</w:t>
      </w:r>
    </w:p>
    <w:p w:rsidR="006D2BA5" w:rsidRDefault="006D2BA5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6D2BA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A5" w:rsidRDefault="006D2BA5" w:rsidP="006D2BA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 Региональные нормы международного права по защите трудовых прав</w:t>
      </w:r>
    </w:p>
    <w:p w:rsidR="006D2BA5" w:rsidRDefault="006D2BA5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 нашей курсовой работы, мы говорили о региональных международных организациях, деятельность которых </w:t>
      </w:r>
      <w:r w:rsidR="00E02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 затрагивает трудовые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E02C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пункт нашего исследования посвящён конкретным нормам, принятым рассмотренными организациями</w:t>
      </w:r>
      <w:r w:rsidR="00E0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защиты трудовых прав человека и гражданина.</w:t>
      </w:r>
    </w:p>
    <w:p w:rsidR="004162BC" w:rsidRDefault="004162BC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Содружестве Независимых Государств, мы уже упоминали, что важнейшим направлением его деятельности, в том числе и нормотворчества, является трудовая миграция. </w:t>
      </w:r>
    </w:p>
    <w:p w:rsidR="00FA5E4F" w:rsidRPr="00FA5E4F" w:rsidRDefault="00FA5E4F" w:rsidP="00FA5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1995 г. Межпарламентская ассамблея государств – участников СНГ одобрила региональную конвенцию, так называемый модельный рекомендательный акт "Миграция трудовых ресурсов в странах СНГ". Этот документ содержит базовые принципы согласованной законодательной политики в области миграции трудовых ресурсов СНГ. Провозглашенные цели этого акта: обеспечить права трудящихся мигрантов независимо от того, на чьей территории они находятся; способствовать разработке и сближению национального законодательства в странах СНГ, заключению межгосударственных соглашений в данной области.</w:t>
      </w:r>
    </w:p>
    <w:p w:rsidR="00FA5E4F" w:rsidRPr="00FA5E4F" w:rsidRDefault="00FA5E4F" w:rsidP="00FA5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акт СНГ по трудовой миграции воспроизводит содержание конвенций о международной миграции, нравах работников-мигрантов, принятых ООН и МОТ.</w:t>
      </w:r>
    </w:p>
    <w:p w:rsidR="000E444C" w:rsidRDefault="00FA5E4F" w:rsidP="000E4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один многосторонний акт по вопросам миграции, принятый в рамках СНГ, – это межправительственное Соглашение о сотрудничестве в области трудовой миграции и социальной защиты трудящихся-мигрантов от 15 апреля 1994 г. (с изменениями от 25 ноября 2005 г.). Соглашение регулирует основные направления сотрудничества государств – участников СНГ в области трудовой деятельности и социальной защиты работник</w:t>
      </w:r>
      <w:r w:rsidR="000E4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ов-мигрантов и членов их семей.</w:t>
      </w:r>
    </w:p>
    <w:p w:rsidR="00A925CE" w:rsidRDefault="004162BC" w:rsidP="000E4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дальнейшего развития СНГ 2007 г.</w:t>
      </w:r>
      <w:r w:rsidR="0034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4.5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приоритетными направлениями в сфере миграции называются «выработка </w:t>
      </w:r>
      <w:r w:rsidRPr="0041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скоординированной </w:t>
      </w:r>
      <w:r w:rsidRPr="00416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миграционной политики, принятия совместных мер по предотвращению нелегальной миграции и регулированию трудовой миграции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05B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="0034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более поздних документах организации также были затронуты вопросы рынка труда и трудовой миграции. Например, в </w:t>
      </w:r>
      <w:r w:rsid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Стратегии </w:t>
      </w:r>
      <w:r w:rsidR="003405BB" w:rsidRP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экономического развития </w:t>
      </w:r>
      <w:r w:rsid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СНГ </w:t>
      </w:r>
      <w:r w:rsidR="003405BB" w:rsidRP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до 2020 года</w:t>
      </w:r>
      <w:r w:rsid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усилия в области рынка труда и миграционных процессов предлагают направить на «</w:t>
      </w:r>
      <w:r w:rsidR="003405BB" w:rsidRP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общего рынка труда, создание правовых, экономических и организационных условий для перехода к свободному перемещению рабочей силы на пространстве СНГ, решение проблемы согласованного регулирования трудовой миграции, повышение эффективности согласованной миграционной политики на основе достижения соответствия объемов, направлений и структуры миграционных потоков интересам мигрантов и с учетом законодательства принимающего государства</w:t>
      </w:r>
      <w:r w:rsidR="00340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405BB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1"/>
      </w:r>
      <w:r w:rsidR="00E9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же проблем, возникающих в сфере трудовой миграции</w:t>
      </w:r>
      <w:r w:rsidR="00A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Концепция видит в </w:t>
      </w:r>
      <w:r w:rsidR="00A925CE" w:rsidRPr="00A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трудящимся-мигрантам равных с постоянным населением страны пребывания прав при приеме на работу и расторжении трудовых соглашений, а также на социальное и медицинское обеспечение.</w:t>
      </w:r>
    </w:p>
    <w:p w:rsidR="00FA5E4F" w:rsidRDefault="00E621D5" w:rsidP="00E621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Европейском союзе политика охраны труда развивалась в течение десятилетий. В наши дни охрана труда – это </w:t>
      </w:r>
      <w:r w:rsidRPr="00E6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наиболее концентрированных и важных секторов социальной политики Евросоюза.</w:t>
      </w:r>
      <w:r w:rsidR="001C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о функционировании ЕС в ст. 151 содержит норму о том, что «</w:t>
      </w:r>
      <w:r w:rsidR="001C6233" w:rsidRPr="001C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 и государства-члены ставят своими целями: повышение занятости, улучшение условий жизни и труда, обеспечивающее их выравнивание при одновременном прогрессе, адекватную соци</w:t>
      </w:r>
      <w:r w:rsidR="001C6233" w:rsidRPr="001C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альную защиту, социальный диалог, развитие человеческих ресурсов, позволяющее добиться высокого и стабильного уровня занятости, борьбу с </w:t>
      </w:r>
      <w:proofErr w:type="spellStart"/>
      <w:r w:rsidR="001C6233" w:rsidRPr="001C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маргинализацией</w:t>
      </w:r>
      <w:proofErr w:type="spellEnd"/>
      <w:r w:rsidR="001C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C6233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2"/>
      </w:r>
      <w:r w:rsidR="001C6233" w:rsidRPr="001C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54AD" w:rsidRDefault="000354AD" w:rsidP="0003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990"/>
      <w:r w:rsidRP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1989 г. был принят основной документ в сфере охраны труда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Рамочная Директива 89/391/ЕЭС «</w:t>
      </w:r>
      <w:r w:rsidRP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мер по улучшению безопасности и охраны здор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овья работников во время работы»</w:t>
      </w:r>
      <w:r w:rsidRP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Директива содержит общие принципы предупреждения производственных рисков, обеспечения безопасности, охраны здоровья, избегание факторов риска и несчастных случаев, информирования, консультаций, сбалансированной участия согласно национального законодательства, практики, образования работников. Рамочный характер Директивы 89/391/ЕЭС заключается в том, что ее положения сформулированы в общей форме, для их реализации было принято несколько десятков нормативных актов.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дальнейшем на основании Рамочной Директивы были приняты и другие директивы, например, </w:t>
      </w:r>
      <w:r w:rsidRP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Директива 89/654/ЕЭС об установлении минимальных требований к безопасности и гигиене рабочих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Директива 94/33/ЕС о защите прав молодых работников на рабочем 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Директива</w:t>
      </w:r>
      <w:r w:rsidRP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92/85/ЕЭС о содействии улучшению безопасности и здоровья беременных женщин, женщин, недавно родивших и кормящих матерей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0354AD" w:rsidRDefault="000354AD" w:rsidP="0003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Стоит сказать о том, что кроме директив ЕС в сфере защиты трудовых прав разрабатываются стратегии и программы развития трудовой политики государства. </w:t>
      </w:r>
    </w:p>
    <w:p w:rsidR="000354AD" w:rsidRDefault="004D1E46" w:rsidP="0003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 итог</w:t>
      </w:r>
      <w:r w:rsidR="0003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можно сказать, что Европейский Союз ведёт весьма сбалансированную, разностороннюю и эффективную политику в сфере охраны труда.</w:t>
      </w:r>
    </w:p>
    <w:p w:rsidR="000354AD" w:rsidRPr="000354AD" w:rsidRDefault="004D1E46" w:rsidP="0003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установленных ограничений по объему нашего научного исследования, нам вряд ли удалось бы охватить деятельность всех региональных международных образований, в той или иной степени содействующих охране труда, а также все акты, принимаемые данными организациями. Однако нами была рас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смотрена деятельность крупнейших региональных организаций, а также важнейшие акты, принятые ими на уровне своей компетенции. Не все из этих актов являются обязательными для исполнения, многие по своей юридической силе являются рекомендательными. </w:t>
      </w:r>
      <w:r w:rsidR="00F7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справедливо отмечает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Бризкун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 А., «рекомендательные акты часто аккумулируют опыт государств участников по вопросам своей деятельности, представляют государствам возможность более гибко подходить к решению тех или иных проблем»</w:t>
      </w:r>
      <w:r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3"/>
      </w:r>
      <w:r w:rsidR="00F7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это в очередной раз подтверждает значение «мягкого права».</w:t>
      </w:r>
    </w:p>
    <w:bookmarkEnd w:id="4"/>
    <w:p w:rsidR="000354AD" w:rsidRPr="00E621D5" w:rsidRDefault="000354AD" w:rsidP="00E621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5CE" w:rsidRPr="00A925CE" w:rsidRDefault="00A925CE" w:rsidP="00A925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2BC" w:rsidRDefault="004162BC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A5" w:rsidRDefault="006D2BA5" w:rsidP="006D2BA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BC" w:rsidRDefault="004162BC" w:rsidP="0041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A5" w:rsidRDefault="006D2BA5" w:rsidP="006D2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49" w:rsidRDefault="00817E49" w:rsidP="006D2BA5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49" w:rsidRDefault="00817E49" w:rsidP="0081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F71CEF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F71CEF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F71CEF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F71CEF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EF" w:rsidRDefault="00F71CEF" w:rsidP="00F71CEF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F71CEF" w:rsidRDefault="00F71CEF" w:rsidP="00F71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курсовой работы были исследованы публикации и труды современных авторов и учёных-правоведов, рассуждавших на тему международно-правовой защиты трудовых прав. Понимание организационных и правовых основ международной защиты трудовых прав не представляется возможным без изучения научной л</w:t>
      </w:r>
      <w:r w:rsidR="000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 и правовых актов, поэтому нами был проведён анализ юридической литературы, посвященной данному вопросу.</w:t>
      </w:r>
    </w:p>
    <w:p w:rsidR="000C40F6" w:rsidRDefault="000C40F6" w:rsidP="00F71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можно сказать, что цели и задачи курсовой работы в ходе исследования были достигнуты. Из всего вышесказанного можно сделать ряд выводов.</w:t>
      </w:r>
    </w:p>
    <w:p w:rsidR="000C40F6" w:rsidRDefault="000C40F6" w:rsidP="00F71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универсальном уровне самой важной организацией, координирующей деятельность всех государств-участников ООН в сфере защиты трудовых прав, является Международная организация труда. Её </w:t>
      </w:r>
      <w:r w:rsidR="00B81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0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своеобразна – разделение властей в данной организации базируется на принципе </w:t>
      </w:r>
      <w:proofErr w:type="spellStart"/>
      <w:r w:rsidRPr="000C4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трипартизма</w:t>
      </w:r>
      <w:proofErr w:type="spellEnd"/>
      <w:r w:rsidRPr="000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работникам, работодателям (предпринимателям) наиболее эффективно повлиять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защиту своих трудовых прав. П</w:t>
      </w:r>
      <w:r w:rsidRPr="000C4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и цели МОТ отражены в Уставе МОТ и Декларации МОТ «Об основополагающих принципах и правах в сфере труда», но их перечень не может считаться исчерпывающим, поскольку общество находится в постоянном развитии и требует постановки новых целей, корректировки принципов любой международной организации.</w:t>
      </w:r>
    </w:p>
    <w:p w:rsidR="001068E0" w:rsidRDefault="000C40F6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нами были рассмотрены два международных образования – Содружество Независимых Государств и Европейский Союз. Такой выбор обусловлен тем, что эти международные объединения имеют огромное значение для мировой экономики</w:t>
      </w:r>
      <w:r w:rsid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большой степени и российской)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рамках каждого из них ведётся активная политика, содействующая охране труда. </w:t>
      </w:r>
      <w:r w:rsidR="00F83A54" w:rsidRPr="00F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трудовой политики Содружества является трудовая миграция в странах СНГ. Эта пробле</w:t>
      </w:r>
      <w:r w:rsid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неоднократно поднималась </w:t>
      </w:r>
      <w:r w:rsidR="00F83A54" w:rsidRPr="00F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различных конференций организации</w:t>
      </w:r>
      <w:r w:rsidR="00F83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этот счёт рассуждают и многие ученые-правоведы. Членством в Европейском союзе Россия не обладает</w:t>
      </w:r>
      <w:r w:rsid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1068E0" w:rsidRP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РФ </w:t>
      </w:r>
      <w:r w:rsidR="001068E0" w:rsidRP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сотрудничество в сфере трудового права с ЕС</w:t>
      </w:r>
      <w:r w:rsid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8E0" w:rsidRPr="0010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того, что опыт, накопленный таким надгосударственным образованием как Европейский союз, весьма полезен для России. Более того, не являясь членом Европейского союза, РФ является членом Совета Европы – важнейшей региональной международной организации в</w:t>
      </w:r>
      <w:r w:rsidR="0015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 по защите прав человека.</w:t>
      </w:r>
    </w:p>
    <w:p w:rsidR="00AC3C7E" w:rsidRDefault="00AC3C7E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универсальном уровне в сфере трудового права главной нормотворческой международной организацией является МОТ. За всё время её существования с 1919 г. было принято 189 Конвенций. Россия ратифицировала более 60 из них. К сожалению, даже ратификация конвенций сама по себе не принуждает государство к их исполнению, однако у МОТ имеется мощный механизм контроля, который заключается в том, чтобы придать события нарушения трудовых прав государством-участником международной огласке. Таким образом, неисполнение актов МОТ несёт скорее политические, чем правовые последствия для государства-нарушителя.</w:t>
      </w:r>
    </w:p>
    <w:p w:rsidR="000E444C" w:rsidRDefault="000E444C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региональных актах рассмотренных нами международных организаций (СНГ и ЕС)</w:t>
      </w:r>
      <w:r w:rsid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защите трудовых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отметить тот факт, что они по своей природе больше являются рекомендательными, чем обязательными. Тем не менее, их значение трудно переоценить, поскольку такие акты, как рассмотренные нами стратегии, декларации и директивы являются ярким примером «мягкого права»</w:t>
      </w:r>
      <w:r w:rsid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означает, что государства имеют возможность более гибко подходить к вопросу имплементации норм международного права в национальное законодательство, ориентируясь на уровень страны и текущую экономическую ситуацию в государстве.</w:t>
      </w:r>
    </w:p>
    <w:p w:rsidR="0022264B" w:rsidRDefault="0022264B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45" w:rsidRDefault="00D86545" w:rsidP="0022264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Pr="00B81DA0" w:rsidRDefault="0022264B" w:rsidP="0022264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22264B" w:rsidRPr="00B81DA0" w:rsidRDefault="0022264B" w:rsidP="0022264B">
      <w:pPr>
        <w:spacing w:after="0" w:line="72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bookmarkStart w:id="5" w:name="_GoBack"/>
      <w:bookmarkEnd w:id="5"/>
    </w:p>
    <w:p w:rsidR="0022264B" w:rsidRDefault="0022264B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Международной организации труда (принят в 1919 г.) (с изм. и доп. 1972 г.) // СПС Консультант плюс (дата обращения: 20.05.2018 г.).</w:t>
      </w:r>
    </w:p>
    <w:p w:rsidR="0022264B" w:rsidRDefault="0022264B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86545" w:rsidRPr="00D8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Международной организации труда «О целях и задачах Международной организации труда» (Принята в г. Филадельфии 10.05.1944) // СПС Консультант плюс (дата обращения: 21.05.2018 г.).</w:t>
      </w:r>
    </w:p>
    <w:p w:rsidR="0022264B" w:rsidRDefault="0022264B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Международной организации труда «Об основополагающих принципах и правах в сфере труда» (принята в г. Женева 18.06.1998 г.) // Российская газета. 1998. № 238.</w:t>
      </w:r>
    </w:p>
    <w:p w:rsidR="0022264B" w:rsidRDefault="0022264B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Содружества Независимых Государств (г. Минск, 22 января 1993 года) // </w:t>
      </w:r>
      <w:r w:rsidRPr="002226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22264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http://cis.minsk.by/page.php?id=180</w:t>
        </w:r>
      </w:hyperlink>
      <w:r w:rsidRP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3.06.2018 г.).</w:t>
      </w:r>
    </w:p>
    <w:p w:rsidR="0022264B" w:rsidRDefault="0022264B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2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пакт об экономических, социальных и культурных правах 1966 г. // Бюллетень Верховного Суда РФ. 1994. № 12.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№ 1 Международной организации труда «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ограничении рабочего времени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промышленных предприятиях до восьми часов в день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сорока восьми часов в неделю»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(Вашингтон, 29.10.1919 г.) // СПС Гарант (дата обращения: 10.06.18 г.).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№ 138 Международной организации труда «О минимальном возрасте для приёма на работу» (Женева, 26.06.1973 г.) // СПС Гарант (дата обращения: 10.06.2018 г.).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№ 182 Международной организации труда «О запрещении и немедленных мерах по искоренению наихудших форм детского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аключена в г. Женеве 17.06.1999) // Собрание законодательства Российской Федерации. 2004. № 20. Ст. 1924.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№ 187 Международной организации труда «Об основах, содействующих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гигиене труда» (з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аключена в г. Женеве 15.06.2006) // Собрание законодательства Российской Федерации. 2012. № 43. Ст. 5792.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№ 155 Международной организации труда «О безопасности и гигиене труда и производственной среде» (принята в г. Женеве 22.06.1981) // Собрание законодательства Российской Федерации. 2001. № 50. Ст. 4652.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занятости населения в Российской Федерации: Закон РФ от 19 апреля 1991 г. № 1032-1 // Собрание законодательства Российской Федерации. 1996. № 17. Ст. 1915.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№ 122 Международной организации труда «О политике в области занятости»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аключена в г. Женеве 09.07.1964) // Ведомости ВС СССР. 1967. № 45. Ст. 608.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№ 132 Международной организации труда «Об оплачиваемых отпусках (пересмотренная в 1970 году)» (принята в г. Женева 24.06.1970) // Собрание законодательства Российской Федерации. 2011. № 51. Ст. 7451.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Федерации: Федеральный закон от 30.12.2001 № 197-ФЗ (ред. от 05.02.2018) // Российская газета. 2001. № 256.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Концепция дальнейшего развития Содружества Независимых Государств (5 октября 2007 года, г. Душанбе) //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9" w:history="1">
        <w:r w:rsidRPr="00BA5B5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http://cis.minsk.by/page.php?id=18763</w:t>
        </w:r>
      </w:hyperlink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11.06.2018 г.).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Стратегия экономического развития Содружества Независимых Государств на период до 2020 года (14 ноября 2008 года, г. Кишинев) //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0" w:history="1">
        <w:r w:rsidRPr="00BA5B5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http://cis.minsk.by/page.php?id=18764</w:t>
        </w:r>
      </w:hyperlink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11.06.2018 г.).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</w:t>
      </w:r>
      <w:r w:rsidRPr="00BA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о функционировании Европейского Союза (Рим, 25 марта 1957 г.) (в редакции Лиссабонского договора 2007 г.) // СПС Гарант (дата обращения: 11.06.2018 г.).</w:t>
      </w:r>
    </w:p>
    <w:p w:rsidR="00BA5B5A" w:rsidRDefault="00BA5B5A" w:rsidP="00222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5A" w:rsidRP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Монографии, учебники, учебные пособия, комментарии </w:t>
      </w:r>
    </w:p>
    <w:p w:rsid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5A" w:rsidRPr="00BA5B5A" w:rsidRDefault="00BA5B5A" w:rsidP="00BA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право России: учеб. пособие под ред. И. К. Дмитриевой и А. М. Куренного. 2-е изд. </w:t>
      </w:r>
      <w:proofErr w:type="spellStart"/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М., 2011.</w:t>
      </w:r>
    </w:p>
    <w:p w:rsidR="0022264B" w:rsidRDefault="0022264B" w:rsidP="0022264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Научные статьи</w:t>
      </w:r>
    </w:p>
    <w:p w:rsid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5A" w:rsidRDefault="00BA5B5A" w:rsidP="00BA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П. Е. Современная роль Международной организации труда в условиях глобализации // Проблемы в российском законодательстве. 2011. №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B5A" w:rsidRDefault="00BA5B5A" w:rsidP="00BA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 А. Международной организации труда 90 лет // Власть. 2009. № 4.</w:t>
      </w:r>
    </w:p>
    <w:p w:rsidR="00BA5B5A" w:rsidRDefault="00BA5B5A" w:rsidP="00BA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 М. И. Структура и этапы формирования международной организации труда // Вестник КГТУ. Государство и право: вопросы теории и практики. 2015. № 5.</w:t>
      </w:r>
    </w:p>
    <w:p w:rsidR="00BA5B5A" w:rsidRDefault="00BA5B5A" w:rsidP="00BA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Матчанова З. Ш. Основные принципы деятельности международной организации труда // Экономика, педагогика и право. 2016. № 2.</w:t>
      </w:r>
    </w:p>
    <w:p w:rsidR="00BA5B5A" w:rsidRDefault="00BA5B5A" w:rsidP="00BA5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BA5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А. Международная политика России в сфере труда: к юбилею МОТ // Кадровая служба и управление персоналом предприятия. 2010. № 5.</w:t>
      </w:r>
    </w:p>
    <w:p w:rsidR="00BA5B5A" w:rsidRDefault="00BA5B5A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A51FEF" w:rsidRP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 А. П. Сотрудничество государств – участников СНГ в области регулирования трудовой миграции // Вестник Нижегородского университета им. Н. И. Лобачевского. 2011. № 3 (1).</w:t>
      </w:r>
    </w:p>
    <w:p w:rsidR="00A51FEF" w:rsidRDefault="00A51FEF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A51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Шумилов О.В. </w:t>
      </w:r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Международно-правовая защита трудовых прав (на универсальном и региональном уровнях) // Внешнеторговое право. 2006. № 2.</w:t>
      </w:r>
    </w:p>
    <w:p w:rsidR="00A51FEF" w:rsidRDefault="00A51FEF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Морозов П. Е. Роль и значение актов ООН и МОТ как источников трудового права в условиях глобализации //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Lex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Russica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2009. № 5.</w:t>
      </w:r>
    </w:p>
    <w:p w:rsidR="00A51FEF" w:rsidRDefault="00A51FEF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</w:t>
      </w:r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 Н. Г. Акты ООН и МОТ в области трудовой миграции // Евразийский юридический журнал. 2015. № 5 (84).</w:t>
      </w:r>
    </w:p>
    <w:p w:rsidR="00A51FEF" w:rsidRDefault="00A51FEF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Бризкун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 А. Механизм имплементации рекомендательных актов международных организаций во внутригосударственное законодательство // Журнал российского права. 2011. № 11.</w:t>
      </w:r>
    </w:p>
    <w:p w:rsidR="00A51FEF" w:rsidRDefault="00A51FEF" w:rsidP="00A51F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FEF" w:rsidRPr="00A51FEF" w:rsidRDefault="00A51FEF" w:rsidP="00A51F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Авторефераты диссертаций</w:t>
      </w:r>
    </w:p>
    <w:p w:rsidR="00A51FEF" w:rsidRDefault="00A51FEF" w:rsidP="00A51F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FEF" w:rsidRDefault="00A51FEF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Кашкин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 С. Правовое регулирование труда в Европейском сообществе: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автореф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… канд.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наук. М., 2008.</w:t>
      </w:r>
    </w:p>
    <w:p w:rsidR="00A51FEF" w:rsidRPr="00A51FEF" w:rsidRDefault="00A51FEF" w:rsidP="00A51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30 </w:t>
      </w:r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Воронцов Д. И. Правовое регулирование обеспечения безопасности и гигиены труда актами МОТ: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автореф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… канд. </w:t>
      </w:r>
      <w:proofErr w:type="spellStart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</w:t>
      </w:r>
      <w:proofErr w:type="spellEnd"/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наук.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1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М., 2018.</w:t>
      </w:r>
    </w:p>
    <w:p w:rsid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5A" w:rsidRDefault="00BA5B5A" w:rsidP="00BA5B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Pr="0022264B" w:rsidRDefault="0022264B" w:rsidP="0022264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22264B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4B" w:rsidRDefault="0022264B" w:rsidP="0022264B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E0" w:rsidRPr="001068E0" w:rsidRDefault="001068E0" w:rsidP="00106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54" w:rsidRPr="00F83A54" w:rsidRDefault="00F83A54" w:rsidP="00F8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F6" w:rsidRDefault="000C40F6" w:rsidP="00F71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F6" w:rsidRDefault="000C40F6" w:rsidP="00F71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EF" w:rsidRDefault="00F71CEF" w:rsidP="00F71CEF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49" w:rsidRDefault="00817E49" w:rsidP="00817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1F" w:rsidRDefault="00EC401F" w:rsidP="00EC4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209" w:rsidRPr="0012661F" w:rsidRDefault="00A41209" w:rsidP="00222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0F" w:rsidRDefault="00492A0F" w:rsidP="00492A0F">
      <w:pPr>
        <w:spacing w:after="0" w:line="7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88" w:rsidRPr="00A40288" w:rsidRDefault="00C379A9" w:rsidP="007447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62B6" w:rsidRDefault="000762B6" w:rsidP="00C37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D6A" w:rsidRDefault="00AC5D6A" w:rsidP="00AC5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5D6A" w:rsidRPr="00AC5D6A" w:rsidRDefault="00AC5D6A" w:rsidP="00AC5D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5D6A" w:rsidRPr="00AC5D6A" w:rsidSect="00D86545">
      <w:footerReference w:type="default" r:id="rId11"/>
      <w:footerReference w:type="first" r:id="rId12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4" w:rsidRDefault="001F76B4" w:rsidP="00AD73AE">
      <w:pPr>
        <w:spacing w:after="0" w:line="240" w:lineRule="auto"/>
      </w:pPr>
      <w:r>
        <w:separator/>
      </w:r>
    </w:p>
  </w:endnote>
  <w:endnote w:type="continuationSeparator" w:id="0">
    <w:p w:rsidR="001F76B4" w:rsidRDefault="001F76B4" w:rsidP="00AD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457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6545" w:rsidRPr="00D86545" w:rsidRDefault="00D8654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5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5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5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25D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D865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6545" w:rsidRDefault="00D8654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840261"/>
      <w:docPartObj>
        <w:docPartGallery w:val="Page Numbers (Bottom of Page)"/>
        <w:docPartUnique/>
      </w:docPartObj>
    </w:sdtPr>
    <w:sdtContent>
      <w:p w:rsidR="00D86545" w:rsidRDefault="00D86545" w:rsidP="00D86545">
        <w:pPr>
          <w:pStyle w:val="a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4" w:rsidRDefault="001F76B4" w:rsidP="00AD73AE">
      <w:pPr>
        <w:spacing w:after="0" w:line="240" w:lineRule="auto"/>
      </w:pPr>
      <w:r>
        <w:separator/>
      </w:r>
    </w:p>
  </w:footnote>
  <w:footnote w:type="continuationSeparator" w:id="0">
    <w:p w:rsidR="001F76B4" w:rsidRDefault="001F76B4" w:rsidP="00AD73AE">
      <w:pPr>
        <w:spacing w:after="0" w:line="240" w:lineRule="auto"/>
      </w:pPr>
      <w:r>
        <w:continuationSeparator/>
      </w:r>
    </w:p>
  </w:footnote>
  <w:footnote w:id="1">
    <w:p w:rsidR="00E621D5" w:rsidRPr="00646332" w:rsidRDefault="00E621D5" w:rsidP="006463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633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46332">
        <w:rPr>
          <w:rFonts w:ascii="Times New Roman" w:hAnsi="Times New Roman" w:cs="Times New Roman"/>
          <w:sz w:val="24"/>
          <w:szCs w:val="24"/>
        </w:rPr>
        <w:t xml:space="preserve"> Морозов П. Е. Современная роль Международной организации труда в условиях глобализации // Проблемы в российском законодательстве. 2011. № 5.</w:t>
      </w:r>
      <w:r>
        <w:rPr>
          <w:rFonts w:ascii="Times New Roman" w:hAnsi="Times New Roman" w:cs="Times New Roman"/>
          <w:sz w:val="24"/>
          <w:szCs w:val="24"/>
        </w:rPr>
        <w:t xml:space="preserve"> С. 115.</w:t>
      </w:r>
    </w:p>
  </w:footnote>
  <w:footnote w:id="2">
    <w:p w:rsidR="00E621D5" w:rsidRDefault="00E621D5" w:rsidP="00646332">
      <w:pPr>
        <w:pStyle w:val="a4"/>
        <w:jc w:val="both"/>
      </w:pPr>
      <w:r w:rsidRPr="0064633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46332">
        <w:rPr>
          <w:rFonts w:ascii="Times New Roman" w:hAnsi="Times New Roman" w:cs="Times New Roman"/>
          <w:sz w:val="24"/>
          <w:szCs w:val="24"/>
        </w:rPr>
        <w:t xml:space="preserve"> Ткаченко А. А. Международной организации тр</w:t>
      </w:r>
      <w:r>
        <w:rPr>
          <w:rFonts w:ascii="Times New Roman" w:hAnsi="Times New Roman" w:cs="Times New Roman"/>
          <w:sz w:val="24"/>
          <w:szCs w:val="24"/>
        </w:rPr>
        <w:t>уда 90 лет // Власть. 2009. № 4. С. 7.</w:t>
      </w:r>
    </w:p>
  </w:footnote>
  <w:footnote w:id="3">
    <w:p w:rsidR="00E621D5" w:rsidRPr="00C8730A" w:rsidRDefault="00E621D5" w:rsidP="002327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30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8730A">
        <w:rPr>
          <w:rFonts w:ascii="Times New Roman" w:hAnsi="Times New Roman" w:cs="Times New Roman"/>
          <w:sz w:val="24"/>
          <w:szCs w:val="24"/>
        </w:rPr>
        <w:t xml:space="preserve"> Устав Международной организации труда (принят в 1919 г.) </w:t>
      </w:r>
      <w:r w:rsidR="000354AD">
        <w:rPr>
          <w:rFonts w:ascii="Times New Roman" w:hAnsi="Times New Roman" w:cs="Times New Roman"/>
          <w:sz w:val="24"/>
          <w:szCs w:val="24"/>
        </w:rPr>
        <w:t xml:space="preserve">(с изм. и доп. 1972 г.) // </w:t>
      </w:r>
      <w:r w:rsidRPr="00C8730A">
        <w:rPr>
          <w:rFonts w:ascii="Times New Roman" w:hAnsi="Times New Roman" w:cs="Times New Roman"/>
          <w:sz w:val="24"/>
          <w:szCs w:val="24"/>
        </w:rPr>
        <w:t>СПС Консультант плюс (дата обращения: 20.05.2018 г.)</w:t>
      </w:r>
      <w:r w:rsidR="0022264B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E621D5" w:rsidRPr="002327C4" w:rsidRDefault="00E621D5" w:rsidP="002327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27C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327C4">
        <w:rPr>
          <w:rFonts w:ascii="Times New Roman" w:hAnsi="Times New Roman" w:cs="Times New Roman"/>
          <w:sz w:val="24"/>
          <w:szCs w:val="24"/>
        </w:rPr>
        <w:t xml:space="preserve"> Трудовое право России</w:t>
      </w:r>
      <w:r>
        <w:rPr>
          <w:rFonts w:ascii="Times New Roman" w:hAnsi="Times New Roman" w:cs="Times New Roman"/>
          <w:sz w:val="24"/>
          <w:szCs w:val="24"/>
        </w:rPr>
        <w:t xml:space="preserve">: учеб. пособие под ред. И. К. Дмитриевой и А. М. Куренного. 2-е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 М., 2011. </w:t>
      </w:r>
    </w:p>
  </w:footnote>
  <w:footnote w:id="5">
    <w:p w:rsidR="00E621D5" w:rsidRPr="002802EB" w:rsidRDefault="00E621D5" w:rsidP="002802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02E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802EB">
        <w:rPr>
          <w:rFonts w:ascii="Times New Roman" w:hAnsi="Times New Roman" w:cs="Times New Roman"/>
          <w:sz w:val="24"/>
          <w:szCs w:val="24"/>
        </w:rPr>
        <w:t xml:space="preserve"> Ткаченко А. А. Международной организации труда 90 лет… С. 7.</w:t>
      </w:r>
    </w:p>
  </w:footnote>
  <w:footnote w:id="6">
    <w:p w:rsidR="00E621D5" w:rsidRPr="00851608" w:rsidRDefault="00E621D5" w:rsidP="008516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160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5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Цит. по: </w:t>
      </w:r>
      <w:r w:rsidRPr="00851608">
        <w:rPr>
          <w:rFonts w:ascii="Times New Roman" w:hAnsi="Times New Roman" w:cs="Times New Roman"/>
          <w:sz w:val="24"/>
          <w:szCs w:val="24"/>
        </w:rPr>
        <w:t>Жигалов М. И. Структура и этапы формирования международной организации труда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51608">
        <w:rPr>
          <w:rFonts w:ascii="Times New Roman" w:hAnsi="Times New Roman" w:cs="Times New Roman"/>
          <w:sz w:val="24"/>
          <w:szCs w:val="24"/>
        </w:rPr>
        <w:t>Вестник КГТУ. Государство и право: вопросы теории и практики</w:t>
      </w:r>
      <w:r>
        <w:rPr>
          <w:rFonts w:ascii="Times New Roman" w:hAnsi="Times New Roman" w:cs="Times New Roman"/>
          <w:sz w:val="24"/>
          <w:szCs w:val="24"/>
        </w:rPr>
        <w:t>. 2015. № 5. С. 97.</w:t>
      </w:r>
    </w:p>
  </w:footnote>
  <w:footnote w:id="7">
    <w:p w:rsidR="00E621D5" w:rsidRPr="003405BB" w:rsidRDefault="00E621D5" w:rsidP="00452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5B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405BB">
        <w:rPr>
          <w:rFonts w:ascii="Times New Roman" w:hAnsi="Times New Roman" w:cs="Times New Roman"/>
          <w:sz w:val="24"/>
          <w:szCs w:val="24"/>
        </w:rPr>
        <w:t xml:space="preserve"> Декларация Международной организации труда «О целях и за</w:t>
      </w:r>
      <w:r w:rsidR="0022264B">
        <w:rPr>
          <w:rFonts w:ascii="Times New Roman" w:hAnsi="Times New Roman" w:cs="Times New Roman"/>
          <w:sz w:val="24"/>
          <w:szCs w:val="24"/>
        </w:rPr>
        <w:t>дачах Международной организации труда» </w:t>
      </w:r>
      <w:r w:rsidRPr="003405BB">
        <w:rPr>
          <w:rFonts w:ascii="Times New Roman" w:hAnsi="Times New Roman" w:cs="Times New Roman"/>
          <w:sz w:val="24"/>
          <w:szCs w:val="24"/>
        </w:rPr>
        <w:t>(Прин</w:t>
      </w:r>
      <w:r w:rsidR="0022264B">
        <w:rPr>
          <w:rFonts w:ascii="Times New Roman" w:hAnsi="Times New Roman" w:cs="Times New Roman"/>
          <w:sz w:val="24"/>
          <w:szCs w:val="24"/>
        </w:rPr>
        <w:t>ята в г. Филадельфии 10.05.1944) // </w:t>
      </w:r>
      <w:r w:rsidR="00D86545">
        <w:rPr>
          <w:rFonts w:ascii="Times New Roman" w:hAnsi="Times New Roman" w:cs="Times New Roman"/>
          <w:sz w:val="24"/>
          <w:szCs w:val="24"/>
        </w:rPr>
        <w:t>СПС Консультант плюс</w:t>
      </w:r>
      <w:r w:rsidR="00D86545" w:rsidRPr="003405BB">
        <w:rPr>
          <w:rFonts w:ascii="Times New Roman" w:hAnsi="Times New Roman" w:cs="Times New Roman"/>
          <w:sz w:val="24"/>
          <w:szCs w:val="24"/>
        </w:rPr>
        <w:t xml:space="preserve"> </w:t>
      </w:r>
      <w:r w:rsidR="00D86545">
        <w:rPr>
          <w:rFonts w:ascii="Times New Roman" w:hAnsi="Times New Roman" w:cs="Times New Roman"/>
          <w:sz w:val="24"/>
          <w:szCs w:val="24"/>
        </w:rPr>
        <w:t>(</w:t>
      </w:r>
      <w:r w:rsidRPr="003405BB">
        <w:rPr>
          <w:rFonts w:ascii="Times New Roman" w:hAnsi="Times New Roman" w:cs="Times New Roman"/>
          <w:sz w:val="24"/>
          <w:szCs w:val="24"/>
        </w:rPr>
        <w:t>дата обращения: 21.05.2018 г.).</w:t>
      </w:r>
    </w:p>
  </w:footnote>
  <w:footnote w:id="8">
    <w:p w:rsidR="00E621D5" w:rsidRPr="00452F4C" w:rsidRDefault="00E621D5" w:rsidP="00452F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5B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405BB">
        <w:rPr>
          <w:rFonts w:ascii="Times New Roman" w:hAnsi="Times New Roman" w:cs="Times New Roman"/>
          <w:sz w:val="24"/>
          <w:szCs w:val="24"/>
        </w:rPr>
        <w:t xml:space="preserve"> Матчанова З. Ш. Основные принципы деятельности международной организации труда // Экономика, педагогика и право. 2016. № 2. С.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E621D5" w:rsidRPr="00AE098D" w:rsidRDefault="00E621D5" w:rsidP="00737E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098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E098D">
        <w:rPr>
          <w:rFonts w:ascii="Times New Roman" w:hAnsi="Times New Roman" w:cs="Times New Roman"/>
          <w:sz w:val="24"/>
          <w:szCs w:val="24"/>
        </w:rPr>
        <w:t xml:space="preserve"> Там же. С. 32.</w:t>
      </w:r>
    </w:p>
  </w:footnote>
  <w:footnote w:id="10">
    <w:p w:rsidR="00E621D5" w:rsidRPr="00737E65" w:rsidRDefault="00E621D5" w:rsidP="00737E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E6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37E65">
        <w:rPr>
          <w:rFonts w:ascii="Times New Roman" w:hAnsi="Times New Roman" w:cs="Times New Roman"/>
          <w:sz w:val="24"/>
          <w:szCs w:val="24"/>
        </w:rPr>
        <w:t xml:space="preserve"> Декларация Международной организации труда «Об основополагающих п</w:t>
      </w:r>
      <w:r>
        <w:rPr>
          <w:rFonts w:ascii="Times New Roman" w:hAnsi="Times New Roman" w:cs="Times New Roman"/>
          <w:sz w:val="24"/>
          <w:szCs w:val="24"/>
        </w:rPr>
        <w:t>ринципах и правах в сфере </w:t>
      </w:r>
      <w:r w:rsidRPr="00737E65">
        <w:rPr>
          <w:rFonts w:ascii="Times New Roman" w:hAnsi="Times New Roman" w:cs="Times New Roman"/>
          <w:sz w:val="24"/>
          <w:szCs w:val="24"/>
        </w:rPr>
        <w:t>труда»</w:t>
      </w:r>
      <w:r>
        <w:rPr>
          <w:rFonts w:ascii="Times New Roman" w:hAnsi="Times New Roman" w:cs="Times New Roman"/>
          <w:sz w:val="24"/>
          <w:szCs w:val="24"/>
        </w:rPr>
        <w:t> (принята в г. Женева </w:t>
      </w:r>
      <w:r w:rsidRPr="00737E65">
        <w:rPr>
          <w:rFonts w:ascii="Times New Roman" w:hAnsi="Times New Roman" w:cs="Times New Roman"/>
          <w:sz w:val="24"/>
          <w:szCs w:val="24"/>
        </w:rPr>
        <w:t>18.06.1998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737E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// Российская газета. 1998. № 238.</w:t>
      </w:r>
    </w:p>
  </w:footnote>
  <w:footnote w:id="11">
    <w:p w:rsidR="00E621D5" w:rsidRPr="00EF76C0" w:rsidRDefault="00E621D5" w:rsidP="00692B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76C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F76C0">
        <w:rPr>
          <w:rFonts w:ascii="Times New Roman" w:hAnsi="Times New Roman" w:cs="Times New Roman"/>
          <w:sz w:val="24"/>
          <w:szCs w:val="24"/>
        </w:rPr>
        <w:t xml:space="preserve"> Молчанов А. Международная политика России в сфере труда: к юбилею МОТ // Кадровая служба и управление персоналом предприятия. 2010. № 5.</w:t>
      </w:r>
      <w:r>
        <w:rPr>
          <w:rFonts w:ascii="Times New Roman" w:hAnsi="Times New Roman" w:cs="Times New Roman"/>
          <w:sz w:val="24"/>
          <w:szCs w:val="24"/>
        </w:rPr>
        <w:t xml:space="preserve"> С. 105.</w:t>
      </w:r>
    </w:p>
  </w:footnote>
  <w:footnote w:id="12">
    <w:p w:rsidR="00E621D5" w:rsidRPr="003405BB" w:rsidRDefault="00E621D5" w:rsidP="00692B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05B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405BB">
        <w:rPr>
          <w:rFonts w:ascii="Times New Roman" w:hAnsi="Times New Roman" w:cs="Times New Roman"/>
          <w:sz w:val="24"/>
          <w:szCs w:val="24"/>
        </w:rPr>
        <w:t xml:space="preserve"> Устав Содружества Независимых Государств (г. Минск, 22 января 1993 года) // </w:t>
      </w:r>
      <w:r w:rsidRPr="003405B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405BB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3405BB">
          <w:rPr>
            <w:rStyle w:val="a3"/>
            <w:rFonts w:ascii="Times New Roman" w:hAnsi="Times New Roman" w:cs="Times New Roman"/>
            <w:sz w:val="24"/>
            <w:szCs w:val="24"/>
          </w:rPr>
          <w:t>http://cis.minsk.by/page.php?id=180</w:t>
        </w:r>
      </w:hyperlink>
      <w:r w:rsidRPr="003405BB">
        <w:rPr>
          <w:rFonts w:ascii="Times New Roman" w:hAnsi="Times New Roman" w:cs="Times New Roman"/>
          <w:sz w:val="24"/>
          <w:szCs w:val="24"/>
        </w:rPr>
        <w:t xml:space="preserve"> (дата обращения: 3.06.2018 г.).</w:t>
      </w:r>
    </w:p>
  </w:footnote>
  <w:footnote w:id="13">
    <w:p w:rsidR="00E621D5" w:rsidRPr="005C6B3E" w:rsidRDefault="00E621D5" w:rsidP="002069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6B3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C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Федотов А. П. Сотрудничество государств – участников СНГ в области регулирования трудовой миграции // Вестник Нижегородского университета им. Н. И. Лобачевского. 2011. № 3 (1). С. 312.</w:t>
      </w:r>
    </w:p>
  </w:footnote>
  <w:footnote w:id="14">
    <w:p w:rsidR="00E621D5" w:rsidRPr="0020697E" w:rsidRDefault="00E621D5" w:rsidP="002069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697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06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97E">
        <w:rPr>
          <w:rFonts w:ascii="Times New Roman" w:hAnsi="Times New Roman" w:cs="Times New Roman"/>
          <w:sz w:val="24"/>
          <w:szCs w:val="24"/>
        </w:rPr>
        <w:t>Кашкин</w:t>
      </w:r>
      <w:proofErr w:type="spellEnd"/>
      <w:r w:rsidRPr="0020697E">
        <w:rPr>
          <w:rFonts w:ascii="Times New Roman" w:hAnsi="Times New Roman" w:cs="Times New Roman"/>
          <w:sz w:val="24"/>
          <w:szCs w:val="24"/>
        </w:rPr>
        <w:t xml:space="preserve"> Ю С. Правовое регулирование труда в Европейском сообществе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наук. М., 2008. С. 3.</w:t>
      </w:r>
    </w:p>
  </w:footnote>
  <w:footnote w:id="15">
    <w:p w:rsidR="00E621D5" w:rsidRPr="005B2E0F" w:rsidRDefault="00E621D5" w:rsidP="005B2E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B2E0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B2E0F">
        <w:rPr>
          <w:rFonts w:ascii="Times New Roman" w:hAnsi="Times New Roman" w:cs="Times New Roman"/>
          <w:sz w:val="24"/>
          <w:szCs w:val="24"/>
        </w:rPr>
        <w:t xml:space="preserve"> Там же. С. 3.</w:t>
      </w:r>
    </w:p>
  </w:footnote>
  <w:footnote w:id="16">
    <w:p w:rsidR="00E621D5" w:rsidRPr="0037145A" w:rsidRDefault="00E621D5" w:rsidP="002710F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45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7145A">
        <w:rPr>
          <w:rFonts w:ascii="Times New Roman" w:hAnsi="Times New Roman" w:cs="Times New Roman"/>
          <w:sz w:val="24"/>
          <w:szCs w:val="24"/>
        </w:rPr>
        <w:t xml:space="preserve"> Шумилов О.В. </w:t>
      </w:r>
      <w:r w:rsidRPr="0037145A">
        <w:rPr>
          <w:rFonts w:ascii="Times New Roman" w:hAnsi="Times New Roman" w:cs="Times New Roman"/>
          <w:bCs/>
          <w:sz w:val="24"/>
          <w:szCs w:val="24"/>
        </w:rPr>
        <w:t>Международно-правовая защита трудовых прав (на универсальном и региональном уровнях) // Внешнеторговое право. 2006. № 2. С. 21.</w:t>
      </w:r>
    </w:p>
  </w:footnote>
  <w:footnote w:id="17">
    <w:p w:rsidR="00E621D5" w:rsidRPr="0022264B" w:rsidRDefault="00E621D5" w:rsidP="003714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145A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37145A">
        <w:rPr>
          <w:rFonts w:ascii="Times New Roman" w:hAnsi="Times New Roman" w:cs="Times New Roman"/>
          <w:sz w:val="24"/>
          <w:szCs w:val="24"/>
        </w:rPr>
        <w:t>Международный пакт об экономических, социальных и культурных правах</w:t>
      </w:r>
      <w:r>
        <w:rPr>
          <w:rFonts w:ascii="Times New Roman" w:hAnsi="Times New Roman" w:cs="Times New Roman"/>
          <w:sz w:val="24"/>
          <w:szCs w:val="24"/>
        </w:rPr>
        <w:t xml:space="preserve"> 1966 г. // </w:t>
      </w:r>
      <w:r w:rsidRPr="0037145A">
        <w:rPr>
          <w:rFonts w:ascii="Times New Roman" w:hAnsi="Times New Roman" w:cs="Times New Roman"/>
          <w:sz w:val="24"/>
          <w:szCs w:val="24"/>
        </w:rPr>
        <w:t>Бюллетень</w:t>
      </w:r>
      <w:r>
        <w:rPr>
          <w:rFonts w:ascii="Times New Roman" w:hAnsi="Times New Roman" w:cs="Times New Roman"/>
          <w:sz w:val="24"/>
          <w:szCs w:val="24"/>
        </w:rPr>
        <w:t xml:space="preserve"> Верховного Суда РФ. 1994. № 12.</w:t>
      </w:r>
    </w:p>
  </w:footnote>
  <w:footnote w:id="18">
    <w:p w:rsidR="00E621D5" w:rsidRPr="00B73DB3" w:rsidRDefault="00E621D5" w:rsidP="00271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3DB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73DB3">
        <w:rPr>
          <w:rFonts w:ascii="Times New Roman" w:hAnsi="Times New Roman" w:cs="Times New Roman"/>
          <w:sz w:val="24"/>
          <w:szCs w:val="24"/>
        </w:rPr>
        <w:t xml:space="preserve"> Морозов П. Е. Роль и значение актов ООН и МОТ как источников трудового права в условиях глобализации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>
        <w:rPr>
          <w:rFonts w:ascii="Times New Roman" w:hAnsi="Times New Roman" w:cs="Times New Roman"/>
          <w:sz w:val="24"/>
          <w:szCs w:val="24"/>
        </w:rPr>
        <w:t>. 2009. № 5. С. 1116.</w:t>
      </w:r>
    </w:p>
  </w:footnote>
  <w:footnote w:id="19">
    <w:p w:rsidR="00E621D5" w:rsidRPr="002710FD" w:rsidRDefault="00E621D5" w:rsidP="002710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710F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710FD">
        <w:rPr>
          <w:rFonts w:ascii="Times New Roman" w:hAnsi="Times New Roman" w:cs="Times New Roman"/>
          <w:sz w:val="24"/>
          <w:szCs w:val="24"/>
        </w:rPr>
        <w:t xml:space="preserve"> Конвенция № 1 Международной организации труда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710FD">
        <w:rPr>
          <w:rFonts w:ascii="Times New Roman" w:hAnsi="Times New Roman" w:cs="Times New Roman"/>
          <w:bCs/>
          <w:sz w:val="24"/>
          <w:szCs w:val="24"/>
        </w:rPr>
        <w:t>б ограничении рабочего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0FD">
        <w:rPr>
          <w:rFonts w:ascii="Times New Roman" w:hAnsi="Times New Roman" w:cs="Times New Roman"/>
          <w:bCs/>
          <w:sz w:val="24"/>
          <w:szCs w:val="24"/>
        </w:rPr>
        <w:t>на промышленных предприятиях до восьми часов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0FD">
        <w:rPr>
          <w:rFonts w:ascii="Times New Roman" w:hAnsi="Times New Roman" w:cs="Times New Roman"/>
          <w:bCs/>
          <w:sz w:val="24"/>
          <w:szCs w:val="24"/>
        </w:rPr>
        <w:t>и сорока восьми часов в неделю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0354AD">
        <w:rPr>
          <w:rFonts w:ascii="Times New Roman" w:hAnsi="Times New Roman" w:cs="Times New Roman"/>
          <w:sz w:val="24"/>
          <w:szCs w:val="24"/>
        </w:rPr>
        <w:t xml:space="preserve"> (Вашингтон, 29.10.1919 г.) //</w:t>
      </w:r>
      <w:r w:rsidRPr="00C8730A">
        <w:rPr>
          <w:rFonts w:ascii="Times New Roman" w:hAnsi="Times New Roman" w:cs="Times New Roman"/>
          <w:sz w:val="24"/>
          <w:szCs w:val="24"/>
        </w:rPr>
        <w:t xml:space="preserve"> СПС Гарант (</w:t>
      </w:r>
      <w:r w:rsidRPr="002710FD">
        <w:rPr>
          <w:rFonts w:ascii="Times New Roman" w:hAnsi="Times New Roman" w:cs="Times New Roman"/>
          <w:sz w:val="24"/>
          <w:szCs w:val="24"/>
        </w:rPr>
        <w:t>дата обра</w:t>
      </w:r>
      <w:r>
        <w:rPr>
          <w:rFonts w:ascii="Times New Roman" w:hAnsi="Times New Roman" w:cs="Times New Roman"/>
          <w:sz w:val="24"/>
          <w:szCs w:val="24"/>
        </w:rPr>
        <w:t>щения: 10.06.18 г.).</w:t>
      </w:r>
    </w:p>
  </w:footnote>
  <w:footnote w:id="20">
    <w:p w:rsidR="00E621D5" w:rsidRPr="009736DF" w:rsidRDefault="00E621D5" w:rsidP="006E0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36D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736DF">
        <w:rPr>
          <w:rFonts w:ascii="Times New Roman" w:hAnsi="Times New Roman" w:cs="Times New Roman"/>
          <w:sz w:val="24"/>
          <w:szCs w:val="24"/>
        </w:rPr>
        <w:t xml:space="preserve"> Конвенция № 138 Международной организации труда «О минимальном возрасте для приёма на работу» (Женева, 26.06.1973 г.) // </w:t>
      </w:r>
      <w:r w:rsidRPr="00830388">
        <w:rPr>
          <w:rFonts w:ascii="Times New Roman" w:hAnsi="Times New Roman" w:cs="Times New Roman"/>
          <w:sz w:val="24"/>
          <w:szCs w:val="24"/>
        </w:rPr>
        <w:t>СПС Гарант</w:t>
      </w:r>
      <w:r>
        <w:t xml:space="preserve"> </w:t>
      </w:r>
      <w:r w:rsidRPr="009736DF">
        <w:rPr>
          <w:rFonts w:ascii="Times New Roman" w:hAnsi="Times New Roman" w:cs="Times New Roman"/>
          <w:sz w:val="24"/>
          <w:szCs w:val="24"/>
        </w:rPr>
        <w:t>(дата обращения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736DF">
        <w:rPr>
          <w:rFonts w:ascii="Times New Roman" w:hAnsi="Times New Roman" w:cs="Times New Roman"/>
          <w:sz w:val="24"/>
          <w:szCs w:val="24"/>
        </w:rPr>
        <w:t xml:space="preserve"> 10.06.2018 г.)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1">
    <w:p w:rsidR="00E621D5" w:rsidRPr="002F543A" w:rsidRDefault="00E621D5" w:rsidP="006E0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543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F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Конвенция № 182 Международной организации труда «</w:t>
      </w:r>
      <w:r w:rsidRPr="002F543A">
        <w:rPr>
          <w:rFonts w:ascii="Times New Roman" w:hAnsi="Times New Roman" w:cs="Times New Roman"/>
          <w:sz w:val="24"/>
          <w:szCs w:val="24"/>
        </w:rPr>
        <w:t>О запрещении и немедленных мерах по искоренению наихудших форм детского труда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F543A">
        <w:rPr>
          <w:rFonts w:ascii="Times New Roman" w:hAnsi="Times New Roman" w:cs="Times New Roman"/>
          <w:sz w:val="24"/>
          <w:szCs w:val="24"/>
        </w:rPr>
        <w:t>(Заключена в г. Женеве 17.06.1999)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F543A">
        <w:rPr>
          <w:rFonts w:ascii="Times New Roman" w:hAnsi="Times New Roman" w:cs="Times New Roman"/>
          <w:sz w:val="24"/>
          <w:szCs w:val="24"/>
        </w:rPr>
        <w:t>Собрание з</w:t>
      </w:r>
      <w:r>
        <w:rPr>
          <w:rFonts w:ascii="Times New Roman" w:hAnsi="Times New Roman" w:cs="Times New Roman"/>
          <w:sz w:val="24"/>
          <w:szCs w:val="24"/>
        </w:rPr>
        <w:t>аконодательства Российской Федерации. 2004. № 20. Ст. 1924.</w:t>
      </w:r>
    </w:p>
  </w:footnote>
  <w:footnote w:id="22">
    <w:p w:rsidR="00E621D5" w:rsidRPr="00214A7B" w:rsidRDefault="00E621D5" w:rsidP="00214A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4A7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14A7B">
        <w:rPr>
          <w:rFonts w:ascii="Times New Roman" w:hAnsi="Times New Roman" w:cs="Times New Roman"/>
          <w:sz w:val="24"/>
          <w:szCs w:val="24"/>
        </w:rPr>
        <w:t xml:space="preserve"> Бай Н. Г. Акты ООН и МОТ в области трудовой миграции // Евразийский юридический журнал. 2015. № 5 (84). С. 36.</w:t>
      </w:r>
    </w:p>
  </w:footnote>
  <w:footnote w:id="23">
    <w:p w:rsidR="00E621D5" w:rsidRPr="00214A7B" w:rsidRDefault="00E621D5" w:rsidP="00214A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4A7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14A7B">
        <w:rPr>
          <w:rFonts w:ascii="Times New Roman" w:hAnsi="Times New Roman" w:cs="Times New Roman"/>
          <w:sz w:val="24"/>
          <w:szCs w:val="24"/>
        </w:rPr>
        <w:t xml:space="preserve"> Воронцов Д. И. Правовое регулирование обеспечения безопасности и гигиены труда актами МОТ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наук. М., 2018.</w:t>
      </w:r>
    </w:p>
  </w:footnote>
  <w:footnote w:id="24">
    <w:p w:rsidR="00E621D5" w:rsidRPr="006E0042" w:rsidRDefault="00E621D5" w:rsidP="00474B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042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042">
        <w:rPr>
          <w:rFonts w:ascii="Times New Roman" w:hAnsi="Times New Roman" w:cs="Times New Roman"/>
          <w:sz w:val="24"/>
          <w:szCs w:val="24"/>
        </w:rPr>
        <w:t>Конвенция № 187 Международной организации труда</w:t>
      </w:r>
      <w:r>
        <w:rPr>
          <w:rFonts w:ascii="Times New Roman" w:hAnsi="Times New Roman" w:cs="Times New Roman"/>
          <w:sz w:val="24"/>
          <w:szCs w:val="24"/>
        </w:rPr>
        <w:t xml:space="preserve"> «Об основах, содействующих без</w:t>
      </w:r>
      <w:r w:rsidRPr="006E0042">
        <w:rPr>
          <w:rFonts w:ascii="Times New Roman" w:hAnsi="Times New Roman" w:cs="Times New Roman"/>
          <w:sz w:val="24"/>
          <w:szCs w:val="24"/>
        </w:rPr>
        <w:t>опасности и гигиене труда» (Заключена в г. Женеве 15.06</w:t>
      </w:r>
      <w:r>
        <w:rPr>
          <w:rFonts w:ascii="Times New Roman" w:hAnsi="Times New Roman" w:cs="Times New Roman"/>
          <w:sz w:val="24"/>
          <w:szCs w:val="24"/>
        </w:rPr>
        <w:t>.2006) // Собрание законодатель</w:t>
      </w:r>
      <w:r w:rsidRPr="006E0042">
        <w:rPr>
          <w:rFonts w:ascii="Times New Roman" w:hAnsi="Times New Roman" w:cs="Times New Roman"/>
          <w:sz w:val="24"/>
          <w:szCs w:val="24"/>
        </w:rPr>
        <w:t>ства Российской Федерации. 2012. № 43. Ст. 5792.</w:t>
      </w:r>
    </w:p>
  </w:footnote>
  <w:footnote w:id="25">
    <w:p w:rsidR="00E621D5" w:rsidRPr="00474B84" w:rsidRDefault="00E621D5" w:rsidP="00474B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04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E0042">
        <w:rPr>
          <w:rFonts w:ascii="Times New Roman" w:hAnsi="Times New Roman" w:cs="Times New Roman"/>
          <w:sz w:val="24"/>
          <w:szCs w:val="24"/>
        </w:rPr>
        <w:t xml:space="preserve"> Конвенция № 155 Международной организации труда «О безопасности и гигиене труда и производственной среде»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B5A">
        <w:rPr>
          <w:rFonts w:ascii="Times New Roman" w:hAnsi="Times New Roman" w:cs="Times New Roman"/>
          <w:sz w:val="24"/>
          <w:szCs w:val="24"/>
        </w:rPr>
        <w:t xml:space="preserve">(принята в г. Женеве 22.06.1981) </w:t>
      </w:r>
      <w:r>
        <w:rPr>
          <w:rFonts w:ascii="Times New Roman" w:hAnsi="Times New Roman" w:cs="Times New Roman"/>
          <w:sz w:val="24"/>
          <w:szCs w:val="24"/>
        </w:rPr>
        <w:t>// Собрание законодательства Российской Федерации. 2001. № 50. Ст. 4652.</w:t>
      </w:r>
    </w:p>
  </w:footnote>
  <w:footnote w:id="26">
    <w:p w:rsidR="00E621D5" w:rsidRPr="00474B84" w:rsidRDefault="00E621D5" w:rsidP="00474B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4B84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B84">
        <w:rPr>
          <w:rFonts w:ascii="Times New Roman" w:hAnsi="Times New Roman" w:cs="Times New Roman"/>
          <w:sz w:val="24"/>
          <w:szCs w:val="24"/>
        </w:rPr>
        <w:t>О занятости н</w:t>
      </w:r>
      <w:r>
        <w:rPr>
          <w:rFonts w:ascii="Times New Roman" w:hAnsi="Times New Roman" w:cs="Times New Roman"/>
          <w:sz w:val="24"/>
          <w:szCs w:val="24"/>
        </w:rPr>
        <w:t xml:space="preserve">аселения в Российской Федерации: Закон РФ от 19 апреля </w:t>
      </w:r>
      <w:r w:rsidRPr="00474B84">
        <w:rPr>
          <w:rFonts w:ascii="Times New Roman" w:hAnsi="Times New Roman" w:cs="Times New Roman"/>
          <w:sz w:val="24"/>
          <w:szCs w:val="24"/>
        </w:rPr>
        <w:t xml:space="preserve">1991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474B84">
        <w:rPr>
          <w:rFonts w:ascii="Times New Roman" w:hAnsi="Times New Roman" w:cs="Times New Roman"/>
          <w:sz w:val="24"/>
          <w:szCs w:val="24"/>
        </w:rPr>
        <w:t xml:space="preserve"> 1032-1</w:t>
      </w:r>
      <w:r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Российской Федерации. 1996. № 17. Ст. 1915.</w:t>
      </w:r>
    </w:p>
    <w:p w:rsidR="00E621D5" w:rsidRPr="00474B84" w:rsidRDefault="00E621D5" w:rsidP="00432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7">
    <w:p w:rsidR="00E621D5" w:rsidRPr="00375DAE" w:rsidRDefault="00E621D5" w:rsidP="00432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6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86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Конвенция №</w:t>
      </w:r>
      <w:r w:rsidRPr="00886394">
        <w:rPr>
          <w:rFonts w:ascii="Times New Roman" w:hAnsi="Times New Roman" w:cs="Times New Roman"/>
          <w:sz w:val="24"/>
          <w:szCs w:val="24"/>
        </w:rPr>
        <w:t xml:space="preserve"> 122 Международной организации труда </w:t>
      </w:r>
      <w:r>
        <w:rPr>
          <w:rFonts w:ascii="Times New Roman" w:hAnsi="Times New Roman" w:cs="Times New Roman"/>
          <w:sz w:val="24"/>
          <w:szCs w:val="24"/>
        </w:rPr>
        <w:t xml:space="preserve">«О политике в области занятости» </w:t>
      </w:r>
      <w:r w:rsidRPr="00886394">
        <w:rPr>
          <w:rFonts w:ascii="Times New Roman" w:hAnsi="Times New Roman" w:cs="Times New Roman"/>
          <w:sz w:val="24"/>
          <w:szCs w:val="24"/>
        </w:rPr>
        <w:t>(Заключена в г. Женеве 09.07.1964)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86394">
        <w:rPr>
          <w:rFonts w:ascii="Times New Roman" w:hAnsi="Times New Roman" w:cs="Times New Roman"/>
          <w:sz w:val="24"/>
          <w:szCs w:val="24"/>
        </w:rPr>
        <w:t>Ведомости ВС СССР.</w:t>
      </w:r>
      <w:r>
        <w:rPr>
          <w:rFonts w:ascii="Times New Roman" w:hAnsi="Times New Roman" w:cs="Times New Roman"/>
          <w:sz w:val="24"/>
          <w:szCs w:val="24"/>
        </w:rPr>
        <w:t xml:space="preserve"> 1967. № 45. Ст. 608.</w:t>
      </w:r>
    </w:p>
  </w:footnote>
  <w:footnote w:id="28">
    <w:p w:rsidR="00E621D5" w:rsidRPr="00375DAE" w:rsidRDefault="00E621D5" w:rsidP="00432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DA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75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Конвенция № 132 Международной организации труда «</w:t>
      </w:r>
      <w:r w:rsidRPr="00375DAE">
        <w:rPr>
          <w:rFonts w:ascii="Times New Roman" w:hAnsi="Times New Roman" w:cs="Times New Roman"/>
          <w:sz w:val="24"/>
          <w:szCs w:val="24"/>
        </w:rPr>
        <w:t>Об оплачиваемых отпусках (пересмотренная в 1970 году)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A5B5A">
        <w:rPr>
          <w:rFonts w:ascii="Times New Roman" w:hAnsi="Times New Roman" w:cs="Times New Roman"/>
          <w:sz w:val="24"/>
          <w:szCs w:val="24"/>
        </w:rPr>
        <w:t xml:space="preserve">(принята в г. Женева 24.06.1970) </w:t>
      </w:r>
      <w:r>
        <w:rPr>
          <w:rFonts w:ascii="Times New Roman" w:hAnsi="Times New Roman" w:cs="Times New Roman"/>
          <w:sz w:val="24"/>
          <w:szCs w:val="24"/>
        </w:rPr>
        <w:t>// Собрание законодательства Российской Федерации. 2011. № 51. Ст. 7451.</w:t>
      </w:r>
    </w:p>
  </w:footnote>
  <w:footnote w:id="29">
    <w:p w:rsidR="00E621D5" w:rsidRPr="006D2BA5" w:rsidRDefault="00E621D5" w:rsidP="00432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2BA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D2BA5">
        <w:rPr>
          <w:rFonts w:ascii="Times New Roman" w:hAnsi="Times New Roman" w:cs="Times New Roman"/>
          <w:sz w:val="24"/>
          <w:szCs w:val="24"/>
        </w:rPr>
        <w:t xml:space="preserve"> Трудовой кодекс Российской Федерации: Ф</w:t>
      </w:r>
      <w:r>
        <w:rPr>
          <w:rFonts w:ascii="Times New Roman" w:hAnsi="Times New Roman" w:cs="Times New Roman"/>
          <w:sz w:val="24"/>
          <w:szCs w:val="24"/>
        </w:rPr>
        <w:t>едеральный закон от 30.12.2001 №</w:t>
      </w:r>
      <w:r w:rsidRPr="006D2BA5">
        <w:rPr>
          <w:rFonts w:ascii="Times New Roman" w:hAnsi="Times New Roman" w:cs="Times New Roman"/>
          <w:sz w:val="24"/>
          <w:szCs w:val="24"/>
        </w:rPr>
        <w:t xml:space="preserve"> 197-ФЗ (ред. от 05.02.2018) // Российская газета. 2001. № 256.</w:t>
      </w:r>
    </w:p>
  </w:footnote>
  <w:footnote w:id="30">
    <w:p w:rsidR="00E621D5" w:rsidRPr="00B81DA0" w:rsidRDefault="00E621D5" w:rsidP="003405B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A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81DA0">
        <w:rPr>
          <w:rFonts w:ascii="Times New Roman" w:hAnsi="Times New Roman" w:cs="Times New Roman"/>
          <w:sz w:val="24"/>
          <w:szCs w:val="24"/>
        </w:rPr>
        <w:t xml:space="preserve"> </w:t>
      </w:r>
      <w:r w:rsidRPr="00B81DA0">
        <w:rPr>
          <w:rFonts w:ascii="Times New Roman" w:hAnsi="Times New Roman" w:cs="Times New Roman"/>
          <w:bCs/>
          <w:sz w:val="24"/>
          <w:szCs w:val="24"/>
        </w:rPr>
        <w:t xml:space="preserve">Концепция дальнейшего развития Содружества Независимых Государств (5 октября 2007 года, г. Душанбе) // </w:t>
      </w:r>
      <w:r w:rsidRPr="00B81DA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B81DA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" w:history="1">
        <w:r w:rsidRPr="00B81DA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http://cis.minsk.by/page.php?id=18763</w:t>
        </w:r>
      </w:hyperlink>
      <w:r w:rsidRPr="00B81DA0">
        <w:rPr>
          <w:rFonts w:ascii="Times New Roman" w:hAnsi="Times New Roman" w:cs="Times New Roman"/>
          <w:bCs/>
          <w:sz w:val="24"/>
          <w:szCs w:val="24"/>
        </w:rPr>
        <w:t xml:space="preserve"> (дата обращения: 11.06.2018 г.).</w:t>
      </w:r>
    </w:p>
  </w:footnote>
  <w:footnote w:id="31">
    <w:p w:rsidR="00E621D5" w:rsidRPr="00B81DA0" w:rsidRDefault="00E621D5" w:rsidP="003405BB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DA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81DA0">
        <w:rPr>
          <w:rFonts w:ascii="Times New Roman" w:hAnsi="Times New Roman" w:cs="Times New Roman"/>
          <w:sz w:val="24"/>
          <w:szCs w:val="24"/>
        </w:rPr>
        <w:t xml:space="preserve"> </w:t>
      </w:r>
      <w:r w:rsidRPr="00B81DA0">
        <w:rPr>
          <w:rFonts w:ascii="Times New Roman" w:hAnsi="Times New Roman" w:cs="Times New Roman"/>
          <w:bCs/>
          <w:sz w:val="24"/>
          <w:szCs w:val="24"/>
        </w:rPr>
        <w:t xml:space="preserve">Стратегия экономического развития Содружества Независимых Государств на период до 2020 года (14 ноября 2008 года, г. Кишинев) // </w:t>
      </w:r>
      <w:r w:rsidRPr="00B81DA0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B81DA0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3" w:history="1">
        <w:r w:rsidRPr="00B81DA0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http://cis.minsk.by/page.php?id=18764</w:t>
        </w:r>
      </w:hyperlink>
      <w:r w:rsidRPr="00B81DA0">
        <w:rPr>
          <w:rFonts w:ascii="Times New Roman" w:hAnsi="Times New Roman" w:cs="Times New Roman"/>
          <w:bCs/>
          <w:sz w:val="24"/>
          <w:szCs w:val="24"/>
        </w:rPr>
        <w:t xml:space="preserve"> (дата обращения: 11.06.2018 г.).</w:t>
      </w:r>
    </w:p>
    <w:p w:rsidR="00E621D5" w:rsidRDefault="00E621D5" w:rsidP="003405BB">
      <w:pPr>
        <w:pStyle w:val="a4"/>
        <w:jc w:val="both"/>
      </w:pPr>
    </w:p>
  </w:footnote>
  <w:footnote w:id="32">
    <w:p w:rsidR="001C6233" w:rsidRPr="000354AD" w:rsidRDefault="001C6233" w:rsidP="000354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4A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354AD">
        <w:rPr>
          <w:rFonts w:ascii="Times New Roman" w:hAnsi="Times New Roman" w:cs="Times New Roman"/>
          <w:sz w:val="24"/>
          <w:szCs w:val="24"/>
        </w:rPr>
        <w:t xml:space="preserve"> Договор о функционировании Европейского Союза (Рим, 25 марта 1957 г.) (в редакции </w:t>
      </w:r>
      <w:r w:rsidR="000354AD" w:rsidRPr="000354AD">
        <w:rPr>
          <w:rFonts w:ascii="Times New Roman" w:hAnsi="Times New Roman" w:cs="Times New Roman"/>
          <w:sz w:val="24"/>
          <w:szCs w:val="24"/>
        </w:rPr>
        <w:t>Лиссабонского договора 2007 г.) // СПС Гарант (дата обращения: 11.06.2018 г.).</w:t>
      </w:r>
    </w:p>
  </w:footnote>
  <w:footnote w:id="33">
    <w:p w:rsidR="004D1E46" w:rsidRPr="004D1E46" w:rsidRDefault="004D1E46" w:rsidP="004D1E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1E4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D1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E46">
        <w:rPr>
          <w:rFonts w:ascii="Times New Roman" w:hAnsi="Times New Roman" w:cs="Times New Roman"/>
          <w:sz w:val="24"/>
          <w:szCs w:val="24"/>
        </w:rPr>
        <w:t>Бризкун</w:t>
      </w:r>
      <w:proofErr w:type="spellEnd"/>
      <w:r w:rsidRPr="004D1E46">
        <w:rPr>
          <w:rFonts w:ascii="Times New Roman" w:hAnsi="Times New Roman" w:cs="Times New Roman"/>
          <w:sz w:val="24"/>
          <w:szCs w:val="24"/>
        </w:rPr>
        <w:t xml:space="preserve"> К. А. Механизм имплементации рекомендательных актов международных организаций во внутриг</w:t>
      </w:r>
      <w:r>
        <w:rPr>
          <w:rFonts w:ascii="Times New Roman" w:hAnsi="Times New Roman" w:cs="Times New Roman"/>
          <w:sz w:val="24"/>
          <w:szCs w:val="24"/>
        </w:rPr>
        <w:t>осударственное законодательство // Журнал российского права. 2011. № 11. С. 119.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2822"/>
    <w:multiLevelType w:val="multilevel"/>
    <w:tmpl w:val="CD8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B245A"/>
    <w:multiLevelType w:val="multilevel"/>
    <w:tmpl w:val="B6A8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B091E"/>
    <w:multiLevelType w:val="multilevel"/>
    <w:tmpl w:val="0AF2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F5"/>
    <w:rsid w:val="00001828"/>
    <w:rsid w:val="0003273D"/>
    <w:rsid w:val="000354AD"/>
    <w:rsid w:val="000356FC"/>
    <w:rsid w:val="000762B6"/>
    <w:rsid w:val="00087E64"/>
    <w:rsid w:val="000C2A5C"/>
    <w:rsid w:val="000C40F6"/>
    <w:rsid w:val="000E444C"/>
    <w:rsid w:val="000F000F"/>
    <w:rsid w:val="000F2DB6"/>
    <w:rsid w:val="001068E0"/>
    <w:rsid w:val="0012661F"/>
    <w:rsid w:val="001534EF"/>
    <w:rsid w:val="00171658"/>
    <w:rsid w:val="0018241A"/>
    <w:rsid w:val="0019365E"/>
    <w:rsid w:val="001C6233"/>
    <w:rsid w:val="001E3E2D"/>
    <w:rsid w:val="001F76B4"/>
    <w:rsid w:val="0020697E"/>
    <w:rsid w:val="00214A7B"/>
    <w:rsid w:val="0022264B"/>
    <w:rsid w:val="00222CE6"/>
    <w:rsid w:val="002327C4"/>
    <w:rsid w:val="0026015C"/>
    <w:rsid w:val="002710FD"/>
    <w:rsid w:val="0027714D"/>
    <w:rsid w:val="002802EB"/>
    <w:rsid w:val="002867A5"/>
    <w:rsid w:val="00290E62"/>
    <w:rsid w:val="002B0815"/>
    <w:rsid w:val="002F543A"/>
    <w:rsid w:val="003405BB"/>
    <w:rsid w:val="0037145A"/>
    <w:rsid w:val="00375DAE"/>
    <w:rsid w:val="003C2DEA"/>
    <w:rsid w:val="003C4BAF"/>
    <w:rsid w:val="003F538B"/>
    <w:rsid w:val="004162BC"/>
    <w:rsid w:val="00426826"/>
    <w:rsid w:val="004326BB"/>
    <w:rsid w:val="00452F4C"/>
    <w:rsid w:val="00466F2F"/>
    <w:rsid w:val="00474B84"/>
    <w:rsid w:val="00475C38"/>
    <w:rsid w:val="004859FD"/>
    <w:rsid w:val="00492A0F"/>
    <w:rsid w:val="004D1E46"/>
    <w:rsid w:val="004D7757"/>
    <w:rsid w:val="00561AA9"/>
    <w:rsid w:val="005B2E0F"/>
    <w:rsid w:val="005C2622"/>
    <w:rsid w:val="005C6B3E"/>
    <w:rsid w:val="00646332"/>
    <w:rsid w:val="00692BC2"/>
    <w:rsid w:val="006944FF"/>
    <w:rsid w:val="006A4C52"/>
    <w:rsid w:val="006D2BA5"/>
    <w:rsid w:val="006E0042"/>
    <w:rsid w:val="006E66EA"/>
    <w:rsid w:val="00715765"/>
    <w:rsid w:val="007157F5"/>
    <w:rsid w:val="00737E65"/>
    <w:rsid w:val="00744763"/>
    <w:rsid w:val="00752729"/>
    <w:rsid w:val="00785E11"/>
    <w:rsid w:val="00817620"/>
    <w:rsid w:val="00817E49"/>
    <w:rsid w:val="00830388"/>
    <w:rsid w:val="00851608"/>
    <w:rsid w:val="00886394"/>
    <w:rsid w:val="008C25F3"/>
    <w:rsid w:val="008C4443"/>
    <w:rsid w:val="008D6D63"/>
    <w:rsid w:val="00907302"/>
    <w:rsid w:val="00950941"/>
    <w:rsid w:val="009736DF"/>
    <w:rsid w:val="0099425D"/>
    <w:rsid w:val="00994D52"/>
    <w:rsid w:val="009D5B27"/>
    <w:rsid w:val="009D62DB"/>
    <w:rsid w:val="009F151B"/>
    <w:rsid w:val="00A26EB6"/>
    <w:rsid w:val="00A3069C"/>
    <w:rsid w:val="00A40288"/>
    <w:rsid w:val="00A41209"/>
    <w:rsid w:val="00A42538"/>
    <w:rsid w:val="00A51FEF"/>
    <w:rsid w:val="00A90DAF"/>
    <w:rsid w:val="00A9145C"/>
    <w:rsid w:val="00A925CE"/>
    <w:rsid w:val="00AB66A2"/>
    <w:rsid w:val="00AC3C7E"/>
    <w:rsid w:val="00AC5D6A"/>
    <w:rsid w:val="00AC600A"/>
    <w:rsid w:val="00AD3C69"/>
    <w:rsid w:val="00AD73AE"/>
    <w:rsid w:val="00AE098D"/>
    <w:rsid w:val="00AE499C"/>
    <w:rsid w:val="00B279F7"/>
    <w:rsid w:val="00B34432"/>
    <w:rsid w:val="00B41024"/>
    <w:rsid w:val="00B466D5"/>
    <w:rsid w:val="00B64CAE"/>
    <w:rsid w:val="00B70863"/>
    <w:rsid w:val="00B73DB3"/>
    <w:rsid w:val="00B80B94"/>
    <w:rsid w:val="00B81DA0"/>
    <w:rsid w:val="00B954F4"/>
    <w:rsid w:val="00BA1900"/>
    <w:rsid w:val="00BA2F49"/>
    <w:rsid w:val="00BA5B5A"/>
    <w:rsid w:val="00BA79D7"/>
    <w:rsid w:val="00BB27EB"/>
    <w:rsid w:val="00BC7901"/>
    <w:rsid w:val="00BD009E"/>
    <w:rsid w:val="00C336C4"/>
    <w:rsid w:val="00C379A9"/>
    <w:rsid w:val="00C85D92"/>
    <w:rsid w:val="00C868AF"/>
    <w:rsid w:val="00C8730A"/>
    <w:rsid w:val="00CB6EB9"/>
    <w:rsid w:val="00CB7C63"/>
    <w:rsid w:val="00CF1811"/>
    <w:rsid w:val="00D21C11"/>
    <w:rsid w:val="00D23DD9"/>
    <w:rsid w:val="00D86545"/>
    <w:rsid w:val="00DA09B2"/>
    <w:rsid w:val="00DB415A"/>
    <w:rsid w:val="00DD7738"/>
    <w:rsid w:val="00DE0D99"/>
    <w:rsid w:val="00DF0784"/>
    <w:rsid w:val="00E02CA9"/>
    <w:rsid w:val="00E621D5"/>
    <w:rsid w:val="00E77226"/>
    <w:rsid w:val="00E90A84"/>
    <w:rsid w:val="00EB3D3E"/>
    <w:rsid w:val="00EC401F"/>
    <w:rsid w:val="00EE0882"/>
    <w:rsid w:val="00EF76C0"/>
    <w:rsid w:val="00F07B55"/>
    <w:rsid w:val="00F11014"/>
    <w:rsid w:val="00F30AE6"/>
    <w:rsid w:val="00F32FC5"/>
    <w:rsid w:val="00F42F35"/>
    <w:rsid w:val="00F71CEF"/>
    <w:rsid w:val="00F83A54"/>
    <w:rsid w:val="00F92B74"/>
    <w:rsid w:val="00FA5E4F"/>
    <w:rsid w:val="00FB1EAE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6DA5"/>
  <w15:chartTrackingRefBased/>
  <w15:docId w15:val="{FDF99D87-03EB-47CB-94CA-8C53079E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6A"/>
  </w:style>
  <w:style w:type="paragraph" w:styleId="1">
    <w:name w:val="heading 1"/>
    <w:basedOn w:val="a"/>
    <w:next w:val="a"/>
    <w:link w:val="10"/>
    <w:uiPriority w:val="9"/>
    <w:qFormat/>
    <w:rsid w:val="00EE0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7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9A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D73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73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73A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222CE6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73D"/>
  </w:style>
  <w:style w:type="paragraph" w:styleId="aa">
    <w:name w:val="footer"/>
    <w:basedOn w:val="a"/>
    <w:link w:val="ab"/>
    <w:uiPriority w:val="99"/>
    <w:unhideWhenUsed/>
    <w:rsid w:val="000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73D"/>
  </w:style>
  <w:style w:type="character" w:customStyle="1" w:styleId="10">
    <w:name w:val="Заголовок 1 Знак"/>
    <w:basedOn w:val="a0"/>
    <w:link w:val="1"/>
    <w:uiPriority w:val="9"/>
    <w:rsid w:val="00EE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57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9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8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minsk.by/page.php?id=1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is.minsk.by/page.php?id=18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s.minsk.by/page.php?id=18763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is.minsk.by/page.php?id=18764" TargetMode="External"/><Relationship Id="rId2" Type="http://schemas.openxmlformats.org/officeDocument/2006/relationships/hyperlink" Target="http://cis.minsk.by/page.php?id=18763" TargetMode="External"/><Relationship Id="rId1" Type="http://schemas.openxmlformats.org/officeDocument/2006/relationships/hyperlink" Target="http://cis.minsk.by/page.php?id=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0E34-45A9-474F-B0E6-56244647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</TotalTime>
  <Pages>1</Pages>
  <Words>6963</Words>
  <Characters>39691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2018-06-12T11:11:00Z</cp:lastPrinted>
  <dcterms:created xsi:type="dcterms:W3CDTF">2018-05-15T17:32:00Z</dcterms:created>
  <dcterms:modified xsi:type="dcterms:W3CDTF">2018-06-12T11:28:00Z</dcterms:modified>
</cp:coreProperties>
</file>