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pPr w:leftFromText="180" w:rightFromText="180" w:vertAnchor="text" w:horzAnchor="page" w:tblpX="7165" w:tblpY="-412"/>
        <w:tblW w:w="0" w:type="auto"/>
        <w:tblLook w:val="04A0" w:firstRow="1" w:lastRow="0" w:firstColumn="1" w:lastColumn="0" w:noHBand="0" w:noVBand="1"/>
      </w:tblPr>
      <w:tblGrid>
        <w:gridCol w:w="4459"/>
      </w:tblGrid>
      <w:tr w:rsidR="000D7FBC" w:rsidTr="00442C16">
        <w:trPr>
          <w:trHeight w:val="2568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342A38" w:rsidRPr="00342A38" w:rsidRDefault="00342A38" w:rsidP="00342A38">
            <w:pPr>
              <w:spacing w:after="160" w:line="259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42A38">
              <w:rPr>
                <w:rFonts w:ascii="Times New Roman" w:eastAsia="Calibri" w:hAnsi="Times New Roman"/>
                <w:sz w:val="28"/>
                <w:lang w:eastAsia="en-US"/>
              </w:rPr>
              <w:t xml:space="preserve">Заведующему кафедрой </w:t>
            </w:r>
          </w:p>
          <w:p w:rsidR="00342A38" w:rsidRPr="00342A38" w:rsidRDefault="00342A38" w:rsidP="00342A38">
            <w:pPr>
              <w:spacing w:after="160" w:line="259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42A38">
              <w:rPr>
                <w:rFonts w:ascii="Times New Roman" w:eastAsia="Calibri" w:hAnsi="Times New Roman"/>
                <w:sz w:val="28"/>
                <w:lang w:eastAsia="en-US"/>
              </w:rPr>
              <w:t xml:space="preserve">Теоретической экономики </w:t>
            </w:r>
          </w:p>
          <w:p w:rsidR="00342A38" w:rsidRPr="00342A38" w:rsidRDefault="00342A38" w:rsidP="00342A38">
            <w:pPr>
              <w:spacing w:after="160" w:line="259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42A38">
              <w:rPr>
                <w:rFonts w:ascii="Times New Roman" w:eastAsia="Calibri" w:hAnsi="Times New Roman"/>
                <w:sz w:val="28"/>
                <w:lang w:eastAsia="en-US"/>
              </w:rPr>
              <w:t>ФГБОУ ВО «КубГУ»</w:t>
            </w:r>
          </w:p>
          <w:p w:rsidR="00342A38" w:rsidRPr="00342A38" w:rsidRDefault="00342A38" w:rsidP="00342A38">
            <w:pPr>
              <w:spacing w:after="160" w:line="259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42A38">
              <w:rPr>
                <w:rFonts w:ascii="Times New Roman" w:eastAsia="Calibri" w:hAnsi="Times New Roman"/>
                <w:sz w:val="28"/>
                <w:lang w:eastAsia="en-US"/>
              </w:rPr>
              <w:t>д.э.н. проф. Сидорову В.А.</w:t>
            </w:r>
          </w:p>
          <w:p w:rsidR="00342A38" w:rsidRPr="00342A38" w:rsidRDefault="00342A38" w:rsidP="00342A38">
            <w:pPr>
              <w:spacing w:after="160" w:line="259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42A38">
              <w:rPr>
                <w:rFonts w:ascii="Times New Roman" w:eastAsia="Calibri" w:hAnsi="Times New Roman"/>
                <w:sz w:val="28"/>
                <w:lang w:eastAsia="en-US"/>
              </w:rPr>
              <w:t xml:space="preserve">студентки направления </w:t>
            </w:r>
          </w:p>
          <w:p w:rsidR="00342A38" w:rsidRPr="00342A38" w:rsidRDefault="00342A38" w:rsidP="00342A38">
            <w:pPr>
              <w:spacing w:after="160" w:line="259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42A38">
              <w:rPr>
                <w:rFonts w:ascii="Times New Roman" w:eastAsia="Calibri" w:hAnsi="Times New Roman"/>
                <w:sz w:val="28"/>
                <w:lang w:eastAsia="en-US"/>
              </w:rPr>
              <w:t>38.03.05. «Бизнес-информатика»</w:t>
            </w:r>
          </w:p>
          <w:p w:rsidR="00342A38" w:rsidRPr="00342A38" w:rsidRDefault="00342A38" w:rsidP="00342A38">
            <w:pPr>
              <w:spacing w:after="160" w:line="259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42A38">
              <w:rPr>
                <w:rFonts w:ascii="Times New Roman" w:eastAsia="Calibri" w:hAnsi="Times New Roman"/>
                <w:sz w:val="28"/>
                <w:lang w:eastAsia="en-US"/>
              </w:rPr>
              <w:t>Профиль «Электронный бизнес»</w:t>
            </w:r>
          </w:p>
          <w:p w:rsidR="00342A38" w:rsidRPr="00342A38" w:rsidRDefault="00342A38" w:rsidP="00342A38">
            <w:pPr>
              <w:spacing w:after="160" w:line="259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342A38">
              <w:rPr>
                <w:rFonts w:ascii="Times New Roman" w:eastAsia="Calibri" w:hAnsi="Times New Roman"/>
                <w:sz w:val="28"/>
                <w:lang w:eastAsia="en-US"/>
              </w:rPr>
              <w:t xml:space="preserve">Курс 3 форма обучения ОФО </w:t>
            </w:r>
          </w:p>
          <w:p w:rsidR="00342A38" w:rsidRPr="00342A38" w:rsidRDefault="002B0CD9" w:rsidP="00342A38">
            <w:pPr>
              <w:spacing w:after="160" w:line="259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Белоусько Екатерины Андреевны</w:t>
            </w:r>
          </w:p>
          <w:p w:rsidR="000D7FBC" w:rsidRDefault="000D7FBC" w:rsidP="00342A38"/>
        </w:tc>
      </w:tr>
    </w:tbl>
    <w:p w:rsidR="000D7FBC" w:rsidRDefault="000D7FBC" w:rsidP="000D7FBC">
      <w:pPr>
        <w:spacing w:after="0" w:line="240" w:lineRule="auto"/>
        <w:jc w:val="right"/>
      </w:pPr>
    </w:p>
    <w:p w:rsidR="000D7FBC" w:rsidRDefault="000D7FBC" w:rsidP="000D7FBC">
      <w:pPr>
        <w:spacing w:after="0" w:line="240" w:lineRule="auto"/>
        <w:jc w:val="right"/>
      </w:pPr>
    </w:p>
    <w:p w:rsidR="000D7FBC" w:rsidRPr="005C3FE1" w:rsidRDefault="000D7FBC" w:rsidP="000D7FBC"/>
    <w:p w:rsidR="000D7FBC" w:rsidRPr="005C3FE1" w:rsidRDefault="000D7FBC" w:rsidP="000D7FBC"/>
    <w:p w:rsidR="000D7FBC" w:rsidRPr="005C3FE1" w:rsidRDefault="000D7FBC" w:rsidP="000D7FBC"/>
    <w:p w:rsidR="000D7FBC" w:rsidRPr="005C3FE1" w:rsidRDefault="000D7FBC" w:rsidP="000D7FBC"/>
    <w:p w:rsidR="000D7FBC" w:rsidRPr="005C3FE1" w:rsidRDefault="000D7FBC" w:rsidP="000D7FBC"/>
    <w:p w:rsidR="000D7FBC" w:rsidRPr="005C3FE1" w:rsidRDefault="000D7FBC" w:rsidP="000D7FBC">
      <w:pPr>
        <w:spacing w:after="0" w:line="240" w:lineRule="auto"/>
        <w:rPr>
          <w:rFonts w:ascii="Times New Roman" w:hAnsi="Times New Roman"/>
          <w:sz w:val="28"/>
        </w:rPr>
      </w:pPr>
    </w:p>
    <w:p w:rsidR="00342A38" w:rsidRDefault="00342A38" w:rsidP="000D7FBC">
      <w:pPr>
        <w:tabs>
          <w:tab w:val="left" w:pos="1812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42A38" w:rsidRDefault="00342A38" w:rsidP="000D7FBC">
      <w:pPr>
        <w:tabs>
          <w:tab w:val="left" w:pos="1812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42A38" w:rsidRDefault="00342A38" w:rsidP="00342A38">
      <w:pPr>
        <w:tabs>
          <w:tab w:val="left" w:pos="1812"/>
        </w:tabs>
        <w:spacing w:after="0" w:line="240" w:lineRule="auto"/>
        <w:rPr>
          <w:rFonts w:ascii="Times New Roman" w:hAnsi="Times New Roman"/>
          <w:b/>
          <w:sz w:val="28"/>
        </w:rPr>
      </w:pPr>
    </w:p>
    <w:p w:rsidR="00342A38" w:rsidRDefault="00342A38" w:rsidP="000D7FBC">
      <w:pPr>
        <w:tabs>
          <w:tab w:val="left" w:pos="1812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D7FBC" w:rsidRPr="005C3FE1" w:rsidRDefault="000D7FBC" w:rsidP="000D7FBC">
      <w:pPr>
        <w:tabs>
          <w:tab w:val="left" w:pos="1812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C3FE1">
        <w:rPr>
          <w:rFonts w:ascii="Times New Roman" w:hAnsi="Times New Roman"/>
          <w:b/>
          <w:sz w:val="28"/>
        </w:rPr>
        <w:t>АНАЛИТИЧЕСКАЯ ЗАПИСКА</w:t>
      </w:r>
    </w:p>
    <w:p w:rsidR="000D7FBC" w:rsidRPr="005C3FE1" w:rsidRDefault="000D7FBC" w:rsidP="000D7FBC">
      <w:pPr>
        <w:tabs>
          <w:tab w:val="left" w:pos="1812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D7FBC" w:rsidRPr="00543C78" w:rsidRDefault="000D7FBC" w:rsidP="000D7FB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3C78">
        <w:rPr>
          <w:rFonts w:ascii="Times New Roman" w:hAnsi="Times New Roman"/>
          <w:b/>
          <w:bCs/>
          <w:sz w:val="28"/>
          <w:szCs w:val="28"/>
        </w:rPr>
        <w:t>О динамике развития экономики Российской Федерации с 1992г. по 2017г.</w:t>
      </w:r>
    </w:p>
    <w:p w:rsidR="000D7FBC" w:rsidRDefault="000D7FBC" w:rsidP="000D7FBC">
      <w:pPr>
        <w:tabs>
          <w:tab w:val="left" w:pos="1812"/>
        </w:tabs>
        <w:spacing w:after="0" w:line="240" w:lineRule="auto"/>
        <w:rPr>
          <w:rFonts w:ascii="Times New Roman" w:hAnsi="Times New Roman"/>
          <w:sz w:val="28"/>
        </w:rPr>
      </w:pPr>
    </w:p>
    <w:p w:rsidR="000D7FBC" w:rsidRDefault="000D7FBC" w:rsidP="00677B7E">
      <w:pPr>
        <w:tabs>
          <w:tab w:val="left" w:pos="181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данным анализа структуры ВВП России за период 1992-2017 гг., проводимого мною, можно сделать вывод о том, что за указанный пери</w:t>
      </w:r>
      <w:r w:rsidR="002B0CD9">
        <w:rPr>
          <w:rFonts w:ascii="Times New Roman" w:hAnsi="Times New Roman"/>
          <w:sz w:val="28"/>
        </w:rPr>
        <w:t>од структура экономики РФ много раз подвергалась</w:t>
      </w:r>
      <w:r>
        <w:rPr>
          <w:rFonts w:ascii="Times New Roman" w:hAnsi="Times New Roman"/>
          <w:sz w:val="28"/>
        </w:rPr>
        <w:t xml:space="preserve"> изменения</w:t>
      </w:r>
      <w:r w:rsidR="002B0CD9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, а именно, за обозначенный временной отрезок, явно выделяются 4 этапа, которые включают в себя индивидуальные особенности в формировании групп отраслей экономики. Этапы заключены в следующие временные отрезки: 1992-1994 гг., 1995-2001 гг., 2002-2015 гг., 2016-2017 гг.</w:t>
      </w:r>
    </w:p>
    <w:p w:rsidR="000D7FBC" w:rsidRDefault="000D7FBC" w:rsidP="00677B7E">
      <w:pPr>
        <w:tabs>
          <w:tab w:val="left" w:pos="181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Структурная </w:t>
      </w:r>
      <w:r w:rsidR="00677B7E">
        <w:rPr>
          <w:rFonts w:ascii="Times New Roman" w:hAnsi="Times New Roman"/>
          <w:sz w:val="28"/>
        </w:rPr>
        <w:t>разделенность</w:t>
      </w:r>
      <w:r w:rsidR="002B0CD9">
        <w:rPr>
          <w:rFonts w:ascii="Times New Roman" w:hAnsi="Times New Roman"/>
          <w:sz w:val="28"/>
        </w:rPr>
        <w:t xml:space="preserve"> данных этапов требует</w:t>
      </w:r>
      <w:r>
        <w:rPr>
          <w:rFonts w:ascii="Times New Roman" w:hAnsi="Times New Roman"/>
          <w:sz w:val="28"/>
        </w:rPr>
        <w:t xml:space="preserve"> свед</w:t>
      </w:r>
      <w:r w:rsidR="002B0CD9">
        <w:rPr>
          <w:rFonts w:ascii="Times New Roman" w:hAnsi="Times New Roman"/>
          <w:sz w:val="28"/>
        </w:rPr>
        <w:t>ение</w:t>
      </w:r>
      <w:r>
        <w:rPr>
          <w:rFonts w:ascii="Times New Roman" w:hAnsi="Times New Roman"/>
          <w:sz w:val="28"/>
        </w:rPr>
        <w:t xml:space="preserve"> их к одному виду. Для дальнейшей работы </w:t>
      </w:r>
      <w:r w:rsidR="00677B7E">
        <w:rPr>
          <w:rFonts w:ascii="Times New Roman" w:hAnsi="Times New Roman"/>
          <w:sz w:val="28"/>
        </w:rPr>
        <w:t>с прогнозированием</w:t>
      </w:r>
      <w:r>
        <w:rPr>
          <w:rFonts w:ascii="Times New Roman" w:hAnsi="Times New Roman"/>
          <w:sz w:val="28"/>
        </w:rPr>
        <w:t xml:space="preserve"> темпов роста ВВП России мною была составлена сводная таблица отраслей экономики в динамической проекции по годам, позволяющая сопоставить выделенные этапы 1992-2017 гг. </w:t>
      </w:r>
    </w:p>
    <w:p w:rsidR="000D7FBC" w:rsidRDefault="000D7FBC" w:rsidP="00677B7E">
      <w:pPr>
        <w:tabs>
          <w:tab w:val="left" w:pos="181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данным сводной таблицы, структура экономики 1992-2017 гг. в обобщенном виде характеризуется следующими отраслями:</w:t>
      </w:r>
    </w:p>
    <w:p w:rsidR="00677B7E" w:rsidRDefault="00677B7E" w:rsidP="00677B7E">
      <w:pPr>
        <w:tabs>
          <w:tab w:val="left" w:pos="181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D7FBC" w:rsidRPr="00C22C30" w:rsidRDefault="000D7FBC" w:rsidP="00677B7E">
      <w:pPr>
        <w:pStyle w:val="ae"/>
        <w:tabs>
          <w:tab w:val="left" w:pos="18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C22C30">
        <w:rPr>
          <w:rFonts w:ascii="Times New Roman" w:hAnsi="Times New Roman" w:cs="Times New Roman"/>
          <w:b/>
          <w:sz w:val="28"/>
        </w:rPr>
        <w:t xml:space="preserve">Промышленность </w:t>
      </w:r>
    </w:p>
    <w:p w:rsidR="000D7FBC" w:rsidRDefault="00677B7E" w:rsidP="00677B7E">
      <w:pPr>
        <w:pStyle w:val="ae"/>
        <w:tabs>
          <w:tab w:val="left" w:pos="18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Если исключить сезонную и календарную составляющую, то в целом</w:t>
      </w:r>
      <w:r w:rsidR="000D7FBC" w:rsidRPr="00C22C30">
        <w:rPr>
          <w:rFonts w:ascii="Times New Roman" w:hAnsi="Times New Roman" w:cs="Times New Roman"/>
          <w:sz w:val="28"/>
        </w:rPr>
        <w:t xml:space="preserve"> прирост составил по отношению к предыдущему году 5,13%. Средний прирост за 25 лет составил 0,30</w:t>
      </w:r>
      <w:r w:rsidR="000D7FBC">
        <w:rPr>
          <w:rFonts w:ascii="Times New Roman" w:hAnsi="Times New Roman" w:cs="Times New Roman"/>
          <w:sz w:val="28"/>
        </w:rPr>
        <w:t>%.</w:t>
      </w:r>
    </w:p>
    <w:p w:rsidR="000D7FBC" w:rsidRPr="00C22C30" w:rsidRDefault="000D7FBC" w:rsidP="00677B7E">
      <w:pPr>
        <w:pStyle w:val="ae"/>
        <w:tabs>
          <w:tab w:val="left" w:pos="18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22C30">
        <w:rPr>
          <w:rFonts w:ascii="Times New Roman" w:hAnsi="Times New Roman" w:cs="Times New Roman"/>
          <w:b/>
          <w:sz w:val="28"/>
        </w:rPr>
        <w:t>Транспорт и связь</w:t>
      </w:r>
    </w:p>
    <w:p w:rsidR="000D7FBC" w:rsidRPr="00C22C30" w:rsidRDefault="00677B7E" w:rsidP="00677B7E">
      <w:pPr>
        <w:pStyle w:val="ae"/>
        <w:tabs>
          <w:tab w:val="left" w:pos="18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исключить сезонную и календарную составляющую, то в целом</w:t>
      </w:r>
      <w:r w:rsidRPr="00C22C30">
        <w:rPr>
          <w:rFonts w:ascii="Times New Roman" w:hAnsi="Times New Roman" w:cs="Times New Roman"/>
          <w:sz w:val="28"/>
        </w:rPr>
        <w:t xml:space="preserve"> </w:t>
      </w:r>
      <w:r w:rsidR="000D7FBC" w:rsidRPr="00C22C30">
        <w:rPr>
          <w:rFonts w:ascii="Times New Roman" w:hAnsi="Times New Roman" w:cs="Times New Roman"/>
          <w:sz w:val="28"/>
        </w:rPr>
        <w:t>прирост составил по отношению к предыдущему году 2,90%. Средний прирост за 25 лет составил 0,91</w:t>
      </w:r>
      <w:r w:rsidR="000D7FBC">
        <w:rPr>
          <w:rFonts w:ascii="Times New Roman" w:hAnsi="Times New Roman" w:cs="Times New Roman"/>
          <w:sz w:val="28"/>
        </w:rPr>
        <w:t>%.</w:t>
      </w:r>
    </w:p>
    <w:p w:rsidR="000D7FBC" w:rsidRPr="00C22C30" w:rsidRDefault="000D7FBC" w:rsidP="00677B7E">
      <w:pPr>
        <w:pStyle w:val="ae"/>
        <w:tabs>
          <w:tab w:val="left" w:pos="18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C22C30">
        <w:rPr>
          <w:rFonts w:ascii="Times New Roman" w:hAnsi="Times New Roman" w:cs="Times New Roman"/>
          <w:b/>
          <w:sz w:val="28"/>
        </w:rPr>
        <w:t>Строительство</w:t>
      </w:r>
    </w:p>
    <w:p w:rsidR="000D7FBC" w:rsidRPr="00C22C30" w:rsidRDefault="00677B7E" w:rsidP="00677B7E">
      <w:pPr>
        <w:pStyle w:val="ae"/>
        <w:tabs>
          <w:tab w:val="left" w:pos="18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исключить сезонную и календарную составляющую, то в целом</w:t>
      </w:r>
      <w:r w:rsidRPr="00C22C30">
        <w:rPr>
          <w:rFonts w:ascii="Times New Roman" w:hAnsi="Times New Roman" w:cs="Times New Roman"/>
          <w:sz w:val="28"/>
        </w:rPr>
        <w:t xml:space="preserve"> </w:t>
      </w:r>
      <w:r w:rsidR="000D7FBC" w:rsidRPr="00C22C30">
        <w:rPr>
          <w:rFonts w:ascii="Times New Roman" w:hAnsi="Times New Roman" w:cs="Times New Roman"/>
          <w:sz w:val="28"/>
        </w:rPr>
        <w:t>прирост составил по отношению к предыдущему году 1,08% Средний прирост за 25 лет составил 0,02</w:t>
      </w:r>
      <w:r w:rsidR="000D7FBC">
        <w:rPr>
          <w:rFonts w:ascii="Times New Roman" w:hAnsi="Times New Roman" w:cs="Times New Roman"/>
          <w:sz w:val="28"/>
        </w:rPr>
        <w:t>%.</w:t>
      </w:r>
    </w:p>
    <w:p w:rsidR="000D7FBC" w:rsidRPr="00C22C30" w:rsidRDefault="000D7FBC" w:rsidP="00677B7E">
      <w:pPr>
        <w:pStyle w:val="ae"/>
        <w:tabs>
          <w:tab w:val="left" w:pos="18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C22C30">
        <w:rPr>
          <w:rFonts w:ascii="Times New Roman" w:hAnsi="Times New Roman" w:cs="Times New Roman"/>
          <w:b/>
          <w:sz w:val="28"/>
        </w:rPr>
        <w:t>Финансовая деятельность и операции с недвижимым имуществом, аренда и предоставление услуг</w:t>
      </w:r>
    </w:p>
    <w:p w:rsidR="000D7FBC" w:rsidRPr="00C22C30" w:rsidRDefault="00677B7E" w:rsidP="00677B7E">
      <w:pPr>
        <w:pStyle w:val="ae"/>
        <w:tabs>
          <w:tab w:val="left" w:pos="18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исключить сезонную и календарную составляющую, то в целом</w:t>
      </w:r>
      <w:r w:rsidRPr="00C22C30">
        <w:rPr>
          <w:rFonts w:ascii="Times New Roman" w:hAnsi="Times New Roman" w:cs="Times New Roman"/>
          <w:sz w:val="28"/>
        </w:rPr>
        <w:t xml:space="preserve"> </w:t>
      </w:r>
      <w:r w:rsidR="000D7FBC" w:rsidRPr="00C22C30">
        <w:rPr>
          <w:rFonts w:ascii="Times New Roman" w:hAnsi="Times New Roman" w:cs="Times New Roman"/>
          <w:sz w:val="28"/>
        </w:rPr>
        <w:t>прирост составил по отношению к предыдущему году 1,90%. Средний прирост за 25 лет составил 7,43</w:t>
      </w:r>
      <w:r w:rsidR="000D7FBC">
        <w:rPr>
          <w:rFonts w:ascii="Times New Roman" w:hAnsi="Times New Roman" w:cs="Times New Roman"/>
          <w:sz w:val="28"/>
        </w:rPr>
        <w:t>%.</w:t>
      </w:r>
    </w:p>
    <w:p w:rsidR="000D7FBC" w:rsidRPr="00C22C30" w:rsidRDefault="000D7FBC" w:rsidP="00677B7E">
      <w:pPr>
        <w:pStyle w:val="ae"/>
        <w:tabs>
          <w:tab w:val="left" w:pos="18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C22C30">
        <w:rPr>
          <w:rFonts w:ascii="Times New Roman" w:hAnsi="Times New Roman" w:cs="Times New Roman"/>
          <w:b/>
          <w:sz w:val="28"/>
        </w:rPr>
        <w:t>Деятельность в области образования, культ</w:t>
      </w:r>
      <w:r w:rsidR="002B0CD9">
        <w:rPr>
          <w:rFonts w:ascii="Times New Roman" w:hAnsi="Times New Roman" w:cs="Times New Roman"/>
          <w:b/>
          <w:sz w:val="28"/>
        </w:rPr>
        <w:t>уры, спорта, организации досуга</w:t>
      </w:r>
      <w:r w:rsidRPr="00C22C30">
        <w:rPr>
          <w:rFonts w:ascii="Times New Roman" w:hAnsi="Times New Roman" w:cs="Times New Roman"/>
          <w:b/>
          <w:sz w:val="28"/>
        </w:rPr>
        <w:t>, развлечений и здравоохранение</w:t>
      </w:r>
    </w:p>
    <w:p w:rsidR="000D7FBC" w:rsidRPr="00C22C30" w:rsidRDefault="00677B7E" w:rsidP="00677B7E">
      <w:pPr>
        <w:pStyle w:val="ae"/>
        <w:tabs>
          <w:tab w:val="left" w:pos="18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исключить сезонную и календарную составляющую, то в целом</w:t>
      </w:r>
      <w:r w:rsidRPr="00C22C30">
        <w:rPr>
          <w:rFonts w:ascii="Times New Roman" w:hAnsi="Times New Roman" w:cs="Times New Roman"/>
          <w:sz w:val="28"/>
        </w:rPr>
        <w:t xml:space="preserve"> </w:t>
      </w:r>
      <w:r w:rsidR="000D7FBC" w:rsidRPr="00C22C30">
        <w:rPr>
          <w:rFonts w:ascii="Times New Roman" w:hAnsi="Times New Roman" w:cs="Times New Roman"/>
          <w:sz w:val="28"/>
        </w:rPr>
        <w:t>прирост составил по отношению к предыдущему году 1,65% Средний прирост за 25 лет составил 3,85%</w:t>
      </w:r>
      <w:r w:rsidR="000D7FBC">
        <w:rPr>
          <w:rFonts w:ascii="Times New Roman" w:hAnsi="Times New Roman" w:cs="Times New Roman"/>
          <w:sz w:val="28"/>
        </w:rPr>
        <w:t>.</w:t>
      </w:r>
    </w:p>
    <w:p w:rsidR="000D7FBC" w:rsidRPr="00C22C30" w:rsidRDefault="000D7FBC" w:rsidP="00677B7E">
      <w:pPr>
        <w:pStyle w:val="ae"/>
        <w:tabs>
          <w:tab w:val="left" w:pos="18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C22C30">
        <w:rPr>
          <w:rFonts w:ascii="Times New Roman" w:hAnsi="Times New Roman" w:cs="Times New Roman"/>
          <w:b/>
          <w:sz w:val="28"/>
        </w:rPr>
        <w:t>Торговля, общественное питание и заготовки</w:t>
      </w:r>
    </w:p>
    <w:p w:rsidR="000D7FBC" w:rsidRPr="00C22C30" w:rsidRDefault="00677B7E" w:rsidP="00677B7E">
      <w:pPr>
        <w:pStyle w:val="ae"/>
        <w:tabs>
          <w:tab w:val="left" w:pos="18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исключить сезонную и календарную составляющую, то в целом</w:t>
      </w:r>
      <w:r w:rsidRPr="00C22C30">
        <w:rPr>
          <w:rFonts w:ascii="Times New Roman" w:hAnsi="Times New Roman" w:cs="Times New Roman"/>
          <w:sz w:val="28"/>
        </w:rPr>
        <w:t xml:space="preserve"> </w:t>
      </w:r>
      <w:r w:rsidR="000D7FBC" w:rsidRPr="00C22C30">
        <w:rPr>
          <w:rFonts w:ascii="Times New Roman" w:hAnsi="Times New Roman" w:cs="Times New Roman"/>
          <w:sz w:val="28"/>
        </w:rPr>
        <w:t>прирост составил по отношению к предыдущему году 0,59%. Средний пр</w:t>
      </w:r>
      <w:r w:rsidR="002B0CD9">
        <w:rPr>
          <w:rFonts w:ascii="Times New Roman" w:hAnsi="Times New Roman" w:cs="Times New Roman"/>
          <w:sz w:val="28"/>
        </w:rPr>
        <w:t>ирост за 25 лет составил -2,78%</w:t>
      </w:r>
      <w:r w:rsidR="000D7FBC">
        <w:rPr>
          <w:rFonts w:ascii="Times New Roman" w:hAnsi="Times New Roman" w:cs="Times New Roman"/>
          <w:sz w:val="28"/>
        </w:rPr>
        <w:t>.</w:t>
      </w:r>
    </w:p>
    <w:p w:rsidR="002B0CD9" w:rsidRDefault="000D7FBC" w:rsidP="00677B7E">
      <w:pPr>
        <w:pStyle w:val="ae"/>
        <w:tabs>
          <w:tab w:val="left" w:pos="18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C22C30">
        <w:rPr>
          <w:rFonts w:ascii="Times New Roman" w:hAnsi="Times New Roman" w:cs="Times New Roman"/>
          <w:b/>
          <w:sz w:val="28"/>
        </w:rPr>
        <w:t>Государственное управление и обеспечение военной безопасности; социальное страхование</w:t>
      </w:r>
    </w:p>
    <w:p w:rsidR="000D7FBC" w:rsidRPr="002B0CD9" w:rsidRDefault="00677B7E" w:rsidP="00677B7E">
      <w:pPr>
        <w:pStyle w:val="ae"/>
        <w:tabs>
          <w:tab w:val="left" w:pos="18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Если исключить сезонную и календарную составляющую, то в целом</w:t>
      </w:r>
      <w:r w:rsidRPr="00C22C30">
        <w:rPr>
          <w:rFonts w:ascii="Times New Roman" w:hAnsi="Times New Roman" w:cs="Times New Roman"/>
          <w:sz w:val="28"/>
        </w:rPr>
        <w:t xml:space="preserve"> </w:t>
      </w:r>
      <w:r w:rsidR="000D7FBC" w:rsidRPr="00C22C30">
        <w:rPr>
          <w:rFonts w:ascii="Times New Roman" w:hAnsi="Times New Roman" w:cs="Times New Roman"/>
          <w:sz w:val="28"/>
        </w:rPr>
        <w:t>прирост составил по отношению к предыдущему году -1,08%. Средний прирост за 25 лет составил 5,19%</w:t>
      </w:r>
      <w:r w:rsidR="000D7FBC">
        <w:rPr>
          <w:rFonts w:ascii="Times New Roman" w:hAnsi="Times New Roman" w:cs="Times New Roman"/>
          <w:sz w:val="28"/>
        </w:rPr>
        <w:t>.</w:t>
      </w:r>
    </w:p>
    <w:p w:rsidR="000D7FBC" w:rsidRPr="00C22C30" w:rsidRDefault="000D7FBC" w:rsidP="00677B7E">
      <w:pPr>
        <w:pStyle w:val="ae"/>
        <w:tabs>
          <w:tab w:val="left" w:pos="18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C22C30">
        <w:rPr>
          <w:rFonts w:ascii="Times New Roman" w:hAnsi="Times New Roman" w:cs="Times New Roman"/>
          <w:b/>
          <w:sz w:val="28"/>
        </w:rPr>
        <w:lastRenderedPageBreak/>
        <w:t>Сельское хозяйство</w:t>
      </w:r>
    </w:p>
    <w:p w:rsidR="000D7FBC" w:rsidRPr="00C22C30" w:rsidRDefault="00677B7E" w:rsidP="00677B7E">
      <w:pPr>
        <w:pStyle w:val="ae"/>
        <w:tabs>
          <w:tab w:val="left" w:pos="18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исключить сезонную и календарную составляющую, то в целом</w:t>
      </w:r>
      <w:r w:rsidRPr="00C22C30">
        <w:rPr>
          <w:rFonts w:ascii="Times New Roman" w:hAnsi="Times New Roman" w:cs="Times New Roman"/>
          <w:sz w:val="28"/>
        </w:rPr>
        <w:t xml:space="preserve"> </w:t>
      </w:r>
      <w:r w:rsidR="000D7FBC" w:rsidRPr="00C22C30">
        <w:rPr>
          <w:rFonts w:ascii="Times New Roman" w:hAnsi="Times New Roman" w:cs="Times New Roman"/>
          <w:sz w:val="28"/>
        </w:rPr>
        <w:t>прирост составил по отношению к предыдущему году -2,74%. Средний прирост за 25 лет составил -1,69%</w:t>
      </w:r>
      <w:r w:rsidR="000D7FBC">
        <w:rPr>
          <w:rFonts w:ascii="Times New Roman" w:hAnsi="Times New Roman" w:cs="Times New Roman"/>
          <w:sz w:val="28"/>
        </w:rPr>
        <w:t>.</w:t>
      </w:r>
    </w:p>
    <w:p w:rsidR="000D7FBC" w:rsidRPr="00543C78" w:rsidRDefault="000D7FBC" w:rsidP="00677B7E">
      <w:pPr>
        <w:pStyle w:val="ae"/>
        <w:tabs>
          <w:tab w:val="left" w:pos="18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43C78">
        <w:rPr>
          <w:rFonts w:ascii="Times New Roman" w:hAnsi="Times New Roman" w:cs="Times New Roman"/>
          <w:sz w:val="28"/>
        </w:rPr>
        <w:t xml:space="preserve">Положительную </w:t>
      </w:r>
      <w:r w:rsidR="00677B7E">
        <w:rPr>
          <w:rFonts w:ascii="Times New Roman" w:hAnsi="Times New Roman" w:cs="Times New Roman"/>
          <w:sz w:val="28"/>
        </w:rPr>
        <w:t>динамику показали отрасли промышленности</w:t>
      </w:r>
      <w:r w:rsidRPr="00543C78">
        <w:rPr>
          <w:rFonts w:ascii="Times New Roman" w:hAnsi="Times New Roman" w:cs="Times New Roman"/>
          <w:sz w:val="28"/>
        </w:rPr>
        <w:t>, транспорт</w:t>
      </w:r>
      <w:r w:rsidR="00677B7E">
        <w:rPr>
          <w:rFonts w:ascii="Times New Roman" w:hAnsi="Times New Roman" w:cs="Times New Roman"/>
          <w:sz w:val="28"/>
        </w:rPr>
        <w:t>а и связи</w:t>
      </w:r>
      <w:r w:rsidRPr="00543C78">
        <w:rPr>
          <w:rFonts w:ascii="Times New Roman" w:hAnsi="Times New Roman" w:cs="Times New Roman"/>
          <w:sz w:val="28"/>
        </w:rPr>
        <w:t xml:space="preserve">. </w:t>
      </w:r>
      <w:r w:rsidR="00677B7E">
        <w:rPr>
          <w:rFonts w:ascii="Times New Roman" w:hAnsi="Times New Roman" w:cs="Times New Roman"/>
          <w:sz w:val="28"/>
        </w:rPr>
        <w:t>Также мы можем отметить</w:t>
      </w:r>
      <w:r w:rsidRPr="00543C78">
        <w:rPr>
          <w:rFonts w:ascii="Times New Roman" w:hAnsi="Times New Roman" w:cs="Times New Roman"/>
          <w:sz w:val="28"/>
        </w:rPr>
        <w:t xml:space="preserve"> рост в строительстве, финансовой деятельности, деятельности в области образования, культ</w:t>
      </w:r>
      <w:r>
        <w:rPr>
          <w:rFonts w:ascii="Times New Roman" w:hAnsi="Times New Roman" w:cs="Times New Roman"/>
          <w:sz w:val="28"/>
        </w:rPr>
        <w:t>уры, спорта, организации досуга</w:t>
      </w:r>
      <w:r w:rsidRPr="00543C78">
        <w:rPr>
          <w:rFonts w:ascii="Times New Roman" w:hAnsi="Times New Roman" w:cs="Times New Roman"/>
          <w:sz w:val="28"/>
        </w:rPr>
        <w:t xml:space="preserve">, развлечений и здравоохранения и в торговле. </w:t>
      </w:r>
      <w:r w:rsidR="00BA072F">
        <w:rPr>
          <w:rFonts w:ascii="Times New Roman" w:hAnsi="Times New Roman" w:cs="Times New Roman"/>
          <w:sz w:val="28"/>
        </w:rPr>
        <w:t>Б</w:t>
      </w:r>
      <w:r w:rsidRPr="00543C78">
        <w:rPr>
          <w:rFonts w:ascii="Times New Roman" w:hAnsi="Times New Roman" w:cs="Times New Roman"/>
          <w:sz w:val="28"/>
        </w:rPr>
        <w:t xml:space="preserve">ыл замечен </w:t>
      </w:r>
      <w:r w:rsidR="00BA072F" w:rsidRPr="00543C78">
        <w:rPr>
          <w:rFonts w:ascii="Times New Roman" w:hAnsi="Times New Roman" w:cs="Times New Roman"/>
          <w:sz w:val="28"/>
        </w:rPr>
        <w:t>спад по</w:t>
      </w:r>
      <w:r w:rsidRPr="00543C78">
        <w:rPr>
          <w:rFonts w:ascii="Times New Roman" w:hAnsi="Times New Roman" w:cs="Times New Roman"/>
          <w:sz w:val="28"/>
        </w:rPr>
        <w:t xml:space="preserve"> отношению к остальным </w:t>
      </w:r>
      <w:r w:rsidR="00BA072F">
        <w:rPr>
          <w:rFonts w:ascii="Times New Roman" w:hAnsi="Times New Roman" w:cs="Times New Roman"/>
          <w:sz w:val="28"/>
        </w:rPr>
        <w:t>отрослям</w:t>
      </w:r>
      <w:r w:rsidRPr="00543C78">
        <w:rPr>
          <w:rFonts w:ascii="Times New Roman" w:hAnsi="Times New Roman" w:cs="Times New Roman"/>
          <w:sz w:val="28"/>
        </w:rPr>
        <w:t xml:space="preserve"> в государственном управлении и обеспечении военной </w:t>
      </w:r>
      <w:r w:rsidR="00BA072F" w:rsidRPr="00543C78">
        <w:rPr>
          <w:rFonts w:ascii="Times New Roman" w:hAnsi="Times New Roman" w:cs="Times New Roman"/>
          <w:sz w:val="28"/>
        </w:rPr>
        <w:t>безопасности; социальном</w:t>
      </w:r>
      <w:r w:rsidRPr="00543C78">
        <w:rPr>
          <w:rFonts w:ascii="Times New Roman" w:hAnsi="Times New Roman" w:cs="Times New Roman"/>
          <w:sz w:val="28"/>
        </w:rPr>
        <w:t xml:space="preserve"> страховании, сельском хозяйстве и в деятельности частных, домашних и коммунальных хозяйств.</w:t>
      </w:r>
    </w:p>
    <w:p w:rsidR="000D7FBC" w:rsidRPr="000D7FBC" w:rsidRDefault="00BA072F" w:rsidP="00677B7E">
      <w:pPr>
        <w:tabs>
          <w:tab w:val="left" w:pos="181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="000D7FBC">
        <w:rPr>
          <w:rFonts w:ascii="Times New Roman" w:hAnsi="Times New Roman"/>
          <w:sz w:val="28"/>
        </w:rPr>
        <w:t>ною был составлен динамический ряд ВВП 1992-2017 гг. и</w:t>
      </w:r>
      <w:r w:rsidR="000D7FBC" w:rsidRPr="00543C78">
        <w:rPr>
          <w:rFonts w:ascii="Times New Roman" w:hAnsi="Times New Roman"/>
          <w:sz w:val="28"/>
          <w:szCs w:val="28"/>
        </w:rPr>
        <w:t xml:space="preserve"> </w:t>
      </w:r>
      <w:r w:rsidR="000D7FBC">
        <w:rPr>
          <w:rFonts w:ascii="Times New Roman" w:hAnsi="Times New Roman"/>
          <w:sz w:val="28"/>
        </w:rPr>
        <w:t xml:space="preserve">подсчитан средний </w:t>
      </w:r>
      <w:r w:rsidR="000D7FBC" w:rsidRPr="00543C78">
        <w:rPr>
          <w:rFonts w:ascii="Times New Roman" w:hAnsi="Times New Roman"/>
          <w:sz w:val="28"/>
        </w:rPr>
        <w:t>рост за 25, 10 и</w:t>
      </w:r>
      <w:r w:rsidR="000D7FBC">
        <w:rPr>
          <w:rFonts w:ascii="Times New Roman" w:hAnsi="Times New Roman"/>
          <w:sz w:val="28"/>
        </w:rPr>
        <w:t xml:space="preserve"> 5 лет</w:t>
      </w:r>
      <w:bookmarkStart w:id="0" w:name="_GoBack"/>
      <w:bookmarkEnd w:id="0"/>
      <w:r w:rsidR="000D7FBC">
        <w:rPr>
          <w:rFonts w:ascii="Times New Roman" w:hAnsi="Times New Roman"/>
          <w:sz w:val="28"/>
        </w:rPr>
        <w:t>. Помимо этого, для наиболее полной и объективной оценки экономической ситуации в России была проведена работа в отношении составления динамического ряда денежной массы, инфляции, процентной ставки, валового накопления и валового накопления основного капитала.</w:t>
      </w:r>
    </w:p>
    <w:p w:rsidR="009D2835" w:rsidRPr="0019320E" w:rsidRDefault="00965A82" w:rsidP="00677B7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Состояние Российской экономики сегодня</w:t>
      </w:r>
    </w:p>
    <w:p w:rsidR="00497959" w:rsidRDefault="00BA072F" w:rsidP="00677B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за 2018 г. Россия занимает 11 место в рейтинге стран по мировому значению ВВП, </w:t>
      </w:r>
      <w:r w:rsidR="00965A82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показано</w:t>
      </w:r>
      <w:r w:rsidR="00965A82">
        <w:rPr>
          <w:rFonts w:ascii="Times New Roman" w:hAnsi="Times New Roman"/>
          <w:sz w:val="28"/>
          <w:szCs w:val="28"/>
        </w:rPr>
        <w:t xml:space="preserve"> на рисунке 1. Такое положения нельзя охарактеризовать как поло</w:t>
      </w:r>
      <w:r w:rsidR="00217B61">
        <w:rPr>
          <w:rFonts w:ascii="Times New Roman" w:hAnsi="Times New Roman"/>
          <w:sz w:val="28"/>
          <w:szCs w:val="28"/>
        </w:rPr>
        <w:t>ж</w:t>
      </w:r>
      <w:r w:rsidR="00965A82">
        <w:rPr>
          <w:rFonts w:ascii="Times New Roman" w:hAnsi="Times New Roman"/>
          <w:sz w:val="28"/>
          <w:szCs w:val="28"/>
        </w:rPr>
        <w:t>ительный результат экономической деятельности нашей страны, что так же подтверж</w:t>
      </w:r>
      <w:r w:rsidR="00217B61">
        <w:rPr>
          <w:rFonts w:ascii="Times New Roman" w:hAnsi="Times New Roman"/>
          <w:sz w:val="28"/>
          <w:szCs w:val="28"/>
        </w:rPr>
        <w:t>д</w:t>
      </w:r>
      <w:r w:rsidR="00965A82">
        <w:rPr>
          <w:rFonts w:ascii="Times New Roman" w:hAnsi="Times New Roman"/>
          <w:sz w:val="28"/>
          <w:szCs w:val="28"/>
        </w:rPr>
        <w:t>ается негативным явлением падения доли</w:t>
      </w:r>
      <w:r w:rsidR="00A8451E" w:rsidRPr="0019320E">
        <w:rPr>
          <w:rFonts w:ascii="Times New Roman" w:hAnsi="Times New Roman"/>
          <w:sz w:val="28"/>
          <w:szCs w:val="28"/>
        </w:rPr>
        <w:t xml:space="preserve"> Российской</w:t>
      </w:r>
      <w:r w:rsidR="00965A82">
        <w:rPr>
          <w:rFonts w:ascii="Times New Roman" w:hAnsi="Times New Roman"/>
          <w:sz w:val="28"/>
          <w:szCs w:val="28"/>
        </w:rPr>
        <w:t xml:space="preserve"> Федерации в мировой экономике</w:t>
      </w:r>
      <w:r w:rsidR="00217B61">
        <w:rPr>
          <w:rFonts w:ascii="Times New Roman" w:hAnsi="Times New Roman"/>
          <w:sz w:val="28"/>
          <w:szCs w:val="28"/>
        </w:rPr>
        <w:t xml:space="preserve"> по ВВП</w:t>
      </w:r>
      <w:r w:rsidR="00965A82">
        <w:rPr>
          <w:rFonts w:ascii="Times New Roman" w:hAnsi="Times New Roman"/>
          <w:sz w:val="28"/>
          <w:szCs w:val="28"/>
        </w:rPr>
        <w:t xml:space="preserve"> </w:t>
      </w:r>
      <w:r w:rsidR="00A8451E" w:rsidRPr="0019320E">
        <w:rPr>
          <w:rFonts w:ascii="Times New Roman" w:hAnsi="Times New Roman"/>
          <w:sz w:val="28"/>
          <w:szCs w:val="28"/>
        </w:rPr>
        <w:t>с 2,06%</w:t>
      </w:r>
      <w:r w:rsidR="00965A82">
        <w:rPr>
          <w:rFonts w:ascii="Times New Roman" w:hAnsi="Times New Roman"/>
          <w:sz w:val="28"/>
          <w:szCs w:val="28"/>
        </w:rPr>
        <w:t xml:space="preserve"> (в</w:t>
      </w:r>
      <w:r w:rsidR="00217B61">
        <w:rPr>
          <w:rFonts w:ascii="Times New Roman" w:hAnsi="Times New Roman"/>
          <w:sz w:val="28"/>
          <w:szCs w:val="28"/>
        </w:rPr>
        <w:t xml:space="preserve"> 2014 г.) до 1,97</w:t>
      </w:r>
      <w:r w:rsidR="00965A82">
        <w:rPr>
          <w:rFonts w:ascii="Times New Roman" w:hAnsi="Times New Roman"/>
          <w:sz w:val="28"/>
          <w:szCs w:val="28"/>
        </w:rPr>
        <w:t>%(в 2018 г.</w:t>
      </w:r>
      <w:r w:rsidR="00A8451E" w:rsidRPr="0019320E">
        <w:rPr>
          <w:rFonts w:ascii="Times New Roman" w:hAnsi="Times New Roman"/>
          <w:sz w:val="28"/>
          <w:szCs w:val="28"/>
        </w:rPr>
        <w:t>).</w:t>
      </w:r>
    </w:p>
    <w:p w:rsidR="006F11AF" w:rsidRDefault="006F11AF" w:rsidP="009D2835">
      <w:pPr>
        <w:jc w:val="both"/>
        <w:rPr>
          <w:rFonts w:ascii="Times New Roman" w:hAnsi="Times New Roman"/>
          <w:sz w:val="28"/>
          <w:szCs w:val="28"/>
        </w:rPr>
      </w:pPr>
      <w:r w:rsidRPr="00BA072F">
        <w:rPr>
          <w:rFonts w:ascii="Times New Roman" w:hAnsi="Times New Roman"/>
          <w:noProof/>
          <w:color w:val="2F5496" w:themeColor="accent5" w:themeShade="BF"/>
          <w:sz w:val="28"/>
          <w:szCs w:val="28"/>
          <w:shd w:val="clear" w:color="auto" w:fill="2F5496" w:themeFill="accent5" w:themeFillShade="BF"/>
        </w:rPr>
        <w:lastRenderedPageBreak/>
        <w:drawing>
          <wp:inline distT="0" distB="0" distL="0" distR="0">
            <wp:extent cx="596265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451E" w:rsidRPr="00B935A2" w:rsidRDefault="00217B61" w:rsidP="00B935A2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Рис. 1 – Рейтинг стран в мировой экономике в процентном соотношении по ВВП 2018 г. </w:t>
      </w:r>
      <w:r w:rsidRPr="00217B61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en-US"/>
        </w:rPr>
        <w:t>Statistics</w:t>
      </w:r>
      <w:r w:rsidRPr="00217B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Times</w:t>
      </w:r>
      <w:r>
        <w:rPr>
          <w:rFonts w:ascii="Times New Roman" w:hAnsi="Times New Roman"/>
          <w:sz w:val="28"/>
          <w:szCs w:val="28"/>
        </w:rPr>
        <w:t>.</w:t>
      </w:r>
      <w:r w:rsidRPr="00217B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List</w:t>
      </w:r>
      <w:r w:rsidRPr="00217B6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of Countries </w:t>
      </w:r>
      <w:r w:rsidR="00B935A2">
        <w:rPr>
          <w:rFonts w:ascii="Times New Roman" w:hAnsi="Times New Roman"/>
          <w:sz w:val="28"/>
          <w:szCs w:val="28"/>
          <w:lang w:val="en-US"/>
        </w:rPr>
        <w:t>by Pro</w:t>
      </w:r>
      <w:r>
        <w:rPr>
          <w:rFonts w:ascii="Times New Roman" w:hAnsi="Times New Roman"/>
          <w:sz w:val="28"/>
          <w:szCs w:val="28"/>
          <w:lang w:val="en-US"/>
        </w:rPr>
        <w:t xml:space="preserve">jected </w:t>
      </w:r>
      <w:r w:rsidR="00B935A2">
        <w:rPr>
          <w:rFonts w:ascii="Times New Roman" w:hAnsi="Times New Roman"/>
          <w:sz w:val="28"/>
          <w:szCs w:val="28"/>
          <w:lang w:val="en-US"/>
        </w:rPr>
        <w:t>GDP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17B61">
        <w:rPr>
          <w:rFonts w:ascii="Times New Roman" w:hAnsi="Times New Roman"/>
          <w:sz w:val="28"/>
          <w:szCs w:val="28"/>
          <w:lang w:val="en-US"/>
        </w:rPr>
        <w:t>http://statisticstimes.com/economy/countries-by-projected-gdp.php]</w:t>
      </w:r>
    </w:p>
    <w:p w:rsidR="005851EC" w:rsidRDefault="006A4B24" w:rsidP="005851E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9320E">
        <w:rPr>
          <w:rFonts w:ascii="Times New Roman" w:hAnsi="Times New Roman"/>
          <w:sz w:val="28"/>
          <w:szCs w:val="28"/>
        </w:rPr>
        <w:t>Изменение цен на сырье на внешних рынках приводит к сокращению доходов бюджета, бизнеса, домохозяйств. Сниж</w:t>
      </w:r>
      <w:r w:rsidR="00B935A2">
        <w:rPr>
          <w:rFonts w:ascii="Times New Roman" w:hAnsi="Times New Roman"/>
          <w:sz w:val="28"/>
          <w:szCs w:val="28"/>
        </w:rPr>
        <w:t xml:space="preserve">ается спрос на внутреннем рынке, как следствие, экономическая эффективность падает, что недопустимо в рамках кризиса последних лет. Следовательно, можно сделать вывод о том, что российская экономика требует изменений. </w:t>
      </w:r>
    </w:p>
    <w:p w:rsidR="004C3FA2" w:rsidRPr="004C3FA2" w:rsidRDefault="001D5FB6" w:rsidP="004C3FA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формирования наиболее рациональной концепции развития Российской экономики до 2022 года, по нашему мнению, необходимо обратиться к </w:t>
      </w:r>
      <w:r w:rsidR="00433DC1">
        <w:rPr>
          <w:rFonts w:ascii="Times New Roman" w:hAnsi="Times New Roman"/>
          <w:sz w:val="28"/>
          <w:szCs w:val="28"/>
        </w:rPr>
        <w:t xml:space="preserve">практике </w:t>
      </w:r>
      <w:r w:rsidR="002B0CD9">
        <w:rPr>
          <w:rFonts w:ascii="Times New Roman" w:hAnsi="Times New Roman"/>
          <w:sz w:val="28"/>
          <w:szCs w:val="28"/>
        </w:rPr>
        <w:t>других стран</w:t>
      </w:r>
      <w:r>
        <w:rPr>
          <w:rFonts w:ascii="Times New Roman" w:hAnsi="Times New Roman"/>
          <w:sz w:val="28"/>
          <w:szCs w:val="28"/>
        </w:rPr>
        <w:t xml:space="preserve"> для сопоставления структурных показателей со структурой российской экономики, с целью формирования необходимых коррективов, позволяющих вывести экономику </w:t>
      </w:r>
      <w:r w:rsidRPr="004C3FA2">
        <w:rPr>
          <w:rFonts w:ascii="Times New Roman" w:hAnsi="Times New Roman"/>
          <w:sz w:val="28"/>
          <w:szCs w:val="28"/>
        </w:rPr>
        <w:t xml:space="preserve">России на более благоприятный итог. Обратимся к </w:t>
      </w:r>
      <w:r w:rsidR="002B0CD9">
        <w:rPr>
          <w:rFonts w:ascii="Times New Roman" w:hAnsi="Times New Roman"/>
          <w:sz w:val="28"/>
          <w:szCs w:val="28"/>
        </w:rPr>
        <w:t xml:space="preserve">практике </w:t>
      </w:r>
      <w:r w:rsidR="00BA072F">
        <w:rPr>
          <w:rFonts w:ascii="Times New Roman" w:hAnsi="Times New Roman"/>
          <w:sz w:val="28"/>
          <w:szCs w:val="28"/>
        </w:rPr>
        <w:t>США</w:t>
      </w:r>
      <w:r w:rsidR="003B60AE" w:rsidRPr="004C3FA2">
        <w:rPr>
          <w:rFonts w:ascii="Times New Roman" w:hAnsi="Times New Roman"/>
          <w:sz w:val="28"/>
          <w:szCs w:val="28"/>
        </w:rPr>
        <w:t>.</w:t>
      </w:r>
    </w:p>
    <w:p w:rsidR="003B60AE" w:rsidRPr="004C3FA2" w:rsidRDefault="004C3FA2" w:rsidP="004C3FA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3FA2">
        <w:rPr>
          <w:rFonts w:ascii="Times New Roman" w:hAnsi="Times New Roman"/>
          <w:sz w:val="28"/>
          <w:szCs w:val="28"/>
        </w:rPr>
        <w:t>Сравнительные диаграмм</w:t>
      </w:r>
      <w:r w:rsidR="002B0CD9">
        <w:rPr>
          <w:rFonts w:ascii="Times New Roman" w:hAnsi="Times New Roman"/>
          <w:sz w:val="28"/>
          <w:szCs w:val="28"/>
        </w:rPr>
        <w:t xml:space="preserve">ы структуры экономик России и </w:t>
      </w:r>
      <w:r w:rsidR="00BA072F">
        <w:rPr>
          <w:rFonts w:ascii="Times New Roman" w:hAnsi="Times New Roman"/>
          <w:sz w:val="28"/>
          <w:szCs w:val="28"/>
        </w:rPr>
        <w:t>США</w:t>
      </w:r>
      <w:r w:rsidRPr="004C3FA2">
        <w:rPr>
          <w:rFonts w:ascii="Times New Roman" w:hAnsi="Times New Roman"/>
          <w:sz w:val="28"/>
          <w:szCs w:val="28"/>
        </w:rPr>
        <w:t xml:space="preserve"> приведены ниже:</w:t>
      </w:r>
    </w:p>
    <w:p w:rsidR="001D5FB6" w:rsidRDefault="00BA072F" w:rsidP="002B0CD9">
      <w:pPr>
        <w:pStyle w:val="a3"/>
        <w:jc w:val="center"/>
        <w:rPr>
          <w:sz w:val="28"/>
          <w:szCs w:val="28"/>
        </w:rPr>
      </w:pPr>
      <w:r w:rsidRPr="00BA072F">
        <w:rPr>
          <w:sz w:val="28"/>
          <w:szCs w:val="28"/>
        </w:rPr>
        <w:lastRenderedPageBreak/>
        <w:drawing>
          <wp:inline distT="0" distB="0" distL="0" distR="0" wp14:anchorId="1296A338" wp14:editId="027D1631">
            <wp:extent cx="5886450" cy="37623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35BD1" w:rsidRPr="00512C67" w:rsidRDefault="002B0CD9" w:rsidP="00745044">
      <w:pPr>
        <w:pStyle w:val="a3"/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2 – Структура экономики </w:t>
      </w:r>
      <w:r w:rsidR="00BA072F">
        <w:rPr>
          <w:sz w:val="28"/>
          <w:szCs w:val="28"/>
        </w:rPr>
        <w:t>США</w:t>
      </w:r>
    </w:p>
    <w:p w:rsidR="00535BD1" w:rsidRDefault="00535BD1" w:rsidP="003B60AE">
      <w:pPr>
        <w:pStyle w:val="a3"/>
        <w:jc w:val="both"/>
        <w:rPr>
          <w:sz w:val="28"/>
          <w:szCs w:val="28"/>
        </w:rPr>
      </w:pPr>
    </w:p>
    <w:p w:rsidR="004C3FA2" w:rsidRDefault="004C3FA2" w:rsidP="003B60AE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792" cy="4157980"/>
            <wp:effectExtent l="0" t="0" r="18415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35BD1" w:rsidRDefault="00535BD1" w:rsidP="00745044">
      <w:pPr>
        <w:pStyle w:val="a3"/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Рис. 3 – Структура экономики России</w:t>
      </w:r>
    </w:p>
    <w:p w:rsidR="00745044" w:rsidRDefault="00DF24DB" w:rsidP="00745044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имеющихся данных, </w:t>
      </w:r>
      <w:r w:rsidR="00BA072F">
        <w:rPr>
          <w:sz w:val="28"/>
          <w:szCs w:val="28"/>
        </w:rPr>
        <w:t>можно</w:t>
      </w:r>
      <w:r>
        <w:rPr>
          <w:sz w:val="28"/>
          <w:szCs w:val="28"/>
        </w:rPr>
        <w:t xml:space="preserve"> сделать следующие выводы:</w:t>
      </w:r>
    </w:p>
    <w:p w:rsidR="00BA072F" w:rsidRPr="00BA072F" w:rsidRDefault="00BA072F" w:rsidP="00BA072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A072F">
        <w:rPr>
          <w:sz w:val="28"/>
          <w:szCs w:val="28"/>
        </w:rPr>
        <w:t xml:space="preserve">Как видно из диаграммы доли отраслей ВВП США и России сильно отличаются, существенные различия в социальном секторе, секторах гос.управления и сельского хозяйства. </w:t>
      </w:r>
    </w:p>
    <w:p w:rsidR="00BA072F" w:rsidRPr="00BA072F" w:rsidRDefault="00BA072F" w:rsidP="00BA072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A072F">
        <w:rPr>
          <w:sz w:val="28"/>
          <w:szCs w:val="28"/>
        </w:rPr>
        <w:t>Таким образом, целесообразно будет значительно сократить сектора строительства, гос. Управления и промышленности. За счет этого мы сможем увеличить другие отрасли.</w:t>
      </w:r>
    </w:p>
    <w:p w:rsidR="00BA072F" w:rsidRPr="00BA072F" w:rsidRDefault="00BA072F" w:rsidP="00BA072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A072F">
        <w:rPr>
          <w:sz w:val="28"/>
          <w:szCs w:val="28"/>
        </w:rPr>
        <w:t>Доля транспортной отрасли также велика в сравнении с экономикой США. Но важно отметить, что в России данная отрасль включает в себя также связь, которая требует увеличения. Соответственно, вся отрасль «транспорт и связь» требует увеличения.</w:t>
      </w:r>
    </w:p>
    <w:p w:rsidR="004A2F55" w:rsidRDefault="00BA072F" w:rsidP="00BA072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Также</w:t>
      </w:r>
      <w:r w:rsidRPr="00BA072F">
        <w:rPr>
          <w:sz w:val="28"/>
          <w:szCs w:val="28"/>
        </w:rPr>
        <w:t xml:space="preserve">, на мой взгляд, хоть финансовый сектор велик, но стоит его увеличить, а конкретно увеличить подотрасль «Деятельность профессиональная, научная и техническая». </w:t>
      </w:r>
      <w:r w:rsidR="004A2F55">
        <w:rPr>
          <w:sz w:val="28"/>
          <w:szCs w:val="28"/>
        </w:rPr>
        <w:t>На основании данных заключений составим концепцию экономическо</w:t>
      </w:r>
      <w:r w:rsidR="00023A81">
        <w:rPr>
          <w:sz w:val="28"/>
          <w:szCs w:val="28"/>
        </w:rPr>
        <w:t>го развития России до 202</w:t>
      </w:r>
      <w:r w:rsidR="00512C67">
        <w:rPr>
          <w:sz w:val="28"/>
          <w:szCs w:val="28"/>
        </w:rPr>
        <w:t>2</w:t>
      </w:r>
      <w:r w:rsidR="00023A81">
        <w:rPr>
          <w:sz w:val="28"/>
          <w:szCs w:val="28"/>
        </w:rPr>
        <w:t xml:space="preserve"> года:</w:t>
      </w:r>
    </w:p>
    <w:p w:rsidR="00023A81" w:rsidRDefault="00535BD1" w:rsidP="004A2F55">
      <w:pPr>
        <w:pStyle w:val="a3"/>
        <w:spacing w:line="360" w:lineRule="auto"/>
        <w:ind w:firstLine="709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>Таблица 1 – Концепция экономического развития России до 2022 г.</w:t>
      </w:r>
      <w:r w:rsidR="00023A81">
        <w:rPr>
          <w:sz w:val="28"/>
          <w:szCs w:val="28"/>
        </w:rPr>
        <w:fldChar w:fldCharType="begin"/>
      </w:r>
      <w:r w:rsidR="00023A81">
        <w:rPr>
          <w:sz w:val="28"/>
          <w:szCs w:val="28"/>
        </w:rPr>
        <w:instrText xml:space="preserve"> LINK Excel.Sheet.12 "C:\\Users\\Анастисия\\Desktop\\Универ\\Сидоров\\прогноз\\прогноз_Чернова.xlsx" "Изменения %!R1C1:R28C3" \a \f 5 \h  \* MERGEFORMAT </w:instrText>
      </w:r>
      <w:r w:rsidR="00023A81">
        <w:rPr>
          <w:sz w:val="28"/>
          <w:szCs w:val="28"/>
        </w:rPr>
        <w:fldChar w:fldCharType="separate"/>
      </w:r>
    </w:p>
    <w:p w:rsidR="00745044" w:rsidRDefault="00023A81" w:rsidP="004A2F55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5524"/>
        <w:gridCol w:w="1975"/>
        <w:gridCol w:w="1852"/>
      </w:tblGrid>
      <w:tr w:rsidR="00745044" w:rsidRPr="00745044" w:rsidTr="00D27127">
        <w:trPr>
          <w:trHeight w:val="300"/>
        </w:trPr>
        <w:tc>
          <w:tcPr>
            <w:tcW w:w="5524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745044">
              <w:rPr>
                <w:sz w:val="28"/>
                <w:szCs w:val="28"/>
              </w:rPr>
              <w:t> </w:t>
            </w:r>
          </w:p>
        </w:tc>
        <w:tc>
          <w:tcPr>
            <w:tcW w:w="1975" w:type="dxa"/>
            <w:noWrap/>
            <w:hideMark/>
          </w:tcPr>
          <w:p w:rsidR="00745044" w:rsidRPr="00745044" w:rsidRDefault="00745044" w:rsidP="00D27127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745044">
              <w:rPr>
                <w:sz w:val="28"/>
                <w:szCs w:val="28"/>
              </w:rPr>
              <w:t>%  от ВВП</w:t>
            </w:r>
          </w:p>
        </w:tc>
        <w:tc>
          <w:tcPr>
            <w:tcW w:w="1852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745044">
              <w:rPr>
                <w:sz w:val="28"/>
                <w:szCs w:val="28"/>
              </w:rPr>
              <w:t>планируемый % от ВВП</w:t>
            </w:r>
          </w:p>
        </w:tc>
      </w:tr>
      <w:tr w:rsidR="00745044" w:rsidRPr="00745044" w:rsidTr="00D27127">
        <w:trPr>
          <w:trHeight w:val="300"/>
        </w:trPr>
        <w:tc>
          <w:tcPr>
            <w:tcW w:w="5524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745044">
              <w:rPr>
                <w:sz w:val="28"/>
                <w:szCs w:val="28"/>
              </w:rPr>
              <w:t>ВВП</w:t>
            </w:r>
          </w:p>
        </w:tc>
        <w:tc>
          <w:tcPr>
            <w:tcW w:w="1975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87588,78</w:t>
            </w:r>
          </w:p>
        </w:tc>
        <w:tc>
          <w:tcPr>
            <w:tcW w:w="1852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745044">
              <w:rPr>
                <w:sz w:val="28"/>
                <w:szCs w:val="28"/>
              </w:rPr>
              <w:t> </w:t>
            </w:r>
          </w:p>
        </w:tc>
      </w:tr>
      <w:tr w:rsidR="00745044" w:rsidRPr="00745044" w:rsidTr="00D27127">
        <w:trPr>
          <w:trHeight w:val="982"/>
        </w:trPr>
        <w:tc>
          <w:tcPr>
            <w:tcW w:w="5524" w:type="dxa"/>
            <w:hideMark/>
          </w:tcPr>
          <w:p w:rsidR="00745044" w:rsidRPr="00DE6897" w:rsidRDefault="00745044" w:rsidP="00DE6897">
            <w:pPr>
              <w:pStyle w:val="a3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DE6897">
              <w:rPr>
                <w:b/>
                <w:sz w:val="28"/>
                <w:szCs w:val="28"/>
              </w:rPr>
              <w:t>Сельское, лесное хозяйство, охота, рыболовство и рыбоводство</w:t>
            </w:r>
          </w:p>
        </w:tc>
        <w:tc>
          <w:tcPr>
            <w:tcW w:w="1975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4,2</w:t>
            </w:r>
          </w:p>
        </w:tc>
        <w:tc>
          <w:tcPr>
            <w:tcW w:w="1852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DE6897">
              <w:rPr>
                <w:b/>
                <w:bCs/>
                <w:color w:val="FF0000"/>
                <w:sz w:val="28"/>
                <w:szCs w:val="28"/>
              </w:rPr>
              <w:t>3,5</w:t>
            </w:r>
          </w:p>
        </w:tc>
      </w:tr>
      <w:tr w:rsidR="00745044" w:rsidRPr="00745044" w:rsidTr="00D27127">
        <w:trPr>
          <w:trHeight w:val="510"/>
        </w:trPr>
        <w:tc>
          <w:tcPr>
            <w:tcW w:w="5524" w:type="dxa"/>
            <w:hideMark/>
          </w:tcPr>
          <w:p w:rsidR="00745044" w:rsidRPr="00DE6897" w:rsidRDefault="00745044" w:rsidP="00DE6897">
            <w:pPr>
              <w:pStyle w:val="a3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DE6897">
              <w:rPr>
                <w:b/>
                <w:sz w:val="28"/>
                <w:szCs w:val="28"/>
              </w:rPr>
              <w:t>Промышленность</w:t>
            </w:r>
          </w:p>
        </w:tc>
        <w:tc>
          <w:tcPr>
            <w:tcW w:w="1975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23,8</w:t>
            </w:r>
          </w:p>
        </w:tc>
        <w:tc>
          <w:tcPr>
            <w:tcW w:w="1852" w:type="dxa"/>
            <w:noWrap/>
            <w:hideMark/>
          </w:tcPr>
          <w:p w:rsidR="00745044" w:rsidRPr="00745044" w:rsidRDefault="00BA072F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166436">
              <w:rPr>
                <w:b/>
                <w:bCs/>
                <w:color w:val="FF0000"/>
                <w:sz w:val="28"/>
                <w:szCs w:val="28"/>
              </w:rPr>
              <w:t>21</w:t>
            </w:r>
            <w:r w:rsidR="00745044" w:rsidRPr="00166436">
              <w:rPr>
                <w:b/>
                <w:bCs/>
                <w:color w:val="FF0000"/>
                <w:sz w:val="28"/>
                <w:szCs w:val="28"/>
              </w:rPr>
              <w:t>,</w:t>
            </w:r>
            <w:r w:rsidRPr="00166436"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  <w:tr w:rsidR="00745044" w:rsidRPr="00745044" w:rsidTr="00D27127">
        <w:trPr>
          <w:trHeight w:val="698"/>
        </w:trPr>
        <w:tc>
          <w:tcPr>
            <w:tcW w:w="5524" w:type="dxa"/>
            <w:hideMark/>
          </w:tcPr>
          <w:p w:rsidR="00745044" w:rsidRPr="00745044" w:rsidRDefault="00745044" w:rsidP="00DE6897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745044">
              <w:rPr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975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9,8</w:t>
            </w:r>
          </w:p>
        </w:tc>
        <w:tc>
          <w:tcPr>
            <w:tcW w:w="1852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9,8</w:t>
            </w:r>
          </w:p>
        </w:tc>
      </w:tr>
      <w:tr w:rsidR="00745044" w:rsidRPr="00745044" w:rsidTr="00D27127">
        <w:trPr>
          <w:trHeight w:val="552"/>
        </w:trPr>
        <w:tc>
          <w:tcPr>
            <w:tcW w:w="5524" w:type="dxa"/>
            <w:hideMark/>
          </w:tcPr>
          <w:p w:rsidR="00745044" w:rsidRPr="00745044" w:rsidRDefault="00745044" w:rsidP="00DE6897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745044">
              <w:rPr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975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10,8</w:t>
            </w:r>
          </w:p>
        </w:tc>
        <w:tc>
          <w:tcPr>
            <w:tcW w:w="1852" w:type="dxa"/>
            <w:noWrap/>
            <w:hideMark/>
          </w:tcPr>
          <w:p w:rsidR="00745044" w:rsidRPr="00166436" w:rsidRDefault="00166436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8,6</w:t>
            </w:r>
          </w:p>
        </w:tc>
      </w:tr>
      <w:tr w:rsidR="00745044" w:rsidRPr="00745044" w:rsidTr="00D27127">
        <w:trPr>
          <w:trHeight w:val="1112"/>
        </w:trPr>
        <w:tc>
          <w:tcPr>
            <w:tcW w:w="5524" w:type="dxa"/>
            <w:hideMark/>
          </w:tcPr>
          <w:p w:rsidR="00745044" w:rsidRPr="00745044" w:rsidRDefault="00745044" w:rsidP="00DE6897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745044">
              <w:rPr>
                <w:sz w:val="28"/>
                <w:szCs w:val="2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975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2,7</w:t>
            </w:r>
          </w:p>
        </w:tc>
        <w:tc>
          <w:tcPr>
            <w:tcW w:w="1852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2,</w:t>
            </w:r>
            <w:r w:rsidR="00C1384B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745044" w:rsidRPr="00745044" w:rsidTr="00D27127">
        <w:trPr>
          <w:trHeight w:val="1426"/>
        </w:trPr>
        <w:tc>
          <w:tcPr>
            <w:tcW w:w="5524" w:type="dxa"/>
            <w:hideMark/>
          </w:tcPr>
          <w:p w:rsidR="00745044" w:rsidRPr="00745044" w:rsidRDefault="00745044" w:rsidP="00DE6897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745044">
              <w:rPr>
                <w:sz w:val="28"/>
                <w:szCs w:val="28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975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852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0,</w:t>
            </w:r>
            <w:r w:rsidR="00C1384B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45044" w:rsidRPr="00745044" w:rsidTr="00D27127">
        <w:trPr>
          <w:trHeight w:val="510"/>
        </w:trPr>
        <w:tc>
          <w:tcPr>
            <w:tcW w:w="5524" w:type="dxa"/>
            <w:hideMark/>
          </w:tcPr>
          <w:p w:rsidR="00745044" w:rsidRPr="00DE6897" w:rsidRDefault="00745044" w:rsidP="00DE6897">
            <w:pPr>
              <w:pStyle w:val="a3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DE6897">
              <w:rPr>
                <w:b/>
                <w:sz w:val="28"/>
                <w:szCs w:val="28"/>
              </w:rPr>
              <w:t>Строительство</w:t>
            </w:r>
          </w:p>
        </w:tc>
        <w:tc>
          <w:tcPr>
            <w:tcW w:w="1975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6,0</w:t>
            </w:r>
          </w:p>
        </w:tc>
        <w:tc>
          <w:tcPr>
            <w:tcW w:w="1852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C1384B">
              <w:rPr>
                <w:b/>
                <w:bCs/>
                <w:color w:val="FF0000"/>
                <w:sz w:val="28"/>
                <w:szCs w:val="28"/>
              </w:rPr>
              <w:t>5,3</w:t>
            </w:r>
          </w:p>
        </w:tc>
      </w:tr>
      <w:tr w:rsidR="00745044" w:rsidRPr="00745044" w:rsidTr="00D27127">
        <w:trPr>
          <w:trHeight w:val="1042"/>
        </w:trPr>
        <w:tc>
          <w:tcPr>
            <w:tcW w:w="5524" w:type="dxa"/>
            <w:hideMark/>
          </w:tcPr>
          <w:p w:rsidR="00745044" w:rsidRPr="00DE6897" w:rsidRDefault="00745044" w:rsidP="00DE6897">
            <w:pPr>
              <w:pStyle w:val="a3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DE6897">
              <w:rPr>
                <w:b/>
                <w:sz w:val="28"/>
                <w:szCs w:val="28"/>
              </w:rPr>
              <w:t>Торговля, общественное питание и заготовки</w:t>
            </w:r>
          </w:p>
        </w:tc>
        <w:tc>
          <w:tcPr>
            <w:tcW w:w="1975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14,5</w:t>
            </w:r>
          </w:p>
        </w:tc>
        <w:tc>
          <w:tcPr>
            <w:tcW w:w="1852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14,5</w:t>
            </w:r>
          </w:p>
        </w:tc>
      </w:tr>
      <w:tr w:rsidR="00745044" w:rsidRPr="00745044" w:rsidTr="00D27127">
        <w:trPr>
          <w:trHeight w:val="930"/>
        </w:trPr>
        <w:tc>
          <w:tcPr>
            <w:tcW w:w="5524" w:type="dxa"/>
            <w:hideMark/>
          </w:tcPr>
          <w:p w:rsidR="00745044" w:rsidRPr="00745044" w:rsidRDefault="00745044" w:rsidP="00DE6897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745044">
              <w:rPr>
                <w:sz w:val="28"/>
                <w:szCs w:val="2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975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13,7</w:t>
            </w:r>
          </w:p>
        </w:tc>
        <w:tc>
          <w:tcPr>
            <w:tcW w:w="1852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13,7</w:t>
            </w:r>
          </w:p>
        </w:tc>
      </w:tr>
      <w:tr w:rsidR="00745044" w:rsidRPr="00745044" w:rsidTr="00D27127">
        <w:trPr>
          <w:trHeight w:val="944"/>
        </w:trPr>
        <w:tc>
          <w:tcPr>
            <w:tcW w:w="5524" w:type="dxa"/>
            <w:hideMark/>
          </w:tcPr>
          <w:p w:rsidR="00745044" w:rsidRPr="00745044" w:rsidRDefault="00745044" w:rsidP="00DE6897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745044">
              <w:rPr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  <w:tc>
          <w:tcPr>
            <w:tcW w:w="1975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0,8</w:t>
            </w:r>
          </w:p>
        </w:tc>
        <w:tc>
          <w:tcPr>
            <w:tcW w:w="1852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0,8</w:t>
            </w:r>
          </w:p>
        </w:tc>
      </w:tr>
      <w:tr w:rsidR="00745044" w:rsidRPr="00745044" w:rsidTr="00D27127">
        <w:trPr>
          <w:trHeight w:val="510"/>
        </w:trPr>
        <w:tc>
          <w:tcPr>
            <w:tcW w:w="5524" w:type="dxa"/>
            <w:hideMark/>
          </w:tcPr>
          <w:p w:rsidR="00745044" w:rsidRPr="00DE6897" w:rsidRDefault="00745044" w:rsidP="00DE6897">
            <w:pPr>
              <w:pStyle w:val="a3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DE6897">
              <w:rPr>
                <w:b/>
                <w:sz w:val="28"/>
                <w:szCs w:val="28"/>
              </w:rPr>
              <w:t>Транспорт и связь</w:t>
            </w:r>
          </w:p>
        </w:tc>
        <w:tc>
          <w:tcPr>
            <w:tcW w:w="1975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8,9</w:t>
            </w:r>
          </w:p>
        </w:tc>
        <w:tc>
          <w:tcPr>
            <w:tcW w:w="1852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DE6897">
              <w:rPr>
                <w:b/>
                <w:bCs/>
                <w:color w:val="FF0000"/>
                <w:sz w:val="28"/>
                <w:szCs w:val="28"/>
              </w:rPr>
              <w:t>9,5</w:t>
            </w:r>
          </w:p>
        </w:tc>
      </w:tr>
      <w:tr w:rsidR="00745044" w:rsidRPr="00745044" w:rsidTr="00D27127">
        <w:trPr>
          <w:trHeight w:val="607"/>
        </w:trPr>
        <w:tc>
          <w:tcPr>
            <w:tcW w:w="5524" w:type="dxa"/>
            <w:hideMark/>
          </w:tcPr>
          <w:p w:rsidR="00745044" w:rsidRPr="00745044" w:rsidRDefault="00745044" w:rsidP="00DE6897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745044">
              <w:rPr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1975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6,6</w:t>
            </w:r>
          </w:p>
        </w:tc>
        <w:tc>
          <w:tcPr>
            <w:tcW w:w="1852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6,6</w:t>
            </w:r>
          </w:p>
        </w:tc>
      </w:tr>
      <w:tr w:rsidR="00745044" w:rsidRPr="00745044" w:rsidTr="00D27127">
        <w:trPr>
          <w:trHeight w:val="985"/>
        </w:trPr>
        <w:tc>
          <w:tcPr>
            <w:tcW w:w="5524" w:type="dxa"/>
            <w:hideMark/>
          </w:tcPr>
          <w:p w:rsidR="00745044" w:rsidRPr="00745044" w:rsidRDefault="00745044" w:rsidP="00DE6897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745044">
              <w:rPr>
                <w:sz w:val="28"/>
                <w:szCs w:val="28"/>
              </w:rPr>
              <w:t>Деятельность в области информации и связи</w:t>
            </w:r>
          </w:p>
        </w:tc>
        <w:tc>
          <w:tcPr>
            <w:tcW w:w="1975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2,2</w:t>
            </w:r>
          </w:p>
        </w:tc>
        <w:tc>
          <w:tcPr>
            <w:tcW w:w="1852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DE6897">
              <w:rPr>
                <w:b/>
                <w:bCs/>
                <w:color w:val="FF0000"/>
                <w:sz w:val="28"/>
                <w:szCs w:val="28"/>
              </w:rPr>
              <w:t>2,9</w:t>
            </w:r>
          </w:p>
        </w:tc>
      </w:tr>
      <w:tr w:rsidR="00745044" w:rsidRPr="00745044" w:rsidTr="00D27127">
        <w:trPr>
          <w:trHeight w:val="1516"/>
        </w:trPr>
        <w:tc>
          <w:tcPr>
            <w:tcW w:w="5524" w:type="dxa"/>
            <w:hideMark/>
          </w:tcPr>
          <w:p w:rsidR="00745044" w:rsidRPr="00DE6897" w:rsidRDefault="00745044" w:rsidP="00DE6897">
            <w:pPr>
              <w:pStyle w:val="a3"/>
              <w:spacing w:line="360" w:lineRule="auto"/>
              <w:contextualSpacing/>
              <w:rPr>
                <w:b/>
                <w:bCs/>
                <w:sz w:val="28"/>
                <w:szCs w:val="28"/>
              </w:rPr>
            </w:pPr>
            <w:r w:rsidRPr="00DE6897">
              <w:rPr>
                <w:b/>
                <w:bCs/>
                <w:sz w:val="28"/>
                <w:szCs w:val="28"/>
              </w:rPr>
              <w:t>Финансовая деятельность и операции с недвижимым имуществом, аренда и предоставление услуг</w:t>
            </w:r>
          </w:p>
        </w:tc>
        <w:tc>
          <w:tcPr>
            <w:tcW w:w="1975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18,4</w:t>
            </w:r>
          </w:p>
        </w:tc>
        <w:tc>
          <w:tcPr>
            <w:tcW w:w="1852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DE6897">
              <w:rPr>
                <w:b/>
                <w:bCs/>
                <w:color w:val="FF0000"/>
                <w:sz w:val="28"/>
                <w:szCs w:val="28"/>
              </w:rPr>
              <w:t>19,6</w:t>
            </w:r>
          </w:p>
        </w:tc>
      </w:tr>
      <w:tr w:rsidR="00745044" w:rsidRPr="00745044" w:rsidTr="00D27127">
        <w:trPr>
          <w:trHeight w:val="559"/>
        </w:trPr>
        <w:tc>
          <w:tcPr>
            <w:tcW w:w="5524" w:type="dxa"/>
            <w:hideMark/>
          </w:tcPr>
          <w:p w:rsidR="00745044" w:rsidRPr="00745044" w:rsidRDefault="00745044" w:rsidP="00DE6897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745044">
              <w:rPr>
                <w:sz w:val="28"/>
                <w:szCs w:val="28"/>
              </w:rPr>
              <w:t>Деятельность финансовая и страховая</w:t>
            </w:r>
          </w:p>
        </w:tc>
        <w:tc>
          <w:tcPr>
            <w:tcW w:w="1975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1852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4,0</w:t>
            </w:r>
          </w:p>
        </w:tc>
      </w:tr>
      <w:tr w:rsidR="00745044" w:rsidRPr="00745044" w:rsidTr="00D27127">
        <w:trPr>
          <w:trHeight w:val="1004"/>
        </w:trPr>
        <w:tc>
          <w:tcPr>
            <w:tcW w:w="5524" w:type="dxa"/>
            <w:hideMark/>
          </w:tcPr>
          <w:p w:rsidR="00745044" w:rsidRPr="00745044" w:rsidRDefault="00745044" w:rsidP="00DE6897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745044">
              <w:rPr>
                <w:sz w:val="28"/>
                <w:szCs w:val="28"/>
              </w:rPr>
              <w:t>Деятельность по операциям с недвижимым имуществом</w:t>
            </w:r>
          </w:p>
        </w:tc>
        <w:tc>
          <w:tcPr>
            <w:tcW w:w="1975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9,3</w:t>
            </w:r>
          </w:p>
        </w:tc>
        <w:tc>
          <w:tcPr>
            <w:tcW w:w="1852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9,3</w:t>
            </w:r>
          </w:p>
        </w:tc>
      </w:tr>
      <w:tr w:rsidR="00745044" w:rsidRPr="00745044" w:rsidTr="00D27127">
        <w:trPr>
          <w:trHeight w:val="1619"/>
        </w:trPr>
        <w:tc>
          <w:tcPr>
            <w:tcW w:w="5524" w:type="dxa"/>
            <w:hideMark/>
          </w:tcPr>
          <w:p w:rsidR="00745044" w:rsidRPr="00745044" w:rsidRDefault="00745044" w:rsidP="00DE6897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745044">
              <w:rPr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1975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1852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DE6897">
              <w:rPr>
                <w:b/>
                <w:bCs/>
                <w:color w:val="FF0000"/>
                <w:sz w:val="28"/>
                <w:szCs w:val="28"/>
              </w:rPr>
              <w:t>5,8</w:t>
            </w:r>
          </w:p>
        </w:tc>
      </w:tr>
      <w:tr w:rsidR="00745044" w:rsidRPr="00745044" w:rsidTr="00D27127">
        <w:trPr>
          <w:trHeight w:val="557"/>
        </w:trPr>
        <w:tc>
          <w:tcPr>
            <w:tcW w:w="5524" w:type="dxa"/>
            <w:hideMark/>
          </w:tcPr>
          <w:p w:rsidR="00745044" w:rsidRPr="00745044" w:rsidRDefault="00745044" w:rsidP="00DE6897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745044">
              <w:rPr>
                <w:sz w:val="28"/>
                <w:szCs w:val="28"/>
              </w:rPr>
              <w:t>Предоставление прочих видов услуг</w:t>
            </w:r>
          </w:p>
        </w:tc>
        <w:tc>
          <w:tcPr>
            <w:tcW w:w="1975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852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0,5</w:t>
            </w:r>
          </w:p>
        </w:tc>
      </w:tr>
      <w:tr w:rsidR="00745044" w:rsidRPr="00745044" w:rsidTr="00D27127">
        <w:trPr>
          <w:trHeight w:val="1543"/>
        </w:trPr>
        <w:tc>
          <w:tcPr>
            <w:tcW w:w="5524" w:type="dxa"/>
            <w:hideMark/>
          </w:tcPr>
          <w:p w:rsidR="00745044" w:rsidRPr="00DE6897" w:rsidRDefault="00745044" w:rsidP="00DE6897">
            <w:pPr>
              <w:pStyle w:val="a3"/>
              <w:spacing w:line="360" w:lineRule="auto"/>
              <w:contextualSpacing/>
              <w:rPr>
                <w:b/>
                <w:bCs/>
                <w:sz w:val="28"/>
                <w:szCs w:val="28"/>
              </w:rPr>
            </w:pPr>
            <w:r w:rsidRPr="00DE6897">
              <w:rPr>
                <w:b/>
                <w:bCs/>
                <w:sz w:val="28"/>
                <w:szCs w:val="28"/>
              </w:rPr>
              <w:t>Деятельность в области образования, культуры, спорта, организации досуга , развлечений и здравохранение</w:t>
            </w:r>
          </w:p>
        </w:tc>
        <w:tc>
          <w:tcPr>
            <w:tcW w:w="1975" w:type="dxa"/>
            <w:noWrap/>
            <w:hideMark/>
          </w:tcPr>
          <w:p w:rsidR="00745044" w:rsidRPr="00745044" w:rsidRDefault="00166436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9,2</w:t>
            </w:r>
          </w:p>
        </w:tc>
        <w:tc>
          <w:tcPr>
            <w:tcW w:w="1852" w:type="dxa"/>
            <w:noWrap/>
            <w:hideMark/>
          </w:tcPr>
          <w:p w:rsidR="00745044" w:rsidRPr="00745044" w:rsidRDefault="00166436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166436">
              <w:rPr>
                <w:b/>
                <w:bCs/>
                <w:color w:val="FF0000"/>
                <w:sz w:val="28"/>
                <w:szCs w:val="28"/>
              </w:rPr>
              <w:t>10,6</w:t>
            </w:r>
          </w:p>
        </w:tc>
      </w:tr>
      <w:tr w:rsidR="00745044" w:rsidRPr="00745044" w:rsidTr="00D27127">
        <w:trPr>
          <w:trHeight w:val="510"/>
        </w:trPr>
        <w:tc>
          <w:tcPr>
            <w:tcW w:w="5524" w:type="dxa"/>
            <w:hideMark/>
          </w:tcPr>
          <w:p w:rsidR="00745044" w:rsidRPr="00745044" w:rsidRDefault="00745044" w:rsidP="00DE6897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745044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75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2,4</w:t>
            </w:r>
          </w:p>
        </w:tc>
        <w:tc>
          <w:tcPr>
            <w:tcW w:w="1852" w:type="dxa"/>
            <w:noWrap/>
            <w:hideMark/>
          </w:tcPr>
          <w:p w:rsidR="00745044" w:rsidRPr="00745044" w:rsidRDefault="00166436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3,1</w:t>
            </w:r>
          </w:p>
        </w:tc>
      </w:tr>
      <w:tr w:rsidR="00745044" w:rsidRPr="00745044" w:rsidTr="00D27127">
        <w:trPr>
          <w:trHeight w:val="1040"/>
        </w:trPr>
        <w:tc>
          <w:tcPr>
            <w:tcW w:w="5524" w:type="dxa"/>
            <w:hideMark/>
          </w:tcPr>
          <w:p w:rsidR="00745044" w:rsidRPr="00745044" w:rsidRDefault="00745044" w:rsidP="00DE6897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745044">
              <w:rPr>
                <w:sz w:val="28"/>
                <w:szCs w:val="28"/>
              </w:rPr>
              <w:lastRenderedPageBreak/>
              <w:t>Деятельность в области культуры, спорта, организации досуга и развлечений</w:t>
            </w:r>
          </w:p>
        </w:tc>
        <w:tc>
          <w:tcPr>
            <w:tcW w:w="1975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0,9</w:t>
            </w:r>
          </w:p>
        </w:tc>
        <w:tc>
          <w:tcPr>
            <w:tcW w:w="1852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0,9</w:t>
            </w:r>
          </w:p>
        </w:tc>
      </w:tr>
      <w:tr w:rsidR="00745044" w:rsidRPr="00745044" w:rsidTr="00D27127">
        <w:trPr>
          <w:trHeight w:val="1066"/>
        </w:trPr>
        <w:tc>
          <w:tcPr>
            <w:tcW w:w="5524" w:type="dxa"/>
            <w:hideMark/>
          </w:tcPr>
          <w:p w:rsidR="00745044" w:rsidRPr="00745044" w:rsidRDefault="00745044" w:rsidP="00DE6897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745044">
              <w:rPr>
                <w:sz w:val="28"/>
                <w:szCs w:val="28"/>
              </w:rPr>
              <w:t>Деятельность в области здравоохранения и социальных услуг</w:t>
            </w:r>
          </w:p>
        </w:tc>
        <w:tc>
          <w:tcPr>
            <w:tcW w:w="1975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3,5</w:t>
            </w:r>
          </w:p>
        </w:tc>
        <w:tc>
          <w:tcPr>
            <w:tcW w:w="1852" w:type="dxa"/>
            <w:noWrap/>
            <w:hideMark/>
          </w:tcPr>
          <w:p w:rsidR="00745044" w:rsidRPr="00745044" w:rsidRDefault="00166436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4,2</w:t>
            </w:r>
          </w:p>
        </w:tc>
      </w:tr>
      <w:tr w:rsidR="00745044" w:rsidRPr="00745044" w:rsidTr="00D27127">
        <w:trPr>
          <w:trHeight w:val="1056"/>
        </w:trPr>
        <w:tc>
          <w:tcPr>
            <w:tcW w:w="5524" w:type="dxa"/>
            <w:hideMark/>
          </w:tcPr>
          <w:p w:rsidR="00745044" w:rsidRPr="00745044" w:rsidRDefault="00745044" w:rsidP="00DE6897">
            <w:pPr>
              <w:pStyle w:val="a3"/>
              <w:spacing w:line="360" w:lineRule="auto"/>
              <w:contextualSpacing/>
              <w:rPr>
                <w:sz w:val="28"/>
                <w:szCs w:val="28"/>
              </w:rPr>
            </w:pPr>
            <w:r w:rsidRPr="00745044">
              <w:rPr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975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2,4</w:t>
            </w:r>
          </w:p>
        </w:tc>
        <w:tc>
          <w:tcPr>
            <w:tcW w:w="1852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2,4</w:t>
            </w:r>
          </w:p>
        </w:tc>
      </w:tr>
      <w:tr w:rsidR="00745044" w:rsidRPr="00745044" w:rsidTr="00D27127">
        <w:trPr>
          <w:trHeight w:val="1554"/>
        </w:trPr>
        <w:tc>
          <w:tcPr>
            <w:tcW w:w="5524" w:type="dxa"/>
            <w:hideMark/>
          </w:tcPr>
          <w:p w:rsidR="00745044" w:rsidRPr="00DE6897" w:rsidRDefault="00745044" w:rsidP="00DE6897">
            <w:pPr>
              <w:pStyle w:val="a3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DE6897">
              <w:rPr>
                <w:b/>
                <w:sz w:val="28"/>
                <w:szCs w:val="28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975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7,5</w:t>
            </w:r>
          </w:p>
        </w:tc>
        <w:tc>
          <w:tcPr>
            <w:tcW w:w="1852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DE6897">
              <w:rPr>
                <w:b/>
                <w:bCs/>
                <w:color w:val="FF0000"/>
                <w:sz w:val="28"/>
                <w:szCs w:val="28"/>
              </w:rPr>
              <w:t>5,5</w:t>
            </w:r>
          </w:p>
        </w:tc>
      </w:tr>
      <w:tr w:rsidR="00745044" w:rsidRPr="00745044" w:rsidTr="00D27127">
        <w:trPr>
          <w:trHeight w:val="2526"/>
        </w:trPr>
        <w:tc>
          <w:tcPr>
            <w:tcW w:w="5524" w:type="dxa"/>
            <w:hideMark/>
          </w:tcPr>
          <w:p w:rsidR="00745044" w:rsidRPr="00DE6897" w:rsidRDefault="00745044" w:rsidP="00DE6897">
            <w:pPr>
              <w:pStyle w:val="a3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DE6897">
              <w:rPr>
                <w:b/>
                <w:sz w:val="28"/>
                <w:szCs w:val="28"/>
              </w:rPr>
              <w:t xml:space="preserve"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 </w:t>
            </w:r>
          </w:p>
        </w:tc>
        <w:tc>
          <w:tcPr>
            <w:tcW w:w="1975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45044">
              <w:rPr>
                <w:b/>
                <w:bCs/>
                <w:sz w:val="28"/>
                <w:szCs w:val="28"/>
              </w:rPr>
              <w:t>0,6</w:t>
            </w:r>
          </w:p>
        </w:tc>
        <w:tc>
          <w:tcPr>
            <w:tcW w:w="1852" w:type="dxa"/>
            <w:noWrap/>
            <w:hideMark/>
          </w:tcPr>
          <w:p w:rsidR="00745044" w:rsidRPr="00745044" w:rsidRDefault="00745044" w:rsidP="00745044">
            <w:pPr>
              <w:pStyle w:val="a3"/>
              <w:spacing w:line="360" w:lineRule="auto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DE6897">
              <w:rPr>
                <w:b/>
                <w:bCs/>
                <w:color w:val="FF0000"/>
                <w:sz w:val="28"/>
                <w:szCs w:val="28"/>
              </w:rPr>
              <w:t>2,2</w:t>
            </w:r>
          </w:p>
        </w:tc>
      </w:tr>
    </w:tbl>
    <w:p w:rsidR="00512C67" w:rsidRDefault="00512C67" w:rsidP="004A2F55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12C67" w:rsidRPr="00512C67" w:rsidRDefault="00512C67" w:rsidP="00512C67">
      <w:pPr>
        <w:pStyle w:val="a3"/>
        <w:spacing w:line="360" w:lineRule="auto"/>
        <w:contextualSpacing/>
        <w:jc w:val="center"/>
        <w:rPr>
          <w:b/>
          <w:sz w:val="28"/>
          <w:szCs w:val="28"/>
        </w:rPr>
      </w:pPr>
      <w:r w:rsidRPr="00512C67">
        <w:rPr>
          <w:b/>
          <w:sz w:val="28"/>
          <w:szCs w:val="28"/>
        </w:rPr>
        <w:t>Прогноз ВВП России до 2022 г.</w:t>
      </w:r>
    </w:p>
    <w:p w:rsidR="00512C67" w:rsidRDefault="00512C67" w:rsidP="004A2F55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23A81" w:rsidRDefault="00512C67" w:rsidP="004A2F55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данной концепции нами был построен макроэкономический прогноз до 2022 г., на основании которого показатели ВВП имеют устойчивый ежегодный рост. </w:t>
      </w:r>
    </w:p>
    <w:p w:rsidR="00512C67" w:rsidRDefault="00512C67" w:rsidP="004A2F55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535BD1">
        <w:rPr>
          <w:sz w:val="28"/>
          <w:szCs w:val="28"/>
        </w:rPr>
        <w:t>2</w:t>
      </w:r>
      <w:r>
        <w:rPr>
          <w:sz w:val="28"/>
          <w:szCs w:val="28"/>
        </w:rPr>
        <w:t xml:space="preserve"> – Прогнозируемые показатели ВВП России по среднесрочному тренду (10 лет)</w:t>
      </w:r>
    </w:p>
    <w:tbl>
      <w:tblPr>
        <w:tblW w:w="6043" w:type="dxa"/>
        <w:tblLook w:val="04A0" w:firstRow="1" w:lastRow="0" w:firstColumn="1" w:lastColumn="0" w:noHBand="0" w:noVBand="1"/>
      </w:tblPr>
      <w:tblGrid>
        <w:gridCol w:w="2590"/>
        <w:gridCol w:w="3453"/>
      </w:tblGrid>
      <w:tr w:rsidR="00512C67" w:rsidRPr="00512C67" w:rsidTr="00512C67">
        <w:trPr>
          <w:trHeight w:val="302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C67" w:rsidRPr="00512C67" w:rsidRDefault="00512C67" w:rsidP="00512C67">
            <w:pPr>
              <w:spacing w:after="0" w:line="240" w:lineRule="auto"/>
              <w:jc w:val="right"/>
              <w:rPr>
                <w:color w:val="000000"/>
              </w:rPr>
            </w:pPr>
            <w:r w:rsidRPr="00512C67">
              <w:rPr>
                <w:color w:val="000000"/>
              </w:rPr>
              <w:t>2017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C67" w:rsidRPr="00512C67" w:rsidRDefault="00512C67" w:rsidP="00512C67">
            <w:pPr>
              <w:spacing w:after="0" w:line="240" w:lineRule="auto"/>
              <w:jc w:val="right"/>
              <w:rPr>
                <w:color w:val="000000"/>
              </w:rPr>
            </w:pPr>
            <w:r w:rsidRPr="00512C67">
              <w:rPr>
                <w:color w:val="000000"/>
              </w:rPr>
              <w:t>87588,78</w:t>
            </w:r>
          </w:p>
        </w:tc>
      </w:tr>
      <w:tr w:rsidR="00512C67" w:rsidRPr="00512C67" w:rsidTr="00512C67">
        <w:trPr>
          <w:trHeight w:val="302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C67" w:rsidRPr="00512C67" w:rsidRDefault="00512C67" w:rsidP="00512C67">
            <w:pPr>
              <w:spacing w:after="0" w:line="240" w:lineRule="auto"/>
              <w:jc w:val="right"/>
              <w:rPr>
                <w:color w:val="000000"/>
              </w:rPr>
            </w:pPr>
            <w:r w:rsidRPr="00512C67">
              <w:rPr>
                <w:color w:val="000000"/>
              </w:rPr>
              <w:t>2018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12C67" w:rsidRPr="00512C67" w:rsidRDefault="00512C67" w:rsidP="00512C67">
            <w:pPr>
              <w:spacing w:after="0" w:line="240" w:lineRule="auto"/>
              <w:jc w:val="right"/>
              <w:rPr>
                <w:color w:val="000000"/>
              </w:rPr>
            </w:pPr>
            <w:r w:rsidRPr="00512C67">
              <w:rPr>
                <w:color w:val="000000"/>
              </w:rPr>
              <w:t>90040,8</w:t>
            </w:r>
          </w:p>
        </w:tc>
      </w:tr>
      <w:tr w:rsidR="00512C67" w:rsidRPr="00512C67" w:rsidTr="00512C67">
        <w:trPr>
          <w:trHeight w:val="302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C67" w:rsidRPr="00512C67" w:rsidRDefault="00512C67" w:rsidP="00512C67">
            <w:pPr>
              <w:spacing w:after="0" w:line="240" w:lineRule="auto"/>
              <w:jc w:val="right"/>
              <w:rPr>
                <w:color w:val="000000"/>
              </w:rPr>
            </w:pPr>
            <w:r w:rsidRPr="00512C67">
              <w:rPr>
                <w:color w:val="000000"/>
              </w:rPr>
              <w:t>2019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12C67" w:rsidRPr="00512C67" w:rsidRDefault="00512C67" w:rsidP="00512C67">
            <w:pPr>
              <w:spacing w:after="0" w:line="240" w:lineRule="auto"/>
              <w:jc w:val="right"/>
              <w:rPr>
                <w:color w:val="000000"/>
              </w:rPr>
            </w:pPr>
            <w:r w:rsidRPr="00512C67">
              <w:rPr>
                <w:color w:val="000000"/>
              </w:rPr>
              <w:t>91052,2</w:t>
            </w:r>
          </w:p>
        </w:tc>
      </w:tr>
      <w:tr w:rsidR="00512C67" w:rsidRPr="00512C67" w:rsidTr="00512C67">
        <w:trPr>
          <w:trHeight w:val="302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C67" w:rsidRPr="00512C67" w:rsidRDefault="00512C67" w:rsidP="00512C67">
            <w:pPr>
              <w:spacing w:after="0" w:line="240" w:lineRule="auto"/>
              <w:jc w:val="right"/>
              <w:rPr>
                <w:color w:val="000000"/>
              </w:rPr>
            </w:pPr>
            <w:r w:rsidRPr="00512C67">
              <w:rPr>
                <w:color w:val="000000"/>
              </w:rPr>
              <w:t>2020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12C67" w:rsidRPr="00512C67" w:rsidRDefault="00512C67" w:rsidP="00512C67">
            <w:pPr>
              <w:spacing w:after="0" w:line="240" w:lineRule="auto"/>
              <w:jc w:val="right"/>
              <w:rPr>
                <w:color w:val="000000"/>
              </w:rPr>
            </w:pPr>
            <w:r w:rsidRPr="00512C67">
              <w:rPr>
                <w:color w:val="000000"/>
              </w:rPr>
              <w:t>92063,6</w:t>
            </w:r>
          </w:p>
        </w:tc>
      </w:tr>
      <w:tr w:rsidR="00512C67" w:rsidRPr="00512C67" w:rsidTr="00512C67">
        <w:trPr>
          <w:trHeight w:val="302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C67" w:rsidRPr="00512C67" w:rsidRDefault="00512C67" w:rsidP="00512C67">
            <w:pPr>
              <w:spacing w:after="0" w:line="240" w:lineRule="auto"/>
              <w:jc w:val="right"/>
              <w:rPr>
                <w:color w:val="000000"/>
              </w:rPr>
            </w:pPr>
            <w:r w:rsidRPr="00512C67">
              <w:rPr>
                <w:color w:val="000000"/>
              </w:rPr>
              <w:t>2021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12C67" w:rsidRPr="00512C67" w:rsidRDefault="00512C67" w:rsidP="00512C67">
            <w:pPr>
              <w:spacing w:after="0" w:line="240" w:lineRule="auto"/>
              <w:jc w:val="right"/>
              <w:rPr>
                <w:color w:val="000000"/>
              </w:rPr>
            </w:pPr>
            <w:r w:rsidRPr="00512C67">
              <w:rPr>
                <w:color w:val="000000"/>
              </w:rPr>
              <w:t>93075</w:t>
            </w:r>
          </w:p>
        </w:tc>
      </w:tr>
      <w:tr w:rsidR="00512C67" w:rsidRPr="00512C67" w:rsidTr="00512C67">
        <w:trPr>
          <w:trHeight w:val="302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C67" w:rsidRPr="00512C67" w:rsidRDefault="00512C67" w:rsidP="00512C67">
            <w:pPr>
              <w:spacing w:after="0" w:line="240" w:lineRule="auto"/>
              <w:jc w:val="right"/>
              <w:rPr>
                <w:color w:val="000000"/>
              </w:rPr>
            </w:pPr>
            <w:r w:rsidRPr="00512C67">
              <w:rPr>
                <w:color w:val="000000"/>
              </w:rPr>
              <w:t>2022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12C67" w:rsidRPr="00512C67" w:rsidRDefault="00512C67" w:rsidP="00512C67">
            <w:pPr>
              <w:spacing w:after="0" w:line="240" w:lineRule="auto"/>
              <w:jc w:val="right"/>
              <w:rPr>
                <w:color w:val="000000"/>
              </w:rPr>
            </w:pPr>
            <w:r w:rsidRPr="00512C67">
              <w:rPr>
                <w:color w:val="000000"/>
              </w:rPr>
              <w:t>94086,4</w:t>
            </w:r>
          </w:p>
        </w:tc>
      </w:tr>
      <w:tr w:rsidR="00512C67" w:rsidRPr="00512C67" w:rsidTr="00512C67">
        <w:trPr>
          <w:trHeight w:val="302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2C67" w:rsidRPr="00512C67" w:rsidRDefault="00512C67" w:rsidP="00512C67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</w:tcPr>
          <w:p w:rsidR="00512C67" w:rsidRPr="00512C67" w:rsidRDefault="00512C67" w:rsidP="00512C67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</w:tbl>
    <w:p w:rsidR="004A2F55" w:rsidRDefault="00512C67" w:rsidP="004A2F55">
      <w:pPr>
        <w:pStyle w:val="a3"/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512C67">
        <w:rPr>
          <w:noProof/>
          <w:sz w:val="28"/>
          <w:szCs w:val="28"/>
        </w:rPr>
        <w:lastRenderedPageBreak/>
        <w:t>При этом, линия тренда будет выглядеть следующим образом:</w:t>
      </w:r>
    </w:p>
    <w:p w:rsidR="00512C67" w:rsidRDefault="00512C67" w:rsidP="004A2F55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022AB06" wp14:editId="150F56F9">
            <wp:extent cx="4816549" cy="2955851"/>
            <wp:effectExtent l="0" t="0" r="3175" b="165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35BD1" w:rsidRDefault="00535BD1" w:rsidP="004A2F55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Рис. 4 – Линия тренда прогнозируемого ВВП</w:t>
      </w:r>
    </w:p>
    <w:p w:rsidR="000D7FBC" w:rsidRDefault="000D7FBC" w:rsidP="004A2F55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D7FBC" w:rsidRDefault="000D7FBC" w:rsidP="004A2F55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Ежегодные изменения в долях по каждой отрасли представлены в таблице (прогнозируемая доля отраслей в ВВП в динамике за прогнозируемый период)</w:t>
      </w:r>
    </w:p>
    <w:p w:rsidR="000D7FBC" w:rsidRDefault="000D7FBC" w:rsidP="004A2F55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Таблица 3 - Прогнозируемая доля отраслей в ВВП в динамике за прогнозируемый период</w:t>
      </w:r>
    </w:p>
    <w:tbl>
      <w:tblPr>
        <w:tblW w:w="8911" w:type="dxa"/>
        <w:tblInd w:w="20" w:type="dxa"/>
        <w:tblLook w:val="04A0" w:firstRow="1" w:lastRow="0" w:firstColumn="1" w:lastColumn="0" w:noHBand="0" w:noVBand="1"/>
      </w:tblPr>
      <w:tblGrid>
        <w:gridCol w:w="3524"/>
        <w:gridCol w:w="992"/>
        <w:gridCol w:w="1134"/>
        <w:gridCol w:w="1134"/>
        <w:gridCol w:w="993"/>
        <w:gridCol w:w="1134"/>
      </w:tblGrid>
      <w:tr w:rsidR="000D7FBC" w:rsidRPr="000D7FBC" w:rsidTr="00914292">
        <w:trPr>
          <w:trHeight w:val="300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FBC" w:rsidRPr="000D7FBC" w:rsidRDefault="000D7FBC" w:rsidP="000D7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0D7FBC" w:rsidRPr="000D7FBC" w:rsidRDefault="000D7FBC" w:rsidP="000D7FBC">
            <w:pPr>
              <w:spacing w:after="0" w:line="240" w:lineRule="auto"/>
              <w:jc w:val="center"/>
              <w:rPr>
                <w:color w:val="000000"/>
              </w:rPr>
            </w:pPr>
            <w:r w:rsidRPr="000D7FBC">
              <w:rPr>
                <w:color w:val="000000"/>
              </w:rPr>
              <w:t>Таблица изменений в % по каждому году</w:t>
            </w:r>
          </w:p>
        </w:tc>
      </w:tr>
      <w:tr w:rsidR="000D7FBC" w:rsidRPr="000D7FBC" w:rsidTr="00914292">
        <w:trPr>
          <w:trHeight w:val="300"/>
        </w:trPr>
        <w:tc>
          <w:tcPr>
            <w:tcW w:w="3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FBC" w:rsidRPr="000D7FBC" w:rsidRDefault="000D7FBC" w:rsidP="000D7FB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FBC" w:rsidRPr="000D7FBC" w:rsidRDefault="000D7FBC" w:rsidP="000D7FBC">
            <w:pPr>
              <w:spacing w:after="0" w:line="240" w:lineRule="auto"/>
              <w:jc w:val="right"/>
              <w:rPr>
                <w:color w:val="000000"/>
              </w:rPr>
            </w:pPr>
            <w:r w:rsidRPr="000D7FBC">
              <w:rPr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FBC" w:rsidRPr="000D7FBC" w:rsidRDefault="000D7FBC" w:rsidP="000D7FBC">
            <w:pPr>
              <w:spacing w:after="0" w:line="240" w:lineRule="auto"/>
              <w:jc w:val="right"/>
              <w:rPr>
                <w:color w:val="000000"/>
              </w:rPr>
            </w:pPr>
            <w:r w:rsidRPr="000D7FBC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FBC" w:rsidRPr="000D7FBC" w:rsidRDefault="000D7FBC" w:rsidP="000D7FBC">
            <w:pPr>
              <w:spacing w:after="0" w:line="240" w:lineRule="auto"/>
              <w:jc w:val="right"/>
              <w:rPr>
                <w:color w:val="000000"/>
              </w:rPr>
            </w:pPr>
            <w:r w:rsidRPr="000D7FBC">
              <w:rPr>
                <w:color w:val="00000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FBC" w:rsidRPr="000D7FBC" w:rsidRDefault="000D7FBC" w:rsidP="000D7FBC">
            <w:pPr>
              <w:spacing w:after="0" w:line="240" w:lineRule="auto"/>
              <w:jc w:val="right"/>
              <w:rPr>
                <w:color w:val="000000"/>
              </w:rPr>
            </w:pPr>
            <w:r w:rsidRPr="000D7FBC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FBC" w:rsidRPr="000D7FBC" w:rsidRDefault="000D7FBC" w:rsidP="000D7FBC">
            <w:pPr>
              <w:spacing w:after="0" w:line="240" w:lineRule="auto"/>
              <w:jc w:val="right"/>
              <w:rPr>
                <w:color w:val="000000"/>
              </w:rPr>
            </w:pPr>
            <w:r w:rsidRPr="000D7FBC">
              <w:rPr>
                <w:color w:val="000000"/>
              </w:rPr>
              <w:t>2022</w:t>
            </w:r>
          </w:p>
        </w:tc>
      </w:tr>
      <w:tr w:rsidR="00914292" w:rsidRPr="00914292" w:rsidTr="00914292">
        <w:trPr>
          <w:trHeight w:val="30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ВВП (темпы прироста)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6C37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7,42</w:t>
            </w:r>
          </w:p>
        </w:tc>
      </w:tr>
      <w:tr w:rsidR="00914292" w:rsidRPr="00914292" w:rsidTr="006C3717">
        <w:trPr>
          <w:trHeight w:val="166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6897" w:rsidRPr="00914292" w:rsidRDefault="00DE6897" w:rsidP="00DE6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292">
              <w:rPr>
                <w:rFonts w:ascii="Times New Roman" w:hAnsi="Times New Roman"/>
                <w:b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914292" w:rsidRPr="00914292" w:rsidTr="006C3717">
        <w:trPr>
          <w:trHeight w:val="51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6897" w:rsidRPr="00914292" w:rsidRDefault="00DE6897" w:rsidP="00DE6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292">
              <w:rPr>
                <w:rFonts w:ascii="Times New Roman" w:hAnsi="Times New Roman"/>
                <w:b/>
                <w:sz w:val="24"/>
                <w:szCs w:val="24"/>
              </w:rPr>
              <w:t>Промышленность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24,1</w:t>
            </w:r>
          </w:p>
        </w:tc>
      </w:tr>
      <w:tr w:rsidR="00914292" w:rsidRPr="00914292" w:rsidTr="00914292">
        <w:trPr>
          <w:trHeight w:val="76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97" w:rsidRPr="00914292" w:rsidRDefault="00DE6897" w:rsidP="00DE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9,9</w:t>
            </w:r>
          </w:p>
        </w:tc>
      </w:tr>
      <w:tr w:rsidR="00914292" w:rsidRPr="00914292" w:rsidTr="00914292">
        <w:trPr>
          <w:trHeight w:val="659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97" w:rsidRPr="00914292" w:rsidRDefault="00DE6897" w:rsidP="00DE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914292" w:rsidRPr="00914292" w:rsidTr="00914292">
        <w:trPr>
          <w:trHeight w:val="1138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97" w:rsidRPr="00914292" w:rsidRDefault="00DE6897" w:rsidP="00DE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914292" w:rsidRPr="00914292" w:rsidTr="00914292">
        <w:trPr>
          <w:trHeight w:val="155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97" w:rsidRPr="00914292" w:rsidRDefault="00DE6897" w:rsidP="00DE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914292" w:rsidRPr="00914292" w:rsidTr="006C3717">
        <w:trPr>
          <w:trHeight w:val="37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6897" w:rsidRPr="00914292" w:rsidRDefault="00DE6897" w:rsidP="00DE6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292">
              <w:rPr>
                <w:rFonts w:ascii="Times New Roman" w:hAnsi="Times New Roman"/>
                <w:b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</w:tr>
      <w:tr w:rsidR="00914292" w:rsidRPr="00914292" w:rsidTr="006C3717">
        <w:trPr>
          <w:trHeight w:val="871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6897" w:rsidRPr="00914292" w:rsidRDefault="00DE6897" w:rsidP="00DE6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292">
              <w:rPr>
                <w:rFonts w:ascii="Times New Roman" w:hAnsi="Times New Roman"/>
                <w:b/>
                <w:sz w:val="24"/>
                <w:szCs w:val="24"/>
              </w:rPr>
              <w:t>Торговля, общественное питание и заготовки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14,7</w:t>
            </w:r>
          </w:p>
        </w:tc>
      </w:tr>
      <w:tr w:rsidR="00914292" w:rsidRPr="00914292" w:rsidTr="00914292">
        <w:trPr>
          <w:trHeight w:val="1124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97" w:rsidRPr="00914292" w:rsidRDefault="00DE6897" w:rsidP="00DE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13,8</w:t>
            </w:r>
          </w:p>
        </w:tc>
      </w:tr>
      <w:tr w:rsidR="00914292" w:rsidRPr="00914292" w:rsidTr="00914292">
        <w:trPr>
          <w:trHeight w:val="842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97" w:rsidRPr="00914292" w:rsidRDefault="00DE6897" w:rsidP="00DE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914292" w:rsidRPr="00914292" w:rsidTr="006C3717">
        <w:trPr>
          <w:trHeight w:val="51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6897" w:rsidRPr="00914292" w:rsidRDefault="00DE6897" w:rsidP="00DE6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292">
              <w:rPr>
                <w:rFonts w:ascii="Times New Roman" w:hAnsi="Times New Roman"/>
                <w:b/>
                <w:sz w:val="24"/>
                <w:szCs w:val="24"/>
              </w:rPr>
              <w:t>Транспорт и 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914292" w:rsidRPr="00914292" w:rsidTr="00914292">
        <w:trPr>
          <w:trHeight w:val="51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97" w:rsidRPr="00914292" w:rsidRDefault="00DE6897" w:rsidP="00DE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</w:tr>
      <w:tr w:rsidR="00914292" w:rsidRPr="00914292" w:rsidTr="00914292">
        <w:trPr>
          <w:trHeight w:val="926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97" w:rsidRPr="00914292" w:rsidRDefault="00DE6897" w:rsidP="00DE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</w:tr>
      <w:tr w:rsidR="00914292" w:rsidRPr="00914292" w:rsidTr="006C3717">
        <w:trPr>
          <w:trHeight w:val="1549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6897" w:rsidRPr="00914292" w:rsidRDefault="00DE6897" w:rsidP="00DE68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292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Финансовая деятельность и операции с недвижимым имуществом, аренда и предоставление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</w:tr>
      <w:tr w:rsidR="00914292" w:rsidRPr="00914292" w:rsidTr="00914292">
        <w:trPr>
          <w:trHeight w:val="76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97" w:rsidRPr="00914292" w:rsidRDefault="00DE6897" w:rsidP="00DE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914292" w:rsidRPr="00914292" w:rsidTr="00914292">
        <w:trPr>
          <w:trHeight w:val="102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97" w:rsidRPr="00914292" w:rsidRDefault="00DE6897" w:rsidP="00DE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</w:tr>
      <w:tr w:rsidR="00914292" w:rsidRPr="00914292" w:rsidTr="00914292">
        <w:trPr>
          <w:trHeight w:val="1021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97" w:rsidRPr="00914292" w:rsidRDefault="00DE6897" w:rsidP="00DE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</w:tr>
      <w:tr w:rsidR="00914292" w:rsidRPr="00914292" w:rsidTr="00914292">
        <w:trPr>
          <w:trHeight w:val="76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97" w:rsidRPr="00914292" w:rsidRDefault="00DE6897" w:rsidP="00DE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914292" w:rsidRPr="00914292" w:rsidTr="006C3717">
        <w:trPr>
          <w:trHeight w:val="175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6897" w:rsidRPr="00914292" w:rsidRDefault="00DE6897" w:rsidP="00DE68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29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Деятельность в области образования, культуры, спорта, организации досуга , развлечений и здравохранение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</w:tr>
      <w:tr w:rsidR="00914292" w:rsidRPr="00914292" w:rsidTr="00914292">
        <w:trPr>
          <w:trHeight w:val="30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97" w:rsidRPr="00914292" w:rsidRDefault="00DE6897" w:rsidP="00DE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914292" w:rsidRPr="00914292" w:rsidTr="00914292">
        <w:trPr>
          <w:trHeight w:val="132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97" w:rsidRPr="00914292" w:rsidRDefault="00DE6897" w:rsidP="00DE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914292" w:rsidRPr="00914292" w:rsidTr="00914292">
        <w:trPr>
          <w:trHeight w:val="97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97" w:rsidRPr="00914292" w:rsidRDefault="00DE6897" w:rsidP="00DE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914292" w:rsidRPr="00914292" w:rsidTr="00914292">
        <w:trPr>
          <w:trHeight w:val="127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97" w:rsidRPr="00914292" w:rsidRDefault="00DE6897" w:rsidP="00DE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914292" w:rsidRPr="00914292" w:rsidTr="006C3717">
        <w:trPr>
          <w:trHeight w:val="1400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6897" w:rsidRPr="00914292" w:rsidRDefault="00DE6897" w:rsidP="00DE6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292">
              <w:rPr>
                <w:rFonts w:ascii="Times New Roman" w:hAnsi="Times New Roman"/>
                <w:b/>
                <w:sz w:val="24"/>
                <w:szCs w:val="24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</w:tr>
      <w:tr w:rsidR="00914292" w:rsidRPr="00914292" w:rsidTr="006C3717">
        <w:trPr>
          <w:trHeight w:val="2555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6897" w:rsidRPr="00914292" w:rsidRDefault="00DE6897" w:rsidP="00DE6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292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897" w:rsidRPr="00914292" w:rsidRDefault="00DE6897" w:rsidP="00DE68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292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</w:tbl>
    <w:p w:rsidR="000D7FBC" w:rsidRPr="00914292" w:rsidRDefault="000D7FBC" w:rsidP="004A2F55">
      <w:pPr>
        <w:pStyle w:val="a3"/>
        <w:spacing w:line="360" w:lineRule="auto"/>
        <w:ind w:firstLine="709"/>
        <w:contextualSpacing/>
        <w:jc w:val="both"/>
      </w:pPr>
    </w:p>
    <w:sectPr w:rsidR="000D7FBC" w:rsidRPr="00914292" w:rsidSect="0080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542" w:rsidRDefault="00A91542" w:rsidP="0046523E">
      <w:pPr>
        <w:spacing w:after="0" w:line="240" w:lineRule="auto"/>
      </w:pPr>
      <w:r>
        <w:separator/>
      </w:r>
    </w:p>
  </w:endnote>
  <w:endnote w:type="continuationSeparator" w:id="0">
    <w:p w:rsidR="00A91542" w:rsidRDefault="00A91542" w:rsidP="0046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542" w:rsidRDefault="00A91542" w:rsidP="0046523E">
      <w:pPr>
        <w:spacing w:after="0" w:line="240" w:lineRule="auto"/>
      </w:pPr>
      <w:r>
        <w:separator/>
      </w:r>
    </w:p>
  </w:footnote>
  <w:footnote w:type="continuationSeparator" w:id="0">
    <w:p w:rsidR="00A91542" w:rsidRDefault="00A91542" w:rsidP="00465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67CE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1419C"/>
    <w:multiLevelType w:val="hybridMultilevel"/>
    <w:tmpl w:val="79F2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81A3D"/>
    <w:multiLevelType w:val="hybridMultilevel"/>
    <w:tmpl w:val="85F45CDE"/>
    <w:lvl w:ilvl="0" w:tplc="0BAAB2C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4E6C006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314017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590ED01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B922E8E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5E5415D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A4AD77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3B8E430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9350DFE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" w15:restartNumberingAfterBreak="0">
    <w:nsid w:val="218B021E"/>
    <w:multiLevelType w:val="hybridMultilevel"/>
    <w:tmpl w:val="C2A6E4E4"/>
    <w:lvl w:ilvl="0" w:tplc="F8824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F401CD"/>
    <w:multiLevelType w:val="hybridMultilevel"/>
    <w:tmpl w:val="0C880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60863"/>
    <w:multiLevelType w:val="hybridMultilevel"/>
    <w:tmpl w:val="B8DC6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2B5A"/>
    <w:multiLevelType w:val="hybridMultilevel"/>
    <w:tmpl w:val="D7FEE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C0CE7"/>
    <w:multiLevelType w:val="hybridMultilevel"/>
    <w:tmpl w:val="44561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E5D20"/>
    <w:multiLevelType w:val="hybridMultilevel"/>
    <w:tmpl w:val="9BD6F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6C006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314017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590ED01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B922E8E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5E5415D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A4AD77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3B8E430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9350DFE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9" w15:restartNumberingAfterBreak="0">
    <w:nsid w:val="479A204E"/>
    <w:multiLevelType w:val="hybridMultilevel"/>
    <w:tmpl w:val="0A442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21EF8"/>
    <w:multiLevelType w:val="hybridMultilevel"/>
    <w:tmpl w:val="885E0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63D5F"/>
    <w:multiLevelType w:val="hybridMultilevel"/>
    <w:tmpl w:val="E9448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10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02"/>
    <w:rsid w:val="00023A81"/>
    <w:rsid w:val="000C558A"/>
    <w:rsid w:val="000D7FBC"/>
    <w:rsid w:val="000F7287"/>
    <w:rsid w:val="00166436"/>
    <w:rsid w:val="001858B2"/>
    <w:rsid w:val="0019320E"/>
    <w:rsid w:val="001A202E"/>
    <w:rsid w:val="001D5FB6"/>
    <w:rsid w:val="001D6D47"/>
    <w:rsid w:val="001F3C04"/>
    <w:rsid w:val="00217B61"/>
    <w:rsid w:val="00230E2A"/>
    <w:rsid w:val="002616FD"/>
    <w:rsid w:val="00293F1B"/>
    <w:rsid w:val="002B0CD9"/>
    <w:rsid w:val="002B6FDC"/>
    <w:rsid w:val="002D5A39"/>
    <w:rsid w:val="00314720"/>
    <w:rsid w:val="0032179C"/>
    <w:rsid w:val="00342A38"/>
    <w:rsid w:val="00371E37"/>
    <w:rsid w:val="00384DE9"/>
    <w:rsid w:val="003A1BEC"/>
    <w:rsid w:val="003B0470"/>
    <w:rsid w:val="003B60AE"/>
    <w:rsid w:val="0040115F"/>
    <w:rsid w:val="00411943"/>
    <w:rsid w:val="00430209"/>
    <w:rsid w:val="00433DC1"/>
    <w:rsid w:val="0046523E"/>
    <w:rsid w:val="00497959"/>
    <w:rsid w:val="004A2F55"/>
    <w:rsid w:val="004A59BE"/>
    <w:rsid w:val="004B2FAF"/>
    <w:rsid w:val="004C3FA2"/>
    <w:rsid w:val="004E7BEA"/>
    <w:rsid w:val="004F5673"/>
    <w:rsid w:val="00512C67"/>
    <w:rsid w:val="00535BD1"/>
    <w:rsid w:val="005851EC"/>
    <w:rsid w:val="005A04CA"/>
    <w:rsid w:val="005A15F4"/>
    <w:rsid w:val="00625814"/>
    <w:rsid w:val="00646F48"/>
    <w:rsid w:val="00677B7E"/>
    <w:rsid w:val="006A4B24"/>
    <w:rsid w:val="006C3717"/>
    <w:rsid w:val="006D1276"/>
    <w:rsid w:val="006F0F04"/>
    <w:rsid w:val="006F11AF"/>
    <w:rsid w:val="00745044"/>
    <w:rsid w:val="00764AC2"/>
    <w:rsid w:val="007A5B4C"/>
    <w:rsid w:val="007F3102"/>
    <w:rsid w:val="008075FF"/>
    <w:rsid w:val="008279E2"/>
    <w:rsid w:val="00855A21"/>
    <w:rsid w:val="00861711"/>
    <w:rsid w:val="0088307C"/>
    <w:rsid w:val="00884444"/>
    <w:rsid w:val="00885F57"/>
    <w:rsid w:val="008B7557"/>
    <w:rsid w:val="009032CA"/>
    <w:rsid w:val="00914292"/>
    <w:rsid w:val="00915DC1"/>
    <w:rsid w:val="00951D2C"/>
    <w:rsid w:val="00965A82"/>
    <w:rsid w:val="009971B6"/>
    <w:rsid w:val="009C479C"/>
    <w:rsid w:val="009D10E1"/>
    <w:rsid w:val="009D2835"/>
    <w:rsid w:val="009E0872"/>
    <w:rsid w:val="00A41D92"/>
    <w:rsid w:val="00A5622B"/>
    <w:rsid w:val="00A70BDD"/>
    <w:rsid w:val="00A775CD"/>
    <w:rsid w:val="00A80C6B"/>
    <w:rsid w:val="00A8451E"/>
    <w:rsid w:val="00A91542"/>
    <w:rsid w:val="00A963C6"/>
    <w:rsid w:val="00AC4DC3"/>
    <w:rsid w:val="00B27237"/>
    <w:rsid w:val="00B32393"/>
    <w:rsid w:val="00B55BC8"/>
    <w:rsid w:val="00B86C57"/>
    <w:rsid w:val="00B935A2"/>
    <w:rsid w:val="00BA072F"/>
    <w:rsid w:val="00BA1E5B"/>
    <w:rsid w:val="00C049F8"/>
    <w:rsid w:val="00C1384B"/>
    <w:rsid w:val="00C77488"/>
    <w:rsid w:val="00C91580"/>
    <w:rsid w:val="00CC7B18"/>
    <w:rsid w:val="00CD7974"/>
    <w:rsid w:val="00CF38D2"/>
    <w:rsid w:val="00D27127"/>
    <w:rsid w:val="00D43725"/>
    <w:rsid w:val="00DB7D44"/>
    <w:rsid w:val="00DC28E8"/>
    <w:rsid w:val="00DC5797"/>
    <w:rsid w:val="00DD3A0E"/>
    <w:rsid w:val="00DE6897"/>
    <w:rsid w:val="00DF1F82"/>
    <w:rsid w:val="00DF24DB"/>
    <w:rsid w:val="00ED2AAD"/>
    <w:rsid w:val="00ED3062"/>
    <w:rsid w:val="00F11969"/>
    <w:rsid w:val="00F6166C"/>
    <w:rsid w:val="00F7030F"/>
    <w:rsid w:val="00FA0912"/>
    <w:rsid w:val="00FF3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6BDFE"/>
  <w15:chartTrackingRefBased/>
  <w15:docId w15:val="{7038F97E-7B41-47DF-83E3-F22C97F0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10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46F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F310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6F4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9"/>
    <w:rsid w:val="007F3102"/>
    <w:rPr>
      <w:rFonts w:ascii="Cambria" w:hAnsi="Cambria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7F31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C91580"/>
    <w:rPr>
      <w:color w:val="0000FF"/>
      <w:u w:val="single"/>
    </w:rPr>
  </w:style>
  <w:style w:type="paragraph" w:customStyle="1" w:styleId="otekstj">
    <w:name w:val="otekstj"/>
    <w:basedOn w:val="a"/>
    <w:rsid w:val="004119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qFormat/>
    <w:rsid w:val="005A15F4"/>
    <w:rPr>
      <w:b/>
      <w:bCs/>
    </w:rPr>
  </w:style>
  <w:style w:type="paragraph" w:styleId="a6">
    <w:name w:val="header"/>
    <w:basedOn w:val="a"/>
    <w:link w:val="a7"/>
    <w:rsid w:val="004652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6523E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4652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6523E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3B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B0470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DC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unhideWhenUsed/>
    <w:qFormat/>
    <w:rsid w:val="00DC5797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0D7F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577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24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32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58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85;&#1072;&#1089;&#1090;&#1080;&#1089;&#1080;&#1103;\Desktop\&#1059;&#1085;&#1080;&#1074;&#1077;&#1088;\&#1057;&#1080;&#1076;&#1086;&#1088;&#1086;&#1074;\&#1087;&#1088;&#1086;&#1075;&#1085;&#1086;&#1079;\&#1087;&#1088;&#1086;&#1075;&#1085;&#1086;&#1079;_&#1063;&#1077;&#1088;&#1085;&#1086;&#1074;&#1072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Рейтинг стран в мировой экономике в процентном соотношении по ВВП 2018г.</a:t>
            </a:r>
          </a:p>
        </c:rich>
      </c:tx>
      <c:layout>
        <c:manualLayout>
          <c:xMode val="edge"/>
          <c:yMode val="edge"/>
          <c:x val="0.22822151224707138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Россия</c:v>
                </c:pt>
                <c:pt idx="1">
                  <c:v>Канада</c:v>
                </c:pt>
                <c:pt idx="2">
                  <c:v>Бразилия</c:v>
                </c:pt>
                <c:pt idx="3">
                  <c:v>Италия</c:v>
                </c:pt>
                <c:pt idx="4">
                  <c:v>Индия</c:v>
                </c:pt>
                <c:pt idx="5">
                  <c:v>Франция</c:v>
                </c:pt>
                <c:pt idx="6">
                  <c:v>Великобритания</c:v>
                </c:pt>
                <c:pt idx="7">
                  <c:v>Германия</c:v>
                </c:pt>
                <c:pt idx="8">
                  <c:v>Япония</c:v>
                </c:pt>
                <c:pt idx="9">
                  <c:v>Китай</c:v>
                </c:pt>
                <c:pt idx="10">
                  <c:v>США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1.97</c:v>
                </c:pt>
                <c:pt idx="1">
                  <c:v>2.06</c:v>
                </c:pt>
                <c:pt idx="2">
                  <c:v>2.44</c:v>
                </c:pt>
                <c:pt idx="3">
                  <c:v>2.4900000000000002</c:v>
                </c:pt>
                <c:pt idx="4">
                  <c:v>3.25</c:v>
                </c:pt>
                <c:pt idx="5">
                  <c:v>3.34</c:v>
                </c:pt>
                <c:pt idx="6">
                  <c:v>3.36</c:v>
                </c:pt>
                <c:pt idx="7">
                  <c:v>4.8099999999999996</c:v>
                </c:pt>
                <c:pt idx="8">
                  <c:v>5.9</c:v>
                </c:pt>
                <c:pt idx="9">
                  <c:v>16.100000000000001</c:v>
                </c:pt>
                <c:pt idx="10">
                  <c:v>23.3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8A-48F3-83B5-468520700C56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Россия</c:v>
                </c:pt>
                <c:pt idx="1">
                  <c:v>Канада</c:v>
                </c:pt>
                <c:pt idx="2">
                  <c:v>Бразилия</c:v>
                </c:pt>
                <c:pt idx="3">
                  <c:v>Италия</c:v>
                </c:pt>
                <c:pt idx="4">
                  <c:v>Индия</c:v>
                </c:pt>
                <c:pt idx="5">
                  <c:v>Франция</c:v>
                </c:pt>
                <c:pt idx="6">
                  <c:v>Великобритания</c:v>
                </c:pt>
                <c:pt idx="7">
                  <c:v>Германия</c:v>
                </c:pt>
                <c:pt idx="8">
                  <c:v>Япония</c:v>
                </c:pt>
                <c:pt idx="9">
                  <c:v>Китай</c:v>
                </c:pt>
                <c:pt idx="10">
                  <c:v>США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01-618A-48F3-83B5-468520700C56}"/>
            </c:ext>
          </c:extLst>
        </c:ser>
        <c:ser>
          <c:idx val="2"/>
          <c:order val="2"/>
          <c:tx>
            <c:strRef>
              <c:f>Лист1!$E$1</c:f>
              <c:strCache>
                <c:ptCount val="1"/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Россия</c:v>
                </c:pt>
                <c:pt idx="1">
                  <c:v>Канада</c:v>
                </c:pt>
                <c:pt idx="2">
                  <c:v>Бразилия</c:v>
                </c:pt>
                <c:pt idx="3">
                  <c:v>Италия</c:v>
                </c:pt>
                <c:pt idx="4">
                  <c:v>Индия</c:v>
                </c:pt>
                <c:pt idx="5">
                  <c:v>Франция</c:v>
                </c:pt>
                <c:pt idx="6">
                  <c:v>Великобритания</c:v>
                </c:pt>
                <c:pt idx="7">
                  <c:v>Германия</c:v>
                </c:pt>
                <c:pt idx="8">
                  <c:v>Япония</c:v>
                </c:pt>
                <c:pt idx="9">
                  <c:v>Китай</c:v>
                </c:pt>
                <c:pt idx="10">
                  <c:v>США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618A-48F3-83B5-468520700C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01685648"/>
        <c:axId val="501686432"/>
      </c:barChart>
      <c:catAx>
        <c:axId val="501685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1686432"/>
        <c:crosses val="autoZero"/>
        <c:auto val="1"/>
        <c:lblAlgn val="ctr"/>
        <c:lblOffset val="100"/>
        <c:noMultiLvlLbl val="0"/>
      </c:catAx>
      <c:valAx>
        <c:axId val="501686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1685648"/>
        <c:crosses val="autoZero"/>
        <c:crossBetween val="between"/>
      </c:valAx>
      <c:spPr>
        <a:noFill/>
        <a:ln>
          <a:noFill/>
        </a:ln>
        <a:effectLst>
          <a:glow rad="127000">
            <a:schemeClr val="accent6">
              <a:lumMod val="60000"/>
              <a:lumOff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dk1"/>
                </a:solidFill>
                <a:latin typeface="+mn-lt"/>
                <a:ea typeface="+mn-ea"/>
                <a:cs typeface="+mn-cs"/>
              </a:rPr>
              <a:t>США, 2017 г.</a:t>
            </a:r>
          </a:p>
          <a:p>
            <a:pPr algn="l"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dk1"/>
                </a:solidFill>
                <a:latin typeface="+mn-lt"/>
                <a:ea typeface="+mn-ea"/>
                <a:cs typeface="+mn-cs"/>
              </a:rPr>
              <a:t>Доля отраслей в ВВП</a:t>
            </a:r>
            <a:endParaRPr lang="ru-RU"/>
          </a:p>
        </c:rich>
      </c:tx>
      <c:layout>
        <c:manualLayout>
          <c:xMode val="edge"/>
          <c:yMode val="edge"/>
          <c:x val="4.802500303430423E-2"/>
          <c:y val="1.6353071834409053E-2"/>
        </c:manualLayout>
      </c:layout>
      <c:overlay val="0"/>
      <c:spPr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4936461299082929"/>
          <c:y val="0.17008449121114999"/>
          <c:w val="0.51132455382393927"/>
          <c:h val="0.5725603678024794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778-4314-84AC-830D0F9ED4A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778-4314-84AC-830D0F9ED4A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778-4314-84AC-830D0F9ED4A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778-4314-84AC-830D0F9ED4A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778-4314-84AC-830D0F9ED4A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778-4314-84AC-830D0F9ED4A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B778-4314-84AC-830D0F9ED4A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B778-4314-84AC-830D0F9ED4A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B778-4314-84AC-830D0F9ED4A2}"/>
              </c:ext>
            </c:extLst>
          </c:dPt>
          <c:dLbls>
            <c:dLbl>
              <c:idx val="1"/>
              <c:layout>
                <c:manualLayout>
                  <c:x val="3.4979422734861952E-2"/>
                  <c:y val="7.844057663088458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778-4314-84AC-830D0F9ED4A2}"/>
                </c:ext>
              </c:extLst>
            </c:dLbl>
            <c:dLbl>
              <c:idx val="7"/>
              <c:layout>
                <c:manualLayout>
                  <c:x val="-3.0315499703547098E-2"/>
                  <c:y val="-2.614685887696153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B778-4314-84AC-830D0F9ED4A2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Лист1!$A$2:$A$10</c:f>
              <c:strCache>
                <c:ptCount val="9"/>
                <c:pt idx="0">
                  <c:v>Сельское хозяйство</c:v>
                </c:pt>
                <c:pt idx="1">
                  <c:v>Строительство</c:v>
                </c:pt>
                <c:pt idx="2">
                  <c:v>Производство</c:v>
                </c:pt>
                <c:pt idx="3">
                  <c:v>Торговля</c:v>
                </c:pt>
                <c:pt idx="4">
                  <c:v>Гос.управление</c:v>
                </c:pt>
                <c:pt idx="5">
                  <c:v>Финансовый сектор</c:v>
                </c:pt>
                <c:pt idx="6">
                  <c:v>Транспорт</c:v>
                </c:pt>
                <c:pt idx="7">
                  <c:v>Деятельность дом.хоз</c:v>
                </c:pt>
                <c:pt idx="8">
                  <c:v>Социальный сектор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0.01</c:v>
                </c:pt>
                <c:pt idx="1">
                  <c:v>3.6700000000000003E-2</c:v>
                </c:pt>
                <c:pt idx="2">
                  <c:v>0.151</c:v>
                </c:pt>
                <c:pt idx="3">
                  <c:v>0.1198</c:v>
                </c:pt>
                <c:pt idx="4">
                  <c:v>0.1183</c:v>
                </c:pt>
                <c:pt idx="5">
                  <c:v>8.2000000000000003E-2</c:v>
                </c:pt>
                <c:pt idx="6">
                  <c:v>2.87E-2</c:v>
                </c:pt>
                <c:pt idx="7">
                  <c:v>2.9499999999999998E-2</c:v>
                </c:pt>
                <c:pt idx="8">
                  <c:v>0.42299999999999999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B778-4314-84AC-830D0F9ED4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029443492991913E-2"/>
          <c:y val="0.8071949155682927"/>
          <c:w val="0.98897055650700805"/>
          <c:h val="0.19280517271374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solidFill>
                  <a:schemeClr val="dk1"/>
                </a:solidFill>
                <a:effectLst/>
                <a:latin typeface="+mn-lt"/>
                <a:ea typeface="+mn-ea"/>
                <a:cs typeface="+mn-cs"/>
              </a:rPr>
              <a:t>Россия, 2017 г.</a:t>
            </a:r>
            <a:endParaRPr lang="ru-RU" sz="1400">
              <a:solidFill>
                <a:schemeClr val="dk1"/>
              </a:solidFill>
              <a:effectLst/>
              <a:latin typeface="+mn-lt"/>
              <a:ea typeface="+mn-ea"/>
              <a:cs typeface="+mn-cs"/>
            </a:endParaRPr>
          </a:p>
          <a:p>
            <a:pPr algn="l"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solidFill>
                  <a:schemeClr val="dk1"/>
                </a:solidFill>
                <a:effectLst/>
                <a:latin typeface="+mn-lt"/>
                <a:ea typeface="+mn-ea"/>
                <a:cs typeface="+mn-cs"/>
              </a:rPr>
              <a:t>Доля отраслей в ВВП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4.4744461290164829E-2"/>
          <c:y val="2.0851906223586458E-2"/>
        </c:manualLayout>
      </c:layout>
      <c:overlay val="0"/>
      <c:spPr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8777068806453693"/>
          <c:y val="0.19536278101756055"/>
          <c:w val="0.37432221244823971"/>
          <c:h val="0.6511957336390973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21D-45A9-9D39-FD08C193A0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21D-45A9-9D39-FD08C193A06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21D-45A9-9D39-FD08C193A06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21D-45A9-9D39-FD08C193A06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21D-45A9-9D39-FD08C193A06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21D-45A9-9D39-FD08C193A06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421D-45A9-9D39-FD08C193A06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421D-45A9-9D39-FD08C193A06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421D-45A9-9D39-FD08C193A068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Лист1!$A$2:$A$10</c:f>
              <c:strCache>
                <c:ptCount val="9"/>
                <c:pt idx="0">
                  <c:v>Сельское хозяйство</c:v>
                </c:pt>
                <c:pt idx="1">
                  <c:v>Строительство</c:v>
                </c:pt>
                <c:pt idx="2">
                  <c:v>Производство</c:v>
                </c:pt>
                <c:pt idx="3">
                  <c:v>Торговля</c:v>
                </c:pt>
                <c:pt idx="4">
                  <c:v>Гос.управление</c:v>
                </c:pt>
                <c:pt idx="5">
                  <c:v>Финансовый сектор</c:v>
                </c:pt>
                <c:pt idx="6">
                  <c:v>Транспорт</c:v>
                </c:pt>
                <c:pt idx="7">
                  <c:v>Деятельность дом.хоз</c:v>
                </c:pt>
                <c:pt idx="8">
                  <c:v>Социальный сектор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4.2000000000000003E-2</c:v>
                </c:pt>
                <c:pt idx="1">
                  <c:v>0.06</c:v>
                </c:pt>
                <c:pt idx="2">
                  <c:v>0.23799999999999999</c:v>
                </c:pt>
                <c:pt idx="3">
                  <c:v>0.14499999999999999</c:v>
                </c:pt>
                <c:pt idx="4">
                  <c:v>7.4999999999999997E-2</c:v>
                </c:pt>
                <c:pt idx="5">
                  <c:v>0.184</c:v>
                </c:pt>
                <c:pt idx="6">
                  <c:v>8.8999999999999996E-2</c:v>
                </c:pt>
                <c:pt idx="7">
                  <c:v>6.0000000000000001E-3</c:v>
                </c:pt>
                <c:pt idx="8">
                  <c:v>0.16200000000000001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421D-45A9-9D39-FD08C193A0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1753029577641737E-2"/>
          <c:y val="0.83765565336908188"/>
          <c:w val="0.96080614438072343"/>
          <c:h val="0.144471008425729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10 лет</a:t>
            </a:r>
          </a:p>
          <a:p>
            <a:pPr>
              <a:defRPr/>
            </a:pP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Динамика ВВП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forward val="5"/>
            <c:dispRSqr val="1"/>
            <c:dispEq val="1"/>
            <c:trendlineLbl>
              <c:layout>
                <c:manualLayout>
                  <c:x val="2.2568993196238799E-2"/>
                  <c:y val="-0.17634259259259299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trendlineLbl>
          </c:trendline>
          <c:xVal>
            <c:numRef>
              <c:f>[3]Лист3!$A$18:$A$27</c:f>
              <c:numCache>
                <c:formatCode>General</c:formatCode>
                <c:ptCount val="10"/>
                <c:pt idx="0">
                  <c:v>17</c:v>
                </c:pt>
                <c:pt idx="1">
                  <c:v>18</c:v>
                </c:pt>
                <c:pt idx="2">
                  <c:v>19</c:v>
                </c:pt>
                <c:pt idx="3">
                  <c:v>20</c:v>
                </c:pt>
                <c:pt idx="4">
                  <c:v>21</c:v>
                </c:pt>
                <c:pt idx="5">
                  <c:v>22</c:v>
                </c:pt>
                <c:pt idx="6">
                  <c:v>23</c:v>
                </c:pt>
                <c:pt idx="7">
                  <c:v>24</c:v>
                </c:pt>
                <c:pt idx="8">
                  <c:v>25</c:v>
                </c:pt>
                <c:pt idx="9">
                  <c:v>26</c:v>
                </c:pt>
              </c:numCache>
            </c:numRef>
          </c:xVal>
          <c:yVal>
            <c:numRef>
              <c:f>[3]Лист3!$C$18:$C$27</c:f>
              <c:numCache>
                <c:formatCode>0.00</c:formatCode>
                <c:ptCount val="10"/>
                <c:pt idx="0">
                  <c:v>82500.200373818181</c:v>
                </c:pt>
                <c:pt idx="1">
                  <c:v>76047.799166679411</c:v>
                </c:pt>
                <c:pt idx="2">
                  <c:v>79472.80032592958</c:v>
                </c:pt>
                <c:pt idx="3">
                  <c:v>83498.999321136449</c:v>
                </c:pt>
                <c:pt idx="4">
                  <c:v>86551.700149299009</c:v>
                </c:pt>
                <c:pt idx="5">
                  <c:v>88096.900111182636</c:v>
                </c:pt>
                <c:pt idx="6">
                  <c:v>88747.6005563824</c:v>
                </c:pt>
                <c:pt idx="7">
                  <c:v>86237.699659733509</c:v>
                </c:pt>
                <c:pt idx="8">
                  <c:v>86043.599816637929</c:v>
                </c:pt>
                <c:pt idx="9">
                  <c:v>87588.781692541626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B3A9-454A-9530-7D9D5BD2A5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01692312"/>
        <c:axId val="501682120"/>
      </c:scatterChart>
      <c:valAx>
        <c:axId val="501692312"/>
        <c:scaling>
          <c:orientation val="minMax"/>
          <c:min val="1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1682120"/>
        <c:crosses val="autoZero"/>
        <c:crossBetween val="midCat"/>
      </c:valAx>
      <c:valAx>
        <c:axId val="501682120"/>
        <c:scaling>
          <c:orientation val="minMax"/>
          <c:min val="6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169231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3677E-62BF-4B7B-81DF-5F4E1FBB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1428</Words>
  <Characters>9402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</vt:lpstr>
    </vt:vector>
  </TitlesOfParts>
  <Company>FreeDocx.ru</Company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</dc:title>
  <dc:subject/>
  <dc:creator>FreeDocx.ru</dc:creator>
  <cp:keywords/>
  <cp:lastModifiedBy>Екатерина Белоусько</cp:lastModifiedBy>
  <cp:revision>12</cp:revision>
  <cp:lastPrinted>2018-05-23T05:43:00Z</cp:lastPrinted>
  <dcterms:created xsi:type="dcterms:W3CDTF">2018-05-15T19:20:00Z</dcterms:created>
  <dcterms:modified xsi:type="dcterms:W3CDTF">2018-06-06T06:35:00Z</dcterms:modified>
</cp:coreProperties>
</file>