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 РОССИЙСКОЙ </w:t>
      </w:r>
      <w:r w:rsidRPr="0051288B">
        <w:rPr>
          <w:rFonts w:ascii="Times New Roman" w:eastAsia="Calibri" w:hAnsi="Times New Roman" w:cs="Times New Roman"/>
          <w:sz w:val="28"/>
          <w:szCs w:val="28"/>
        </w:rPr>
        <w:t>ФЕДЕРАЦИИ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88B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88B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88B">
        <w:rPr>
          <w:rFonts w:ascii="Times New Roman" w:eastAsia="Calibri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842A21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88B">
        <w:rPr>
          <w:rFonts w:ascii="Times New Roman" w:eastAsia="Calibri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51288B">
        <w:rPr>
          <w:rFonts w:ascii="Times New Roman" w:eastAsia="Calibri" w:hAnsi="Times New Roman" w:cs="Times New Roman"/>
          <w:b/>
          <w:bCs/>
          <w:sz w:val="28"/>
          <w:szCs w:val="28"/>
        </w:rPr>
        <w:t>КубГУ</w:t>
      </w:r>
      <w:proofErr w:type="spellEnd"/>
      <w:r w:rsidRPr="0051288B">
        <w:rPr>
          <w:rFonts w:ascii="Times New Roman" w:eastAsia="Calibri" w:hAnsi="Times New Roman" w:cs="Times New Roman"/>
          <w:b/>
          <w:bCs/>
          <w:sz w:val="28"/>
          <w:szCs w:val="28"/>
        </w:rPr>
        <w:t>»)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88B">
        <w:rPr>
          <w:rFonts w:ascii="Times New Roman" w:eastAsia="Calibri" w:hAnsi="Times New Roman" w:cs="Times New Roman"/>
          <w:b/>
          <w:bCs/>
          <w:sz w:val="28"/>
          <w:szCs w:val="28"/>
        </w:rPr>
        <w:t>Кафедра экономики предприятия, регионального и кадрового менеджмента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288B">
        <w:rPr>
          <w:rFonts w:ascii="Times New Roman" w:eastAsia="Calibri" w:hAnsi="Times New Roman" w:cs="Times New Roman"/>
          <w:b/>
          <w:bCs/>
          <w:sz w:val="28"/>
          <w:szCs w:val="28"/>
        </w:rPr>
        <w:t>КУРСОВАЯ РАБОТА</w:t>
      </w:r>
    </w:p>
    <w:p w:rsidR="00842A21" w:rsidRPr="0051288B" w:rsidRDefault="00842A21" w:rsidP="00842A2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ТРУДОВЫЕ РЕСУРСЫ И УПРАВЛЕНИЕ ПЕРСОНАЛОМ НА ПРЕДПРИЯТИИ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>Работу выполнила 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__________________________И. А. Полешко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>(подпись, дата)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Pr="005128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экономический                                                        </w:t>
      </w:r>
      <w:r w:rsidRPr="0051288B">
        <w:rPr>
          <w:rFonts w:ascii="Times New Roman" w:eastAsia="Calibri" w:hAnsi="Times New Roman" w:cs="Times New Roman"/>
          <w:sz w:val="28"/>
          <w:szCs w:val="28"/>
        </w:rPr>
        <w:t xml:space="preserve"> курс </w:t>
      </w:r>
      <w:r w:rsidRPr="005128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2       </w:t>
      </w:r>
      <w:r w:rsidRPr="0051288B">
        <w:rPr>
          <w:rFonts w:ascii="Times New Roman" w:eastAsia="Calibri" w:hAnsi="Times New Roman" w:cs="Times New Roman"/>
          <w:color w:val="FFFFFF"/>
          <w:sz w:val="28"/>
          <w:szCs w:val="28"/>
          <w:u w:val="single"/>
        </w:rPr>
        <w:t>.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 xml:space="preserve">Специальность </w:t>
      </w:r>
      <w:r w:rsidRPr="0051288B">
        <w:rPr>
          <w:rFonts w:ascii="Times New Roman" w:eastAsia="Calibri" w:hAnsi="Times New Roman" w:cs="Times New Roman"/>
          <w:sz w:val="28"/>
          <w:szCs w:val="28"/>
          <w:u w:val="single"/>
        </w:rPr>
        <w:t>38.05.01 – Экономическая безопасность</w:t>
      </w:r>
      <w:proofErr w:type="gramStart"/>
      <w:r w:rsidRPr="005128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</w:t>
      </w:r>
      <w:r w:rsidRPr="0051288B">
        <w:rPr>
          <w:rFonts w:ascii="Times New Roman" w:eastAsia="Calibri" w:hAnsi="Times New Roman" w:cs="Times New Roman"/>
          <w:color w:val="FFFFFF"/>
          <w:sz w:val="28"/>
          <w:szCs w:val="28"/>
          <w:u w:val="single"/>
        </w:rPr>
        <w:t>.</w:t>
      </w:r>
      <w:proofErr w:type="gramEnd"/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Канд. </w:t>
      </w:r>
      <w:proofErr w:type="spellStart"/>
      <w:r w:rsidRPr="00480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</w:t>
      </w:r>
      <w:proofErr w:type="spellEnd"/>
      <w:r w:rsidRPr="00480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наук, доцент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288B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_А. В. Коваленко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>(подпись, дата)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88B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proofErr w:type="spellEnd"/>
      <w:r w:rsidRPr="005128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 xml:space="preserve">преподаватель ___________________________________________Д. Н. </w:t>
      </w:r>
      <w:proofErr w:type="spellStart"/>
      <w:r w:rsidRPr="0051288B">
        <w:rPr>
          <w:rFonts w:ascii="Times New Roman" w:eastAsia="Calibri" w:hAnsi="Times New Roman" w:cs="Times New Roman"/>
          <w:sz w:val="28"/>
          <w:szCs w:val="28"/>
        </w:rPr>
        <w:t>Ванян</w:t>
      </w:r>
      <w:proofErr w:type="spellEnd"/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88B">
        <w:rPr>
          <w:rFonts w:ascii="Times New Roman" w:eastAsia="Calibri" w:hAnsi="Times New Roman" w:cs="Times New Roman"/>
          <w:sz w:val="28"/>
          <w:szCs w:val="28"/>
        </w:rPr>
        <w:t>(подпись, дата)</w:t>
      </w: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A21" w:rsidRPr="0051288B" w:rsidRDefault="00842A21" w:rsidP="0084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900" w:rsidRDefault="000E7900" w:rsidP="000E79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 2017</w:t>
      </w:r>
      <w:bookmarkStart w:id="0" w:name="_GoBack"/>
      <w:bookmarkEnd w:id="0"/>
    </w:p>
    <w:p w:rsidR="00870B5F" w:rsidRDefault="00870B5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5C07EF" w:rsidRPr="00A81D74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1D7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Содержание</w:t>
      </w:r>
      <w:r w:rsidR="00A81D7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C07EF" w:rsidRPr="00D05D7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5D7F" w:rsidRPr="00D05D7F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 Понятие трудовых ресурсов и их роль в повышении эффективности</w:t>
      </w:r>
    </w:p>
    <w:p w:rsidR="005C07EF" w:rsidRPr="00D05D7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деятельности предприятия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5D7F" w:rsidRPr="00D05D7F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C07EF" w:rsidRPr="00D05D7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1.1 Понятие и значение трудовых ресурсов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5D7F" w:rsidRPr="00D05D7F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C07EF" w:rsidRPr="00D05D7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1.2 Классификация, состав и структура трудовых ресурсов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5D7F" w:rsidRPr="00D05D7F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5C07EF" w:rsidRPr="005C07EF" w:rsidRDefault="005C07EF" w:rsidP="00D05D7F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1.3 Основные показатели, используемые для анализа трудовых</w:t>
      </w:r>
      <w:r w:rsidR="00D05D7F" w:rsidRPr="00D05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есурсов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  <w:t>14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2 Анализ эффективности использования трудовых ресурсов ПАО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«МТС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  <w:t>18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2.1 Общая характеристика предприятия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  <w:t>18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2.2 Анализ состава и структуры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ПАО «МТС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  <w:t>24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2.3 Анализ показателей эффективности использования трудовых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ресурсов ПАО «МТС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ab/>
        <w:t>27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3 Пути повышения эффективности использования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proofErr w:type="gramEnd"/>
    </w:p>
    <w:p w:rsidR="005C07EF" w:rsidRPr="005C07EF" w:rsidRDefault="00AE60AD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="00D05D7F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3.1 Обоснование необходимости повышения эффективности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использования трудовых ресурсов на предприятии</w:t>
      </w:r>
      <w:r w:rsidR="00AE60AD">
        <w:rPr>
          <w:rFonts w:ascii="Times New Roman" w:hAnsi="Times New Roman" w:cs="Times New Roman"/>
          <w:color w:val="000000"/>
          <w:sz w:val="28"/>
          <w:szCs w:val="28"/>
        </w:rPr>
        <w:tab/>
        <w:t>33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3.2 Мероприятия по повышению эффективности использования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 на предприятии</w:t>
      </w:r>
      <w:r w:rsidR="00AE60AD">
        <w:rPr>
          <w:rFonts w:ascii="Times New Roman" w:hAnsi="Times New Roman" w:cs="Times New Roman"/>
          <w:color w:val="000000"/>
          <w:sz w:val="28"/>
          <w:szCs w:val="28"/>
        </w:rPr>
        <w:tab/>
        <w:t>34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3.3 Расчет эффективности мероприятий по использованию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</w:t>
      </w:r>
      <w:r w:rsidR="00AE60AD">
        <w:rPr>
          <w:rFonts w:ascii="Times New Roman" w:hAnsi="Times New Roman" w:cs="Times New Roman"/>
          <w:color w:val="000000"/>
          <w:sz w:val="28"/>
          <w:szCs w:val="28"/>
        </w:rPr>
        <w:tab/>
        <w:t>36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AE60AD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:rsidR="005C07EF" w:rsidRPr="005C07EF" w:rsidRDefault="005C07EF" w:rsidP="00A81D7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 w:rsidR="00AE60AD">
        <w:rPr>
          <w:rFonts w:ascii="Times New Roman" w:hAnsi="Times New Roman" w:cs="Times New Roman"/>
          <w:color w:val="000000"/>
          <w:sz w:val="28"/>
          <w:szCs w:val="28"/>
        </w:rPr>
        <w:tab/>
        <w:t>41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7EF" w:rsidRDefault="005C07EF" w:rsidP="00A81D74">
      <w:pPr>
        <w:spacing w:line="360" w:lineRule="auto"/>
        <w:ind w:firstLine="709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br w:type="page"/>
      </w:r>
    </w:p>
    <w:p w:rsidR="005C07EF" w:rsidRPr="00AE60AD" w:rsidRDefault="00AE60AD" w:rsidP="00A81D7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,Bold" w:hAnsi="Times New Roman,Bold" w:cs="Times New Roman,Bold"/>
          <w:bCs/>
          <w:color w:val="000000"/>
          <w:sz w:val="28"/>
          <w:szCs w:val="28"/>
        </w:rPr>
      </w:pPr>
      <w:r w:rsidRPr="00AE60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ВВЕДЕНИЕ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Из всей совокупности производственных ресурсов трудовые ресурсы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занимают особое место в процессе создания материальных и духовных благ.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Именно трудом работников приводятся в движение орудия труда, именно их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целенаправленное воздействие на предмет труда создает ту потребительную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стоимость, с которой предприятие выходит на рынок и реализация которой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определяет общественную значимость созданного конечного продукта.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Какими бы техническими и организационными возможностями не обладало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предприятие, оно не будет эффективно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и быть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конкурентоспособным на рынке без наличия на нем соответствующего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персонала, способного реализовать заложенный в материально-технической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базе производства потенциал. Глубокое осознание значения и роли трудовых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ресурсов в производственных отношениях привело западных специалистов к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характеристике предприятий как совокупности вещественного и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человеческого капитала.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Трудовая деятельность работников основана на функциональном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разделении труда, которое предусматривает деление всех работников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предприятий на группы в зависимости от их роли в осуществлении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производственного процесса и характера выполняемой работы. В его основе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лежит производственная функция, представляющая собой обособленный вид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деятельности, направленный на реализацию конкретной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производственной задачи.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AD">
        <w:rPr>
          <w:rFonts w:ascii="Times New Roman" w:hAnsi="Times New Roman" w:cs="Times New Roman"/>
          <w:i/>
          <w:color w:val="000000"/>
          <w:sz w:val="28"/>
          <w:szCs w:val="28"/>
        </w:rPr>
        <w:t>Актуальность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выбора темы заключается в том, что от обеспеченности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предприятия высококвалифицированными кадрами и эффективности их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использования зависят объем и своевременность выполнения всех работ,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рациональное функционирование оборудования, машин, механизмов и как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результат выпуск продукции, ее себестоимость, прибыль и ряд других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экономических показателей.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A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Основной целью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данной курсовой работы является изучение и оценка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трудовых ресурсов на предприятии ПАО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«МТС».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AD">
        <w:rPr>
          <w:rFonts w:ascii="Times New Roman" w:hAnsi="Times New Roman" w:cs="Times New Roman"/>
          <w:i/>
          <w:color w:val="000000"/>
          <w:sz w:val="28"/>
          <w:szCs w:val="28"/>
        </w:rPr>
        <w:t>Задачи работы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что: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изучить понятие, задачи и сущность трудовых ресурсов;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рассмотреть основные показатели, которые используются для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анализа трудовых ресурсов;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дать полную характеристику предприятия ПАО «МТС»;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проанализировать финансово – экономическую деятельность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ПАО «МТС»</w:t>
      </w:r>
    </w:p>
    <w:p w:rsidR="00A81D74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рассмотреть пути повышения эффективности использования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 на предприятии ПАО «МТС»;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рассчитать экономическую эффективность по использованию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ресурсов.</w:t>
      </w:r>
    </w:p>
    <w:p w:rsidR="005C07EF" w:rsidRPr="005C07EF" w:rsidRDefault="005C07EF" w:rsidP="00A81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Для реализации поставленных целей использовались научные и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материалы, официальные данные финансовой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(бухгалтерской) отчетности компании ПАО «МТС».</w:t>
      </w:r>
    </w:p>
    <w:p w:rsidR="00A81D74" w:rsidRDefault="00A81D74" w:rsidP="00A81D7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5C07EF" w:rsidRPr="00AE60AD" w:rsidRDefault="00AE60AD" w:rsidP="00A81D7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60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Глава </w:t>
      </w:r>
      <w:r w:rsidR="005C07EF"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C07EF"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C07EF"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>Понятие трудовых ресурсов и их роль в повышении</w:t>
      </w:r>
    </w:p>
    <w:p w:rsidR="005C07EF" w:rsidRPr="00AE60AD" w:rsidRDefault="005C07EF" w:rsidP="00A81D74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эффективности деятельности предприятия</w:t>
      </w:r>
      <w:r w:rsidR="00AE60AD"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C07EF" w:rsidRPr="00AE60AD" w:rsidRDefault="005C07EF" w:rsidP="00A81D74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60AD">
        <w:rPr>
          <w:rFonts w:ascii="Times New Roman" w:hAnsi="Times New Roman" w:cs="Times New Roman"/>
          <w:bCs/>
          <w:color w:val="000000"/>
          <w:sz w:val="28"/>
          <w:szCs w:val="28"/>
        </w:rPr>
        <w:t>1.1 Понятие и значение трудовых ресурсов</w:t>
      </w:r>
    </w:p>
    <w:p w:rsidR="00A81D74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Наиболее важным элементом производительных сил и главным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источником развития экономики являются люди, т. е. их мастерство,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образование, подготовка, мотивация деятельности. Существует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непосредственная зависимость конкурентоспособности экономики и уровня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благосостояния населения от качества трудового потенциала персонала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предприятий и организаций данной страны. Рыночный успех предприятий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непосредственно зависит от квалификационной структуры их человеческих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ресурсов. В динамичных конкурентных условиях эти предприятия в своей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кадровой политике должны соблюдать баланс между максимизацией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гибкости и эффективности персонала. Направленность кадровой политики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не только важным фактором влияния на успех предприятия, но 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сама становится следствием его успешной деятельности. Благодаря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дальнейшей подготовке кадров создается необходимая квалификация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персонала.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 трудовым ресурсам относится та часть населения, которая обладает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необходимыми физическими данными, знаниями и навыками труда в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соответствующей отрасли. Достаточная обеспеченность предприятий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нужными трудовыми ресурсами, их рациональное использование, высокий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уровень производительности труда имеют большое значение для увеличения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объемов продукции и повышения эффективности производства. В частности,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от обеспеченности предприятия трудовыми ресурсами и эффективности их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использования зависят объем и своевременность выполнения всех работ,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эффективность использования оборудования, машин, механизмов, и как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результат — объем производства продукции, ее себестоимость, прибыль и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ряд других экономических показателей.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 трудовыми ресурсами понимают часть населения, обладающую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физическим развитием, умственными способностями и знаниями,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необходимыми для осуществления полезной деятельности.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Исходя из сказанного, к трудовым ресурсам относятся:</w:t>
      </w:r>
    </w:p>
    <w:p w:rsidR="005C07EF" w:rsidRPr="005C07EF" w:rsidRDefault="00792801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 в трудоспособном возрасте за исключением инвалидов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войны и труда I и II групп и неработающих лиц, получающих пенсии на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льготных условиях;</w:t>
      </w:r>
    </w:p>
    <w:p w:rsidR="005C07EF" w:rsidRPr="005C07EF" w:rsidRDefault="00792801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работающие лица пенсионного возраста;</w:t>
      </w:r>
    </w:p>
    <w:p w:rsidR="005C07EF" w:rsidRPr="00614D8E" w:rsidRDefault="00792801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работающие подростки в возрасте до 16 лет. По российскому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законодательству подростки до 16 лет принимаются на работу по</w:t>
      </w:r>
      <w:r w:rsidR="00A81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достижении ими 15-летнего возраста в исключительных случаях.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Допускается также, в целях подготовки молодежи к труду, прием на работу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учащихся общеобразовательных школ, профессионально-технических и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средних специальных учебных заведений по достижении ими 14-летнего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5C07EF" w:rsidRPr="00614D8E">
        <w:rPr>
          <w:rFonts w:ascii="Times New Roman" w:hAnsi="Times New Roman" w:cs="Times New Roman"/>
          <w:sz w:val="28"/>
          <w:szCs w:val="28"/>
        </w:rPr>
        <w:t xml:space="preserve">раста с согласия одного </w:t>
      </w:r>
      <w:proofErr w:type="spellStart"/>
      <w:r w:rsidR="005C07EF" w:rsidRPr="00614D8E">
        <w:rPr>
          <w:rFonts w:ascii="Times New Roman" w:hAnsi="Times New Roman" w:cs="Times New Roman"/>
          <w:sz w:val="28"/>
          <w:szCs w:val="28"/>
        </w:rPr>
        <w:t>изродителей</w:t>
      </w:r>
      <w:proofErr w:type="spellEnd"/>
      <w:r w:rsidR="005C07EF" w:rsidRPr="00614D8E">
        <w:rPr>
          <w:rFonts w:ascii="Times New Roman" w:hAnsi="Times New Roman" w:cs="Times New Roman"/>
          <w:sz w:val="28"/>
          <w:szCs w:val="28"/>
        </w:rPr>
        <w:t xml:space="preserve"> или заменяющего его лица при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="005C07EF" w:rsidRPr="00614D8E">
        <w:rPr>
          <w:rFonts w:ascii="Times New Roman" w:hAnsi="Times New Roman" w:cs="Times New Roman"/>
          <w:sz w:val="28"/>
          <w:szCs w:val="28"/>
        </w:rPr>
        <w:t>условии предоставления им легкого труда. Не причиняющего вреда здоровью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="005C07EF" w:rsidRPr="00614D8E">
        <w:rPr>
          <w:rFonts w:ascii="Times New Roman" w:hAnsi="Times New Roman" w:cs="Times New Roman"/>
          <w:sz w:val="28"/>
          <w:szCs w:val="28"/>
        </w:rPr>
        <w:t>и не мешающего процессу обучения.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Персонал предприятия формируется и изменяется под влиянием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внутренних (характер продукции, технологии и организации производства) и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внешних (демографические процессы, юридические и моральные нормы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 xml:space="preserve">общества, характер рынка труда и т. п.) факторов. </w:t>
      </w:r>
      <w:proofErr w:type="gramStart"/>
      <w:r w:rsidRPr="00614D8E">
        <w:rPr>
          <w:rFonts w:ascii="Times New Roman" w:hAnsi="Times New Roman" w:cs="Times New Roman"/>
          <w:sz w:val="28"/>
          <w:szCs w:val="28"/>
        </w:rPr>
        <w:t>Влияние последних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конкретизируется в таких параметрах макроэкономического характера: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количество активного (трудоспособного) населения, общеобразовательный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его уровень, предложение рабочей силы, уровень занятости, потенциальный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резерв рабочей силы.</w:t>
      </w:r>
      <w:proofErr w:type="gramEnd"/>
      <w:r w:rsidRPr="00614D8E">
        <w:rPr>
          <w:rFonts w:ascii="Times New Roman" w:hAnsi="Times New Roman" w:cs="Times New Roman"/>
          <w:sz w:val="28"/>
          <w:szCs w:val="28"/>
        </w:rPr>
        <w:t xml:space="preserve"> В свою очередь эти характеристики определяют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количественные и качественные параметры трудовых ресурсов.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Трудовые ресурсы - это часть трудоспособного населения, которая по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своим возрастным, физическим, образовательным данным соответствует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определенной сфере деятельности. Следует различать трудовые ресурсы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lastRenderedPageBreak/>
        <w:t>реальные (те люди, которые уже работают) и потенциальные (те, что в свое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время могут быть привлечены к конкретному труду).</w:t>
      </w:r>
    </w:p>
    <w:p w:rsidR="005C07EF" w:rsidRPr="00614D8E" w:rsidRDefault="005C07EF" w:rsidP="0083441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Трудовые ресурсы - это определенным образом упорядоченная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совокупность работников, предназначенных для выполнения заданных видов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и объемов работ.</w:t>
      </w:r>
    </w:p>
    <w:p w:rsidR="005C07EF" w:rsidRPr="00614D8E" w:rsidRDefault="005C07EF" w:rsidP="0083441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Производительность труда характеризует эффективность живого труда.</w:t>
      </w:r>
    </w:p>
    <w:p w:rsidR="005C07EF" w:rsidRPr="00614D8E" w:rsidRDefault="005C07EF" w:rsidP="0083441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Непрерывный рост производительности труда – это основной источник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расширения производства и увеличения внутреннего валового продукта.</w:t>
      </w:r>
    </w:p>
    <w:p w:rsidR="005C07EF" w:rsidRPr="00614D8E" w:rsidRDefault="005C07EF" w:rsidP="0083441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Производительность в широком понимании – это умственная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склонность человека к постоянному поиску возможности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усовершенствования того, что существует. Оно основано на уверенности в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том, что человек может работать сегодня лучше, чем вчера, а завтра еще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лучше. Оно требует постоянного совершенствования экономической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D8E">
        <w:rPr>
          <w:rFonts w:ascii="Times New Roman" w:hAnsi="Times New Roman" w:cs="Times New Roman"/>
          <w:sz w:val="28"/>
          <w:szCs w:val="28"/>
        </w:rPr>
        <w:t>При изучении вопроса об экономическом содержании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производительности труда надо исходить из того, что труд, затрачиваемый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на производство продукции, состоит из живого труда, расходуемого в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данный момент в процессе производства продукции, и прошлого труда,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овеществленного в ранее созданной продукции, используемый для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производства новой.</w:t>
      </w:r>
      <w:proofErr w:type="gramEnd"/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Основными задачами анализа эффективного использования трудовых</w:t>
      </w:r>
      <w:r w:rsidR="00614D8E" w:rsidRPr="00614D8E">
        <w:rPr>
          <w:rFonts w:ascii="Times New Roman" w:hAnsi="Times New Roman" w:cs="Times New Roman"/>
          <w:sz w:val="28"/>
          <w:szCs w:val="28"/>
        </w:rPr>
        <w:t xml:space="preserve"> </w:t>
      </w:r>
      <w:r w:rsidRPr="00614D8E">
        <w:rPr>
          <w:rFonts w:ascii="Times New Roman" w:hAnsi="Times New Roman" w:cs="Times New Roman"/>
          <w:sz w:val="28"/>
          <w:szCs w:val="28"/>
        </w:rPr>
        <w:t>ресурсов являются: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– анализ эффективности использования трудовых ресурсов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– оценка производительности труда;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 xml:space="preserve">– выявление резервов трудовых ресурсов, более </w:t>
      </w:r>
      <w:proofErr w:type="gramStart"/>
      <w:r w:rsidRPr="00614D8E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 w:rsidRPr="00614D8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C07EF" w:rsidRP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эффективного их использования.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Для определения роли человека в общественном производстве,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профессиональной подготовленности, приобретенных умений и навыков с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ожидаемым результатом, стала применяться экономическая категория –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трудовой потенциал.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 определении сущности категории «трудовой потенциал» имеется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три принципиально различных подхода: ресурсный, факторный,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потенциальный.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Сторонники ресурсного подхода отождествляют содержание понятия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«трудовой потенциал» и «трудовые ресурсы».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Таким образом, для последних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характерно определение трудового потенциала как совокупного социального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ресурса общества, который имеет количественную (пол, возраст,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численность) и качественную (комплекс научных и практических знаний)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определенность.</w:t>
      </w:r>
      <w:proofErr w:type="gramEnd"/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Более интересным представляется подход сторонников факторного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(М.И.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Скаржинский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, С.И. Пирожков, Т.И.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Заславская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 А.С.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Панкратов), которые определяют трудовой потенциал как особую форму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личного или человеческого фактора, как общественную способность к труду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«обобщенную (общую) совокупность трудовых возможностей личности,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коллектива, общества при данных социально-экономических условиях».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Расхождение между первым и вторым подходами наиболее заметно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 характеристике качественной стороны трудового потенциала, к которой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представители факторного подхода относят не только ресурсную, но и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психофизическую, интеллектуальную, социальную сторону (т.е. мотивы,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ценностные ориентации труда, личностные характеристики работников,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социально-экономические и идеологические отношения). Таким образом, в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целом сторонники факторного подхода дают более широкую трактовку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содержания понятия «трудовой потенциал» по сравнению с представителями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ресурсного подхода.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Суть потенциального подхода к трактовке трудового потенциала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состоит в том, что его содержание сводится к потенциалу самого труда.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Генетическая основа трудового потенциала связывается не с совокупностью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способностей к труду, а с совокупным работником. Под трудовым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потенциалом понимается социально-экономическая форма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функционирования личного фактора производства, основанная на системе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производственных отношений общества по воспроизводству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психофизиологических, квалификационных, духовных и социальных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способностей населения.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Реальный подход к рыночной экономике предполагает наличие «рынка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труда». Под рынком труда понимается сложный социально-экономический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механизм, отражающий совокупность отношений между людьми по поводу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воспроизводства трудового потенциала в условиях товарного производства и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 его законам.</w:t>
      </w:r>
    </w:p>
    <w:p w:rsidR="00614D8E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Функционирование рынка труда и</w:t>
      </w:r>
      <w:r w:rsidR="00614D8E">
        <w:rPr>
          <w:rFonts w:ascii="Times New Roman" w:hAnsi="Times New Roman" w:cs="Times New Roman"/>
          <w:color w:val="000000"/>
          <w:sz w:val="28"/>
          <w:szCs w:val="28"/>
        </w:rPr>
        <w:t>меет ряд особенностей, а именно:</w:t>
      </w:r>
    </w:p>
    <w:p w:rsidR="005C07EF" w:rsidRPr="005C07EF" w:rsidRDefault="00614D8E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неотделимость прав на товар. Труд представляет собой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расходования рабочей силы; в процессе купли-продажи труда возникают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особые отношения;</w:t>
      </w:r>
    </w:p>
    <w:p w:rsidR="005C07EF" w:rsidRPr="005C07EF" w:rsidRDefault="00614D8E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значительная продолжительность контакта продавца и покупателя.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Сделка, совершаемая на рынке труда, предполагает начало длительных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отношений между продавцом и покупателем;</w:t>
      </w:r>
    </w:p>
    <w:p w:rsidR="005C07EF" w:rsidRPr="005C07EF" w:rsidRDefault="00614D8E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 </w:t>
      </w:r>
      <w:proofErr w:type="spell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неденежных</w:t>
      </w:r>
      <w:proofErr w:type="spell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сделки (условия труда, микроклимат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в коллективе, перспективы профессионального роста);</w:t>
      </w:r>
    </w:p>
    <w:p w:rsidR="005C07EF" w:rsidRPr="005C07EF" w:rsidRDefault="00614D8E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большого числа институциональных структур особого рода.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 ним относятся: система трудового законодательства; различные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учреждения и службы регулирования занятости;</w:t>
      </w:r>
    </w:p>
    <w:p w:rsidR="005C07EF" w:rsidRPr="005C07EF" w:rsidRDefault="00614D8E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государственные программы в области труда и занятости и т.д.;</w:t>
      </w:r>
    </w:p>
    <w:p w:rsidR="005C07EF" w:rsidRPr="005C07EF" w:rsidRDefault="00614D8E" w:rsidP="008344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высокая степень индивидуализации сделок</w:t>
      </w:r>
      <w:r w:rsidR="002D719A"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614D8E" w:rsidRDefault="005C07EF" w:rsidP="00614D8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D8E">
        <w:rPr>
          <w:rFonts w:ascii="Times New Roman" w:hAnsi="Times New Roman" w:cs="Times New Roman"/>
          <w:bCs/>
          <w:color w:val="000000"/>
          <w:sz w:val="28"/>
          <w:szCs w:val="28"/>
        </w:rPr>
        <w:t>1.2 Классификация, состав и структура трудовых ресурсов</w:t>
      </w:r>
    </w:p>
    <w:p w:rsidR="005C07EF" w:rsidRPr="00BE2C19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 предприятия (кадры, трудовой коллектив) - это совокупность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>входящих в его списочный состав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[4</w:t>
      </w:r>
      <w:r w:rsidR="00792801" w:rsidRPr="0079280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Трудовые ресурсы - это часть населения трудоспособного возраста,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обладающая необходимым физическим развитием, знаниями и практическим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опытом для работы в народном хозяйстве. К трудовым ресурсам относят как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занятых, так и потенциальных работников.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Рабочая сила – это способность человека к труду, т.е. совокупность его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физических и интеллектуальных данных, которые могут быть применены в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производстве. Практически рабочая сила характеризуется показателями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здоровья, образования и профессионализма.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Человеческий капитал – совокупность качеств, которые определяют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производительность и могут стать источниками дохода для человека, семьи,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предприятия и общества. Такими качествами считаются здоровье, природные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способности, образование, профессионализм и мобильность</w:t>
      </w:r>
      <w:r w:rsidR="002D719A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>10]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Трудовой потенциал – это часть потенциала человека, который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формируется на основе природных данных (способностей), образования,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воспитания и жизненного опыта.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Компоненты трудового потенциала: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здоровье. Потери рабочего времени из-за болезни и травмы. Затраты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на обеспечение здоровья персонала;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нравственность и умение работать в коллективе. Потери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конфликтов;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потенциал. Количество изобретений, патентов,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предприимчивость;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организованность. Потери от нарушения дисциплины.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Исполнительность;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образование. Затраты на повышение квалификации персонала;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профессионализм. Качество продукции, потери от брака;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ресурсы рабочего времени. Количество сотрудников,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часов работы за год на 1 сотрудника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C19">
        <w:rPr>
          <w:rFonts w:ascii="Times New Roman" w:hAnsi="Times New Roman" w:cs="Times New Roman"/>
          <w:color w:val="000000"/>
          <w:sz w:val="28"/>
          <w:szCs w:val="28"/>
        </w:rPr>
        <w:t>[13]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 предприятия (кадры, трудовой коллектив) - это совокупность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работников, входящих в его списочный состав.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Все работники предприятия делятся на две группы: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промышленно-производственный персонал, занятый производством и</w:t>
      </w:r>
      <w:r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его обслуживанием;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непромышленный персонал, занятый в основном в социальной сфере</w:t>
      </w:r>
      <w:r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деятельности предприятия.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По характеру выполняемых функций промышленно-производственный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 (ППП) подразделяется на четыре категории: руководители,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специалисты, рабочие и служащие.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Рабочие - это работники, непосредственно занятые производством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продукции (услуг), ремонтом, перемещением грузов и т.п. К ни</w:t>
      </w:r>
      <w:r w:rsidR="00BE2C19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относятся уборщицы, дворники, гардеробщики, охранники.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В зависимости от характера участия в производственном процессе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рабочие, в свою очередь, делятся на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(производящих продукцию) и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вспомогательных (обслуживающих технологический процесс).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Руководители - работники, занимающие должности руководителей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предприятий и их структурных подразделений (функциональных служб), а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также их заместители.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По уровню, занимаемому в общей системе управления народным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хозяйством, все руководители подразделяются на: руководителей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низового, среднего и высшего звена.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 руководителям низового звена принято относить мастеров, прорабов,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начальников небольших цехов, а также руководителей подразделений внутри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функциональных отделов и служб.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Руководителями среднего звена считаются директора предприятий,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генеральные директора всевозможных объединений и их заместители,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начальники крупных цехов.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 руководящим работникам высшего звена обычно относятся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руководители ФПГ, генеральные директора крупных объединений</w:t>
      </w:r>
      <w:r w:rsidR="002D719A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руководители функциональных управлений министерств, ведомств и их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заместители.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Специалисты - работники, выполняющие инженерно-технические,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экономические и другие функции. К ним относятся инженеры, экономисты,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бухгалтеры, социологи, юрисконсульты, нормировщики, техники и др.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Технические исполнители (служащие) - работники, осуществляющие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подготовку и оформление документов, хозяйственное обслуживание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(делопроизводители, секретари-машинистки, табельщики, чертежники,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копировщицы, архивариусы, агенты и др.).</w:t>
      </w:r>
      <w:proofErr w:type="gramEnd"/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Соотношение работников по категориям характеризует структуру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 предприятия. В зависимости от характера трудовой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деятельности персонал предприятия подразделяют по профессиям,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специальностям и уровню квалификации.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Профессия - определенный вид деятельности (занятий) человека,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обусловленный совокупностью знаний и трудовых навыков, приобретенных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 результате специального обучения.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Профессиональный состав персонала предприятия зависит от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специфики деятельности, характера продукции или услуг, уровня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технического развития. Каждая отрасль имеет присущие лишь ей профессии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 специальности. В то же время существуют общие (сквозные) профессии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рабочих и служащих. Так, например, в пищевой промышленности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насчитывается 850 профессий и специальностей, но только коло половины из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них являются специфическими для этой отрасли.</w:t>
      </w:r>
    </w:p>
    <w:p w:rsidR="005C07EF" w:rsidRPr="00BE2C19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Специальность - вид деятельности в рамках той или иной профессии,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который имеет специфические особенности и требует от работников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дополнительных специальных знаний и навыков. Например: экономис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плановик, экономист-бухгалтер, экономист-финансист, экономист-трудовик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 рамках профессии экономиста. Или: слесарь-наладчик, слесарь-монтажник,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слесарь-сантехник в рамках рабочей профессии слесаря</w:t>
      </w:r>
      <w:r w:rsidR="002D719A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Квалификация - степень и вид профессиональной подготовки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работника, наличие у него знаний, умения и навыков, необходимых для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выполнения работы или функций определенной сложности, которая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отображается в квалификационных (тарифных) разрядах и категориях.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Квалификации руководителей, специалистов и служащих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характеризуется уровнем образования, опытом работы на той или иной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должности. Принято выделять специалистов наивысшей квалификации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(работники, имеющие ученые степени и звания), специалистов, высшей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квалификации (работники с высшим образованием и значительным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практическим опытом), специалистов средней квалификации (работники со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средним специальным образованием и определенным опытом),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специалистов-практиков (работники, занимающие соответствующие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должности, например, инженерные и экономические, но не получившие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специального образования).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По уровню квалификации рабочие также делятся на четыре группы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высококвалифицированные;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квалифицированные;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малоквалифицированные;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неквалифицированные.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Они выполняют различные по сложности работы и имеют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неодинаковую профессиональную подготовку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Эти квалификационные признаки персонала предприятия наряду с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другими (пол, возраст, уровень механизации труда, стаж) служат основой для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расчетов разных видов структур. Для эффективного управления имеет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не простая констатация численности (или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динамики) отдельных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категорий работников, а изучение соотношений между ними.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связано с разработкой и реализацией кадровой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политики, основными целями которой являются: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удовлетворение потребности предприятия в кадрах</w:t>
      </w:r>
      <w:r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[16]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рациональной расстановки, профессиональн</w:t>
      </w:r>
      <w:proofErr w:type="gram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квалификационного и должностного продвижения кадров;</w:t>
      </w:r>
    </w:p>
    <w:p w:rsidR="005C07EF" w:rsidRPr="005C07EF" w:rsidRDefault="00BE2C19" w:rsidP="008344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эффективное использование трудового потенциала предприятия.</w:t>
      </w:r>
    </w:p>
    <w:p w:rsidR="005C07EF" w:rsidRPr="00BE2C19" w:rsidRDefault="005C07EF" w:rsidP="00BE2C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1.3 Основные показатели, используемые для анализа </w:t>
      </w:r>
      <w:proofErr w:type="gramStart"/>
      <w:r w:rsidRPr="00BE2C19">
        <w:rPr>
          <w:rFonts w:ascii="Times New Roman" w:hAnsi="Times New Roman" w:cs="Times New Roman"/>
          <w:bCs/>
          <w:color w:val="000000"/>
          <w:sz w:val="28"/>
          <w:szCs w:val="28"/>
        </w:rPr>
        <w:t>трудовых</w:t>
      </w:r>
      <w:proofErr w:type="gramEnd"/>
    </w:p>
    <w:p w:rsidR="005C07EF" w:rsidRPr="00BE2C19" w:rsidRDefault="00BE2C19" w:rsidP="00BE2C1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bCs/>
          <w:color w:val="000000"/>
          <w:sz w:val="28"/>
          <w:szCs w:val="28"/>
        </w:rPr>
        <w:t>ресурсов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хозяйствования особенно остро стоит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проблема значительного улучшения качества и совершенствования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разработки плана по росту производительности труда. Это является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важнейшим условием обеспечения экономически правильного соотношения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между темпами прироста производительности труда и заработной платы.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 анализе производительности труда рассчитываются, как правило,</w:t>
      </w:r>
      <w:r w:rsidR="00BE2C19"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два показателя: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– количество продукции, выработанной в единицу</w:t>
      </w:r>
      <w:r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рабочего времени;</w:t>
      </w:r>
    </w:p>
    <w:p w:rsidR="005C07EF" w:rsidRPr="005C07EF" w:rsidRDefault="00BE2C19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C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трудоемкость – количество рабочего времени, затраченного на</w:t>
      </w:r>
      <w:r w:rsidRPr="00BE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изготовление единицы продукции.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Наиболее обобщающий показатель производительности труда –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среднегодовая выработка продукции одним работником. Его величина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зависит не только от выработки рабочих, но и от удельного веса последних в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общей численности персонала, а также от количества отработанных дней и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продолжительности рабочего дня. Среднегодовую выработку продукции</w:t>
      </w:r>
    </w:p>
    <w:p w:rsidR="005C07EF" w:rsidRPr="002D719A" w:rsidRDefault="00834413" w:rsidP="008344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дним работником можно представить в виде произведения следующих</w:t>
      </w:r>
      <w:r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 xml:space="preserve"> [5]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48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ГВ=Уд ∙ Д ∙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∙ ЧВ,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4413" w:rsidRPr="00842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4413" w:rsidRPr="00842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(1.1)</w:t>
      </w:r>
    </w:p>
    <w:p w:rsidR="005C07EF" w:rsidRPr="00834413" w:rsidRDefault="005C07EF" w:rsidP="0083441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413">
        <w:rPr>
          <w:rFonts w:ascii="Times New Roman" w:hAnsi="Times New Roman" w:cs="Times New Roman"/>
          <w:sz w:val="28"/>
          <w:szCs w:val="28"/>
        </w:rPr>
        <w:t>где Уд - удельный вес рабочих в общей численности ППП</w:t>
      </w:r>
      <w:proofErr w:type="gramStart"/>
      <w:r w:rsidRPr="00834413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5C07EF" w:rsidRPr="00834413" w:rsidRDefault="005C07EF" w:rsidP="0083441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413">
        <w:rPr>
          <w:rFonts w:ascii="Times New Roman" w:hAnsi="Times New Roman" w:cs="Times New Roman"/>
          <w:sz w:val="28"/>
          <w:szCs w:val="28"/>
        </w:rPr>
        <w:t>Д - количество отработанных дней одним рабочим за год</w:t>
      </w:r>
      <w:r w:rsidR="00834413" w:rsidRPr="00834413">
        <w:rPr>
          <w:rFonts w:ascii="Times New Roman" w:hAnsi="Times New Roman" w:cs="Times New Roman"/>
          <w:sz w:val="28"/>
          <w:szCs w:val="28"/>
        </w:rPr>
        <w:t xml:space="preserve"> [17]</w:t>
      </w:r>
      <w:r w:rsidRPr="00834413">
        <w:rPr>
          <w:rFonts w:ascii="Times New Roman" w:hAnsi="Times New Roman" w:cs="Times New Roman"/>
          <w:sz w:val="28"/>
          <w:szCs w:val="28"/>
        </w:rPr>
        <w:t>;</w:t>
      </w:r>
    </w:p>
    <w:p w:rsidR="005C07EF" w:rsidRPr="00834413" w:rsidRDefault="005C07EF" w:rsidP="0083441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4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4413">
        <w:rPr>
          <w:rFonts w:ascii="Times New Roman" w:hAnsi="Times New Roman" w:cs="Times New Roman"/>
          <w:sz w:val="28"/>
          <w:szCs w:val="28"/>
        </w:rPr>
        <w:t xml:space="preserve"> - средняя продолжительность рабочего дня;</w:t>
      </w:r>
    </w:p>
    <w:p w:rsidR="005C07EF" w:rsidRPr="00834413" w:rsidRDefault="005C07EF" w:rsidP="0083441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413">
        <w:rPr>
          <w:rFonts w:ascii="Times New Roman" w:hAnsi="Times New Roman" w:cs="Times New Roman"/>
          <w:sz w:val="28"/>
          <w:szCs w:val="28"/>
        </w:rPr>
        <w:t>ЧВ - среднечасовая выработка продукции.</w:t>
      </w:r>
    </w:p>
    <w:p w:rsidR="005C07EF" w:rsidRPr="00834413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13">
        <w:rPr>
          <w:rFonts w:ascii="Times New Roman" w:hAnsi="Times New Roman" w:cs="Times New Roman"/>
          <w:sz w:val="28"/>
          <w:szCs w:val="28"/>
        </w:rPr>
        <w:t>Выработка может считаться для разных периодов. Поэтому выработка</w:t>
      </w:r>
      <w:r w:rsidR="00834413" w:rsidRPr="00834413">
        <w:rPr>
          <w:rFonts w:ascii="Times New Roman" w:hAnsi="Times New Roman" w:cs="Times New Roman"/>
          <w:sz w:val="28"/>
          <w:szCs w:val="28"/>
        </w:rPr>
        <w:t xml:space="preserve"> </w:t>
      </w:r>
      <w:r w:rsidRPr="00834413">
        <w:rPr>
          <w:rFonts w:ascii="Times New Roman" w:hAnsi="Times New Roman" w:cs="Times New Roman"/>
          <w:sz w:val="28"/>
          <w:szCs w:val="28"/>
        </w:rPr>
        <w:t>может быть вычислена как:</w:t>
      </w:r>
    </w:p>
    <w:p w:rsidR="005C07EF" w:rsidRPr="002D719A" w:rsidRDefault="005C07EF" w:rsidP="008344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Средняя часовая выработка. Это отношение объема произведенной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продукции к числу человеко-часов, отработанных в течение данного периода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времени определяется по формуле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07EF" w:rsidRPr="00842A21" w:rsidRDefault="00834413" w:rsidP="00834413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Среднечасовая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выработка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объем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произведенной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продукции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число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чел-час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отработанных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за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период</m:t>
            </m:r>
          </m:den>
        </m:f>
      </m:oMath>
      <w:r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842A21">
        <w:rPr>
          <w:rFonts w:ascii="Times New Roman" w:hAnsi="Times New Roman" w:cs="Times New Roman"/>
          <w:color w:val="000000"/>
          <w:sz w:val="28"/>
          <w:szCs w:val="28"/>
        </w:rPr>
        <w:t>(1.2)</w:t>
      </w:r>
    </w:p>
    <w:p w:rsidR="005C07EF" w:rsidRDefault="005C07EF" w:rsidP="008344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2. Средняя дневная выработка. Показывает, какой объем продукции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был произведен каждый день в течение определенного периода времени. Для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того чтобы вычислить среднюю дневную выработку времени необходимо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объем произведенной продукции разделить на число человеко-дней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затраченных на производство данного объема (время изготовления данного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объема), определяется по формуле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07EF" w:rsidRPr="005C07EF" w:rsidRDefault="00834413" w:rsidP="00834413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>Среднегодовая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>выработка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объем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произведенной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продукции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число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чел-дней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отработанных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рабочими</m:t>
            </m:r>
          </m:den>
        </m:f>
      </m:oMath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(1.3)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3. Средняя месячная выработка. Представляет собой отношение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объема произведенной за месяц продукц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ии к среднесписочной численности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рабочих. Аналогично может быть вычислена выработка за квартал или год.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Среднегодовая выработка одного рабочего</w:t>
      </w:r>
      <w:r w:rsidR="002D719A"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 [17]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07EF" w:rsidRPr="005C07EF" w:rsidRDefault="005C07EF" w:rsidP="008344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а) Удельного веса рабочих в общей численности персонала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предприятия: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ΔГВ (Уд) =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ΔУд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∙ Д</w:t>
      </w:r>
      <w:proofErr w:type="gramStart"/>
      <w:r w:rsidRPr="005C07EF">
        <w:rPr>
          <w:rFonts w:ascii="Times New Roman" w:hAnsi="Times New Roman" w:cs="Times New Roman"/>
          <w:color w:val="000000"/>
          <w:sz w:val="18"/>
          <w:szCs w:val="18"/>
        </w:rPr>
        <w:t>0</w:t>
      </w:r>
      <w:proofErr w:type="gramEnd"/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∙ П</w:t>
      </w:r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∙ ЧВ</w:t>
      </w:r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(1.4)</w:t>
      </w:r>
    </w:p>
    <w:p w:rsidR="005C07EF" w:rsidRPr="00834413" w:rsidRDefault="005C07EF" w:rsidP="008344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б) Количества отработанных дней одним рабочим за год</w:t>
      </w:r>
      <w:r w:rsid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>[18]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07EF" w:rsidRPr="00842A21" w:rsidRDefault="005C07EF" w:rsidP="00834413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ΔГВ</w:t>
      </w:r>
      <w:r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Уд</w:t>
      </w:r>
      <w:r w:rsidRPr="00842A21">
        <w:rPr>
          <w:rFonts w:ascii="Times New Roman" w:hAnsi="Times New Roman" w:cs="Times New Roman"/>
          <w:color w:val="000000"/>
          <w:sz w:val="18"/>
          <w:szCs w:val="18"/>
        </w:rPr>
        <w:t>1</w:t>
      </w:r>
      <w:proofErr w:type="gramStart"/>
      <w:r w:rsidRPr="00842A2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∙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ΔД</w:t>
      </w:r>
      <w:proofErr w:type="gramEnd"/>
      <w:r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 ∙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42A21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842A21">
        <w:rPr>
          <w:rFonts w:ascii="Times New Roman" w:hAnsi="Times New Roman" w:cs="Times New Roman"/>
          <w:color w:val="000000"/>
          <w:sz w:val="28"/>
          <w:szCs w:val="28"/>
        </w:rPr>
        <w:t xml:space="preserve">∙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ЧВ</w:t>
      </w:r>
      <w:r w:rsidRPr="00842A21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842A21">
        <w:rPr>
          <w:rFonts w:ascii="Times New Roman" w:hAnsi="Times New Roman" w:cs="Times New Roman"/>
          <w:color w:val="000000"/>
          <w:sz w:val="28"/>
          <w:szCs w:val="28"/>
        </w:rPr>
        <w:t>(1.5)</w:t>
      </w:r>
    </w:p>
    <w:p w:rsidR="005C07EF" w:rsidRPr="005C07EF" w:rsidRDefault="005C07EF" w:rsidP="008344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в) Продолжительности рабочего дня: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ΔГВ (ЧВ) = Уд</w:t>
      </w:r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∙ Д</w:t>
      </w:r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∙ Δ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∙ ЧВ</w:t>
      </w:r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(1.6)</w:t>
      </w:r>
    </w:p>
    <w:p w:rsidR="005C07EF" w:rsidRPr="005C07EF" w:rsidRDefault="005C07EF" w:rsidP="008344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г) Среднечасовой выработки рабочих:</w:t>
      </w:r>
    </w:p>
    <w:p w:rsidR="005C07EF" w:rsidRPr="005C07EF" w:rsidRDefault="005C07EF" w:rsidP="00834413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ΔГВ (ЧВ) = Уд</w:t>
      </w:r>
      <w:proofErr w:type="gramStart"/>
      <w:r w:rsidRPr="005C07EF">
        <w:rPr>
          <w:rFonts w:ascii="Times New Roman" w:hAnsi="Times New Roman" w:cs="Times New Roman"/>
          <w:color w:val="000000"/>
          <w:sz w:val="18"/>
          <w:szCs w:val="18"/>
        </w:rPr>
        <w:t>1</w:t>
      </w:r>
      <w:proofErr w:type="gramEnd"/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∙ Д</w:t>
      </w:r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∙ П</w:t>
      </w:r>
      <w:r w:rsidRPr="005C07EF"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∙ ΔЧВ (1.7)</w:t>
      </w:r>
    </w:p>
    <w:p w:rsidR="005C07EF" w:rsidRPr="000E7900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Так же уровень производительности можно измерить с помощью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трудоемкости, обратного показателя выработке. Трудоемкость – затраты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рабочего времени на единицу или весь объем изготовленной продукции.</w:t>
      </w:r>
      <w:r w:rsidR="00834413" w:rsidRPr="0083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Рассчитывается по формуле:</w:t>
      </w:r>
    </w:p>
    <w:p w:rsidR="005C07EF" w:rsidRPr="000E7900" w:rsidRDefault="00C12FAC" w:rsidP="00C12FAC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m:oMath>
        <m:r>
          <w:rPr>
            <w:rFonts w:ascii="Cambria Math" w:hAnsi="Cambria Math" w:cs="Times New Roman"/>
            <w:color w:val="000000"/>
            <w:sz w:val="36"/>
            <w:szCs w:val="36"/>
            <w:lang w:val="en-US"/>
          </w:rPr>
          <m:t>t</m:t>
        </m:r>
        <m:r>
          <w:rPr>
            <w:rFonts w:ascii="Cambria Math" w:hAnsi="Times New Roman" w:cs="Times New Roman"/>
            <w:color w:val="000000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6"/>
                <w:szCs w:val="36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/>
                <w:sz w:val="36"/>
                <w:szCs w:val="36"/>
                <w:lang w:val="en-US"/>
              </w:rPr>
              <m:t>Q</m:t>
            </m:r>
          </m:den>
        </m:f>
      </m:oMath>
      <w:r w:rsidR="005C07EF" w:rsidRPr="00C12FAC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r w:rsidR="005C07EF" w:rsidRPr="00C12FAC">
        <w:rPr>
          <w:rFonts w:ascii="Times New Roman" w:hAnsi="Times New Roman" w:cs="Times New Roman"/>
          <w:color w:val="000000"/>
          <w:sz w:val="28"/>
          <w:szCs w:val="28"/>
        </w:rPr>
        <w:t>(1.8)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затраты рабочего времени;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Q- объем произведенной продукции.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Трудоемкость - это величина, обратная выработке.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Рассчитывают трудоемкость отдельных операций, изделий, работ: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Технологическая трудоемкость (</w:t>
      </w:r>
      <w:proofErr w:type="spellStart"/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Тт</w:t>
      </w:r>
      <w:proofErr w:type="spellEnd"/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) - это затраты труда основных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рабочих, сдельщиков и повременщиков. Рассчитывается она по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производственным операциям, деталям, узлам и готовым изделиям. Находят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делением затрат труда о рабочих на количество продукции произведенной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ими.</w:t>
      </w:r>
    </w:p>
    <w:p w:rsidR="00C12FAC" w:rsidRPr="00842A21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Трудоемкость обслуживания (То) - это затраты труда вспомогательных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рабочих основных цехов, вспомогательных цехов и подразделений, которые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[19]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занимаются обслуживанием производства. Расчет производится по каждой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операции или изделию либо пропорционально технологической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трудоемкости изделий.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07EF" w:rsidRPr="005C07EF" w:rsidRDefault="005C07EF" w:rsidP="00C12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Производственная трудоемкость (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Тпр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) - состоит из технологической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трудоемкости и обслуживания, т.е. это затраты труда основных и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вспомогательных рабочих на выполнение единицы продукции.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Рассчитывается делением затрат труда основных и вспомогательных рабочих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на количество произведенной продукции, определяется по формуле: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t пр. = t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. + t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обсл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 (1.9)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где t </w:t>
      </w:r>
      <w:proofErr w:type="spellStart"/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- технологическая трудоемкость;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t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обсл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- трудоемкость обслуживания производства.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Трудоемкость управления (Ту) - складывается из затрат труда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руководителей, специалистов и служащих. Одна часть этих затрат, которая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связана с изготовлением изделий и прямо относится на эти изделия.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Другая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связана с изготовлением изделий и относится к ним пропорционально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производственной трудоемкости.</w:t>
      </w:r>
    </w:p>
    <w:p w:rsidR="005C07EF" w:rsidRPr="005C07EF" w:rsidRDefault="005C07EF" w:rsidP="00C12F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Полная трудоемкость продукции (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Тп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)– состоит из всех затрат труда на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изготовление каждого изделия и всей их суммы, определяется по формуле:</w:t>
      </w:r>
    </w:p>
    <w:p w:rsidR="005C07EF" w:rsidRPr="005C07EF" w:rsidRDefault="005C07EF" w:rsidP="00C12FAC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Тп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Тт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+Т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о+Ту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Тпр+Ту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(1.10)</w:t>
      </w:r>
    </w:p>
    <w:p w:rsidR="00C12FAC" w:rsidRDefault="005C07EF" w:rsidP="00C12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Затраты труда всех вспомогательных рабочих отражает трудоемкость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обслуживания производства (t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обсл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), а затраты труда всех служащих и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обслуживающего персонала а так же охраны трудоемкость управления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производством (t </w:t>
      </w:r>
      <w:proofErr w:type="spellStart"/>
      <w:proofErr w:type="gramStart"/>
      <w:r w:rsidR="00C12FAC">
        <w:rPr>
          <w:rFonts w:ascii="Times New Roman" w:hAnsi="Times New Roman" w:cs="Times New Roman"/>
          <w:color w:val="000000"/>
          <w:sz w:val="28"/>
          <w:szCs w:val="28"/>
        </w:rPr>
        <w:t>упр</w:t>
      </w:r>
      <w:proofErr w:type="spellEnd"/>
      <w:proofErr w:type="gramEnd"/>
      <w:r w:rsidR="00C12F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12FAC" w:rsidRDefault="00C12FAC" w:rsidP="00C12FA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C07EF" w:rsidRPr="00C12FAC" w:rsidRDefault="00C12FAC" w:rsidP="00C12F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Глава </w:t>
      </w:r>
      <w:r w:rsidR="005C07EF"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C07EF"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C07EF"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>Анализ эффективности использования трудовых</w:t>
      </w:r>
      <w:r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07EF"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>ресурсов ПАО «МТС»</w:t>
      </w:r>
    </w:p>
    <w:p w:rsidR="005C07EF" w:rsidRPr="00C12FAC" w:rsidRDefault="005C07EF" w:rsidP="00C12FAC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bCs/>
          <w:color w:val="000000"/>
          <w:sz w:val="28"/>
          <w:szCs w:val="28"/>
        </w:rPr>
        <w:t>2.1 Общая характеристика предприятия</w:t>
      </w:r>
    </w:p>
    <w:p w:rsidR="005C07EF" w:rsidRPr="005C07EF" w:rsidRDefault="005C07EF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ПАО «МТС» является ведущим телекоммуникационным оператором в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России и странах СНГ. Компания оказывает высококачественные услуги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голосовой связи, передачи данных и скоростного доступа в интернет,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предлагает новые тарифные планы и инновационные сервисы, отвечающие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разнообразным потребностям широкого круга частных и корпоративных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абонентов. Благодаря обширной зоне покрытия сети и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роуминговым</w:t>
      </w:r>
      <w:proofErr w:type="spellEnd"/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соглашениям абоненты МТС остаются на связи практически во всех странах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мира, а интернет-роуминг доступен в более чем 200 странах. МТС уделяет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приоритетное внимание сервису и обслуживанию абонентов. Компания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развивает собственную розничную сеть, представленную более чем 4000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салонами, и располагает широкой дилерской сетью пунктов продаж по всей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стране.</w:t>
      </w:r>
    </w:p>
    <w:p w:rsidR="005C07EF" w:rsidRPr="005C07EF" w:rsidRDefault="005C07EF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компании: Публичное акционерное общество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"Мобильные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ТелеСистемы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", сокращенное наименование компании 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ПАО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"МТС". Зарегистрирована 2 сентября 2002 года в управлении МНС России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 г. Москва. Адрес компании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Россия, 109147, г. Москва, ул. Марксистская,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д.4</w:t>
      </w:r>
    </w:p>
    <w:p w:rsidR="005C07EF" w:rsidRPr="005C07EF" w:rsidRDefault="005C07EF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Уставный капитал ПАО «МТС» составляет 199 838 157,50 рублей и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разделен на 1 998 381 575 обыкновенных именных голосующих акций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номинальной стоимостью 0,1 руб. каждая.</w:t>
      </w:r>
    </w:p>
    <w:p w:rsidR="005C07EF" w:rsidRPr="005C07EF" w:rsidRDefault="005C07EF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- деятельность в области фиксированной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телефонной связи.</w:t>
      </w:r>
    </w:p>
    <w:p w:rsidR="005C07EF" w:rsidRPr="005C07EF" w:rsidRDefault="005C07EF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Дополнительные виды деятельности:</w:t>
      </w:r>
    </w:p>
    <w:p w:rsidR="005C07EF" w:rsidRPr="00C12FAC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зданий и сооружений;</w:t>
      </w:r>
    </w:p>
    <w:p w:rsidR="005C07EF" w:rsidRPr="005C07EF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 общестроительных работ;</w:t>
      </w:r>
    </w:p>
    <w:p w:rsidR="005C07EF" w:rsidRPr="005C07EF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 общестроительных работ по прокладке местных</w:t>
      </w:r>
      <w:r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трубопроводов, линий связи и линий электропередачи, включая</w:t>
      </w:r>
      <w:r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взаимосвязанные вспомогательные работы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 xml:space="preserve"> [11]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07EF" w:rsidRPr="005C07EF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монтаж инженерного оборудования зданий и сооружений;</w:t>
      </w:r>
    </w:p>
    <w:p w:rsidR="005C07EF" w:rsidRPr="005C07EF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прочая оптовая торговля;</w:t>
      </w:r>
    </w:p>
    <w:p w:rsidR="005C07EF" w:rsidRPr="005C07EF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посредничество, не включенное в другие группировки;</w:t>
      </w:r>
    </w:p>
    <w:p w:rsidR="005C07EF" w:rsidRPr="005C07EF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маркетинговые исследования;</w:t>
      </w:r>
    </w:p>
    <w:p w:rsidR="005C07EF" w:rsidRPr="005C07EF" w:rsidRDefault="00C12FAC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F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по вопросам коммерческой деятельности и</w:t>
      </w:r>
      <w:r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</w:p>
    <w:p w:rsidR="005C07EF" w:rsidRPr="005C07EF" w:rsidRDefault="005C07EF" w:rsidP="00DB3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показатели деятельности ПАО «МТС»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последние 3 года</w:t>
      </w:r>
      <w:r w:rsidR="00C12FAC" w:rsidRPr="00C12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представлены в таб. 2.1</w:t>
      </w:r>
    </w:p>
    <w:p w:rsidR="005C07EF" w:rsidRPr="00DB3D79" w:rsidRDefault="005C07E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Таблиц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>а 2.1 «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Основные экономические показатели деятельности</w:t>
      </w:r>
      <w:r w:rsidR="00C12FA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3D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1496"/>
        <w:gridCol w:w="1497"/>
        <w:gridCol w:w="1497"/>
        <w:gridCol w:w="1500"/>
        <w:gridCol w:w="1489"/>
      </w:tblGrid>
      <w:tr w:rsidR="00C12FAC" w:rsidTr="00DB3D79">
        <w:tc>
          <w:tcPr>
            <w:tcW w:w="2091" w:type="dxa"/>
          </w:tcPr>
          <w:p w:rsidR="00C12FAC" w:rsidRDefault="00C12FAC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97" w:type="dxa"/>
          </w:tcPr>
          <w:p w:rsidR="00C12FAC" w:rsidRDefault="00C12FAC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497" w:type="dxa"/>
          </w:tcPr>
          <w:p w:rsidR="00C12FAC" w:rsidRDefault="00C12FAC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497" w:type="dxa"/>
          </w:tcPr>
          <w:p w:rsidR="00C12FAC" w:rsidRDefault="00C12FAC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2989" w:type="dxa"/>
            <w:gridSpan w:val="2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2016 года от 2014 года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398442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410758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431232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+32790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 роста, %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+8,2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реализации, млн. руб.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117161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126534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130072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+12911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111,01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+11,01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Прибыль от продаж,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175011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175463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176000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+989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+0,5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до налогообложения, млн. руб.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99798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64777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61941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-37857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-37,9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прибыль, млн. руб.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19959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12955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-7571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-37,9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прибыль, млн. руб.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79839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51822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-30268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-37,9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руб. реализации продукции, коп.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00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+0,06</w:t>
            </w:r>
          </w:p>
        </w:tc>
        <w:tc>
          <w:tcPr>
            <w:tcW w:w="1489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C12FAC" w:rsidTr="00DB3D79">
        <w:tc>
          <w:tcPr>
            <w:tcW w:w="2091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97" w:type="dxa"/>
          </w:tcPr>
          <w:p w:rsidR="00C12FAC" w:rsidRDefault="00C774BD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DB3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100220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120369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132500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+32280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132,2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132,2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Среднегодовая стоимость собственного капитала, тыс. руб.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294206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237375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228976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-65230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стоимость заемного капитала, тыс. руб.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269004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297574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310095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+41091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+15,3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93625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85988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+5088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персонала, чел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31004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32011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+411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+1,3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36970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41680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+4710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отдачи, руб./руб.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руб./руб.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продаж,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  <w:tr w:rsidR="00C12FAC" w:rsidTr="00DB3D79">
        <w:tc>
          <w:tcPr>
            <w:tcW w:w="2091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97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00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-7,3</w:t>
            </w:r>
          </w:p>
        </w:tc>
        <w:tc>
          <w:tcPr>
            <w:tcW w:w="1489" w:type="dxa"/>
          </w:tcPr>
          <w:p w:rsidR="00C12FAC" w:rsidRDefault="00DB3D79" w:rsidP="00C12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</w:tbl>
    <w:p w:rsidR="006B4C1E" w:rsidRDefault="006B4C1E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Данные таблицы 2.1 показывают, что выручка от реализации за 3 года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компании ПАО «МТС» увеличилась на 32790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., наблюдался прирост,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данные показатели по отношению к 2013 году увеличились на 8,2 %. На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увеличение выручки оказало влияние открытие новых офисов продаж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предоставляемой услуги.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Наблюдался прирост затрат на реализацию услуг, поэтому возросла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себестоимость за 3 года на 12911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или 11,01%.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Прибыль от продаж по отношению к 2013 году повысилась на 0,5%.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Данные результаты происходят к тому, что прибыль до налогообложения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снизилась на 37,9 %, что влечет за собой снижение чистой прибыли на 30286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млн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Данный факт означает снижение покупательской способности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граждан, что связано с падением курса рубля.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Затраты на 1 рубль реализации продукции по отношению к 2013 году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вырос на 6%.Это обозначает, что затраты на производство и реализацию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повысились.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Среднегодовая стоимость основных средств по отношению к 2013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году повысилась на 32,2%. Это связано с </w:t>
      </w:r>
      <w:proofErr w:type="spellStart"/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инвестициями в основные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средства, в первую очередь на новое строительство, реконструкцию,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расширение производства.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Среднегодовая стоимость собственного каптала по отношению к 2013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снизилась на 65230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., а среднегодовая стоимость заемного капитала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возросла на 41091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или на 15,3 %, что оказывает плохое влияние на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компании.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Среднегодовая стоимость основных оборотных средств по отношению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 2013 году повысилась на 6,3%. Связано с приобретением оборудования для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филиалов компании.</w:t>
      </w:r>
    </w:p>
    <w:p w:rsidR="005C07EF" w:rsidRPr="006B4C1E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Численность персонала ПАО «МТС» по отношению к 2013 году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увеличилась на 411 чел. Данный результат был получен в связи с закрытием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нерентабельных филиалов в 2014 году в следствии сокращением штата, и</w:t>
      </w:r>
      <w:r w:rsid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открытием новых в </w:t>
      </w:r>
      <w:r w:rsidR="002D719A">
        <w:rPr>
          <w:rFonts w:ascii="Times New Roman" w:hAnsi="Times New Roman" w:cs="Times New Roman"/>
          <w:color w:val="000000"/>
          <w:sz w:val="28"/>
          <w:szCs w:val="28"/>
        </w:rPr>
        <w:t>2015 год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Фонд оплаты труда рабочих возрос на 12,7%. Так как произошло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сокращение филиалов, оставшиеся предприятия были простимулированы.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Фондоотдача в свою очередь возросла на 27,3%. Рост фондоотдачи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свидетельствует о повышении эффективности использования основных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фондов.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Снижение рентабельности продаж в 2015 году на 7,3% говорит нам о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том, что цены растут с большей скоростью, чем издержки, что и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обуславливает снижение рентабельности продаж.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Устойчивость финансового состояния характеризуется системой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относительных показателей, которые выступают финансовыми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коэффициентами. Они рассчитываются в виде соотношений абсолютных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показателей актива и пассива баланса и изучаются в динамике, то есть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сравниваются с данными прошлых периодов и нормативными значениями.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Для оценки финансовой устойчивости ПАО «МТС» рассчитаем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относительные показатели финансовой устойчивости и проанализируем их в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динамике.</w:t>
      </w:r>
    </w:p>
    <w:p w:rsidR="005C07EF" w:rsidRPr="005C07EF" w:rsidRDefault="005C07EF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Рассчитанные показатели финансовой устойчивости ПАО «МТС» за</w:t>
      </w:r>
      <w:r w:rsidR="006B4C1E" w:rsidRPr="006B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2013-2015 годы приведены в таб. 2.2.</w:t>
      </w:r>
    </w:p>
    <w:p w:rsidR="005C07EF" w:rsidRPr="005C07EF" w:rsidRDefault="006B4C1E" w:rsidP="003D7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а 2.2 «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Динамика показателей финансовой устойчивости ПАО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«МТС» за 2013-2015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2"/>
        <w:gridCol w:w="1148"/>
        <w:gridCol w:w="1149"/>
        <w:gridCol w:w="1149"/>
        <w:gridCol w:w="1127"/>
        <w:gridCol w:w="1128"/>
        <w:gridCol w:w="1807"/>
      </w:tblGrid>
      <w:tr w:rsidR="00567520" w:rsidTr="00D63B83">
        <w:tc>
          <w:tcPr>
            <w:tcW w:w="1715" w:type="dxa"/>
            <w:vMerge w:val="restart"/>
          </w:tcPr>
          <w:p w:rsidR="00567520" w:rsidRDefault="00567520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4" w:type="dxa"/>
            <w:vMerge w:val="restart"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324" w:type="dxa"/>
            <w:vMerge w:val="restart"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24" w:type="dxa"/>
            <w:vMerge w:val="restart"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89" w:type="dxa"/>
            <w:gridSpan w:val="2"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295" w:type="dxa"/>
            <w:vMerge w:val="restart"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Рекомендуемое значение</w:t>
            </w:r>
          </w:p>
        </w:tc>
      </w:tr>
      <w:tr w:rsidR="00567520" w:rsidTr="006B4C1E">
        <w:tc>
          <w:tcPr>
            <w:tcW w:w="1715" w:type="dxa"/>
            <w:vMerge/>
          </w:tcPr>
          <w:p w:rsidR="00567520" w:rsidRDefault="00567520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 к 2014 г.</w:t>
            </w:r>
          </w:p>
        </w:tc>
        <w:tc>
          <w:tcPr>
            <w:tcW w:w="1295" w:type="dxa"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 к 2015 г.</w:t>
            </w:r>
          </w:p>
        </w:tc>
        <w:tc>
          <w:tcPr>
            <w:tcW w:w="1295" w:type="dxa"/>
            <w:vMerge/>
          </w:tcPr>
          <w:p w:rsid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520" w:rsidTr="006B4C1E">
        <w:tc>
          <w:tcPr>
            <w:tcW w:w="1715" w:type="dxa"/>
          </w:tcPr>
          <w:p w:rsidR="006B4C1E" w:rsidRPr="00567520" w:rsidRDefault="00567520" w:rsidP="005675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соотношения собственного капитала и заемного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29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  <w:tc>
          <w:tcPr>
            <w:tcW w:w="1295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295" w:type="dxa"/>
          </w:tcPr>
          <w:p w:rsidR="006B4C1E" w:rsidRPr="00567520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&lt;=1</w:t>
            </w:r>
          </w:p>
        </w:tc>
      </w:tr>
      <w:tr w:rsidR="00567520" w:rsidTr="006B4C1E">
        <w:tc>
          <w:tcPr>
            <w:tcW w:w="1715" w:type="dxa"/>
          </w:tcPr>
          <w:p w:rsidR="006B4C1E" w:rsidRPr="00567520" w:rsidRDefault="00567520" w:rsidP="003D70B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долга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29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95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295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 / 0,6</w:t>
            </w:r>
          </w:p>
        </w:tc>
      </w:tr>
      <w:tr w:rsidR="00567520" w:rsidTr="006B4C1E">
        <w:tc>
          <w:tcPr>
            <w:tcW w:w="1715" w:type="dxa"/>
          </w:tcPr>
          <w:p w:rsidR="006B4C1E" w:rsidRPr="00567520" w:rsidRDefault="00567520" w:rsidP="003D70B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автономии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32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294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95" w:type="dxa"/>
          </w:tcPr>
          <w:p w:rsidR="006B4C1E" w:rsidRDefault="00567520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-0,11</w:t>
            </w:r>
          </w:p>
        </w:tc>
        <w:tc>
          <w:tcPr>
            <w:tcW w:w="1295" w:type="dxa"/>
          </w:tcPr>
          <w:p w:rsidR="006B4C1E" w:rsidRP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67520" w:rsidTr="006B4C1E">
        <w:tc>
          <w:tcPr>
            <w:tcW w:w="1715" w:type="dxa"/>
          </w:tcPr>
          <w:p w:rsidR="006B4C1E" w:rsidRPr="003D70B1" w:rsidRDefault="003D70B1" w:rsidP="003D70B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9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95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</w:t>
            </w:r>
          </w:p>
        </w:tc>
        <w:tc>
          <w:tcPr>
            <w:tcW w:w="1295" w:type="dxa"/>
          </w:tcPr>
          <w:p w:rsidR="006B4C1E" w:rsidRP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0,8</w:t>
            </w:r>
          </w:p>
        </w:tc>
      </w:tr>
      <w:tr w:rsidR="00567520" w:rsidTr="006B4C1E">
        <w:tc>
          <w:tcPr>
            <w:tcW w:w="1715" w:type="dxa"/>
          </w:tcPr>
          <w:p w:rsidR="006B4C1E" w:rsidRPr="003D70B1" w:rsidRDefault="003D70B1" w:rsidP="003D70B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постоянного актива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29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95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1295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67520" w:rsidTr="006B4C1E">
        <w:tc>
          <w:tcPr>
            <w:tcW w:w="1715" w:type="dxa"/>
          </w:tcPr>
          <w:p w:rsidR="006B4C1E" w:rsidRPr="003D70B1" w:rsidRDefault="003D70B1" w:rsidP="003D70B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маневренности капитала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-0,15</w:t>
            </w:r>
          </w:p>
        </w:tc>
        <w:tc>
          <w:tcPr>
            <w:tcW w:w="132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-0,32</w:t>
            </w:r>
          </w:p>
        </w:tc>
        <w:tc>
          <w:tcPr>
            <w:tcW w:w="1294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</w:t>
            </w:r>
          </w:p>
        </w:tc>
        <w:tc>
          <w:tcPr>
            <w:tcW w:w="1295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</w:t>
            </w:r>
          </w:p>
        </w:tc>
        <w:tc>
          <w:tcPr>
            <w:tcW w:w="1295" w:type="dxa"/>
          </w:tcPr>
          <w:p w:rsidR="006B4C1E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/ 0,5</w:t>
            </w:r>
          </w:p>
        </w:tc>
      </w:tr>
      <w:tr w:rsidR="003D70B1" w:rsidTr="003D70B1">
        <w:trPr>
          <w:trHeight w:val="70"/>
        </w:trPr>
        <w:tc>
          <w:tcPr>
            <w:tcW w:w="1715" w:type="dxa"/>
          </w:tcPr>
          <w:p w:rsidR="003D70B1" w:rsidRDefault="003D70B1" w:rsidP="003D70B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324" w:type="dxa"/>
          </w:tcPr>
          <w:p w:rsid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324" w:type="dxa"/>
          </w:tcPr>
          <w:p w:rsid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</w:t>
            </w:r>
          </w:p>
        </w:tc>
        <w:tc>
          <w:tcPr>
            <w:tcW w:w="1324" w:type="dxa"/>
          </w:tcPr>
          <w:p w:rsid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-0,30</w:t>
            </w:r>
          </w:p>
        </w:tc>
        <w:tc>
          <w:tcPr>
            <w:tcW w:w="1294" w:type="dxa"/>
          </w:tcPr>
          <w:p w:rsid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-0,31</w:t>
            </w:r>
          </w:p>
        </w:tc>
        <w:tc>
          <w:tcPr>
            <w:tcW w:w="1295" w:type="dxa"/>
          </w:tcPr>
          <w:p w:rsid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1295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&gt;=0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</w:tbl>
    <w:p w:rsidR="006B4C1E" w:rsidRDefault="006B4C1E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7EF" w:rsidRPr="005C07EF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Из семи рассчитанных коэффициентов финансовой устойчивости все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три года ни один не соответствует рекомендуемому критерию.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Коэффициент соотношения заемного и собственного капитала говорит о том,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что заемный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капитала превышает собственный капитал в 4,88 раза при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нормативе не более 1, что свидетельствует о значительном превышении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рекомендуемого значения.</w:t>
      </w:r>
    </w:p>
    <w:p w:rsidR="003D70B1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Собственно, коэффициент долга также значительно превышает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рекомендуемый уровень, а коэффициент автономии свидетельствует о том,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что ПАО «МТС» обладает высокой финансовой зависимостью от заемных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финансирования.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07EF" w:rsidRPr="005C07EF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Анализ относительных коэффициентов финансовой устойчивости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показал, что компания полностью зависима от заемных источников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финансирования, имеет неустойчивое финансовое состояние, для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формирования запасов использует не только долгосрочные источники, но и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привлекает краткосрочные заемные средства и коммерческий кредит.</w:t>
      </w:r>
    </w:p>
    <w:p w:rsidR="005C07EF" w:rsidRPr="005C07EF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Оценка ликвидности и платежеспособности будет не полной без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анализа относительных показателей ликвидности. Основные показатели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ликвидности и платежеспособности ПАО «МТС» за 2013-2015 годы</w:t>
      </w:r>
      <w:r w:rsidR="003D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представлены в таб. 2.3.</w:t>
      </w:r>
    </w:p>
    <w:p w:rsidR="005C07EF" w:rsidRPr="005C07EF" w:rsidRDefault="003D70B1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2.3 - 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амика показателей ликвидности и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платежеспособности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16"/>
        <w:gridCol w:w="1308"/>
        <w:gridCol w:w="1093"/>
        <w:gridCol w:w="1120"/>
        <w:gridCol w:w="1120"/>
        <w:gridCol w:w="1120"/>
        <w:gridCol w:w="1093"/>
      </w:tblGrid>
      <w:tr w:rsidR="002F38EC" w:rsidTr="00D63B83">
        <w:tc>
          <w:tcPr>
            <w:tcW w:w="1367" w:type="dxa"/>
            <w:vMerge w:val="restart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67" w:type="dxa"/>
            <w:vMerge w:val="restart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1367" w:type="dxa"/>
            <w:vMerge w:val="restart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367" w:type="dxa"/>
            <w:vMerge w:val="restart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67" w:type="dxa"/>
            <w:vMerge w:val="restart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36" w:type="dxa"/>
            <w:gridSpan w:val="2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gramStart"/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 / –)</w:t>
            </w:r>
            <w:proofErr w:type="gramEnd"/>
          </w:p>
        </w:tc>
      </w:tr>
      <w:tr w:rsidR="002F38EC" w:rsidTr="003D70B1">
        <w:tc>
          <w:tcPr>
            <w:tcW w:w="1367" w:type="dxa"/>
            <w:vMerge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 к 2014 г.</w:t>
            </w:r>
          </w:p>
        </w:tc>
        <w:tc>
          <w:tcPr>
            <w:tcW w:w="1368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 к 2015 г.</w:t>
            </w:r>
          </w:p>
        </w:tc>
      </w:tr>
      <w:tr w:rsidR="002F38EC" w:rsidTr="003D70B1">
        <w:tc>
          <w:tcPr>
            <w:tcW w:w="1367" w:type="dxa"/>
          </w:tcPr>
          <w:p w:rsidR="003D70B1" w:rsidRPr="003D70B1" w:rsidRDefault="003D70B1" w:rsidP="003D70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0,670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0,708</w:t>
            </w:r>
          </w:p>
        </w:tc>
        <w:tc>
          <w:tcPr>
            <w:tcW w:w="1368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-0,21</w:t>
            </w:r>
          </w:p>
        </w:tc>
        <w:tc>
          <w:tcPr>
            <w:tcW w:w="1368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2F38EC" w:rsidTr="003D70B1">
        <w:tc>
          <w:tcPr>
            <w:tcW w:w="1367" w:type="dxa"/>
          </w:tcPr>
          <w:p w:rsidR="003D70B1" w:rsidRPr="003D70B1" w:rsidRDefault="003D70B1" w:rsidP="003D70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оборотные активы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-18382</w:t>
            </w:r>
          </w:p>
        </w:tc>
        <w:tc>
          <w:tcPr>
            <w:tcW w:w="1367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-27125</w:t>
            </w:r>
          </w:p>
        </w:tc>
        <w:tc>
          <w:tcPr>
            <w:tcW w:w="1368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-20713</w:t>
            </w:r>
          </w:p>
        </w:tc>
        <w:tc>
          <w:tcPr>
            <w:tcW w:w="1368" w:type="dxa"/>
          </w:tcPr>
          <w:p w:rsidR="003D70B1" w:rsidRPr="003D70B1" w:rsidRDefault="003D70B1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-8793</w:t>
            </w:r>
          </w:p>
        </w:tc>
      </w:tr>
      <w:tr w:rsidR="002F38EC" w:rsidTr="003D70B1">
        <w:tc>
          <w:tcPr>
            <w:tcW w:w="1367" w:type="dxa"/>
          </w:tcPr>
          <w:p w:rsidR="003D70B1" w:rsidRPr="003D70B1" w:rsidRDefault="003D70B1" w:rsidP="003D70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/ 0,25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0,327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2F38EC" w:rsidTr="003D70B1">
        <w:tc>
          <w:tcPr>
            <w:tcW w:w="1367" w:type="dxa"/>
          </w:tcPr>
          <w:p w:rsidR="003D70B1" w:rsidRPr="002F38EC" w:rsidRDefault="002F38EC" w:rsidP="002F38E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критической ликвидности</w:t>
            </w:r>
          </w:p>
        </w:tc>
        <w:tc>
          <w:tcPr>
            <w:tcW w:w="1367" w:type="dxa"/>
          </w:tcPr>
          <w:p w:rsidR="003D70B1" w:rsidRPr="002F38EC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&gt;=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0,824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0,606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0,657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-0,22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F38EC" w:rsidTr="003D70B1">
        <w:tc>
          <w:tcPr>
            <w:tcW w:w="1367" w:type="dxa"/>
          </w:tcPr>
          <w:p w:rsidR="003D70B1" w:rsidRPr="002F38EC" w:rsidRDefault="002F38EC" w:rsidP="002F38E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степени платежеспособности по текущим обязательствам</w:t>
            </w:r>
          </w:p>
        </w:tc>
        <w:tc>
          <w:tcPr>
            <w:tcW w:w="1367" w:type="dxa"/>
          </w:tcPr>
          <w:p w:rsidR="003D70B1" w:rsidRPr="002F38EC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&lt;= 3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4,972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-0,580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1,038</w:t>
            </w:r>
          </w:p>
        </w:tc>
      </w:tr>
      <w:tr w:rsidR="002F38EC" w:rsidTr="003D70B1">
        <w:tc>
          <w:tcPr>
            <w:tcW w:w="1367" w:type="dxa"/>
          </w:tcPr>
          <w:p w:rsidR="003D70B1" w:rsidRPr="002F38EC" w:rsidRDefault="002F38EC" w:rsidP="002F38E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общей ликвидности</w:t>
            </w:r>
          </w:p>
        </w:tc>
        <w:tc>
          <w:tcPr>
            <w:tcW w:w="1367" w:type="dxa"/>
          </w:tcPr>
          <w:p w:rsidR="003D70B1" w:rsidRPr="002F38EC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&gt;=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367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-0,13</w:t>
            </w:r>
          </w:p>
        </w:tc>
        <w:tc>
          <w:tcPr>
            <w:tcW w:w="1368" w:type="dxa"/>
          </w:tcPr>
          <w:p w:rsidR="003D70B1" w:rsidRPr="003D70B1" w:rsidRDefault="002F38EC" w:rsidP="003D7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</w:tr>
    </w:tbl>
    <w:p w:rsidR="002F38EC" w:rsidRPr="002F38EC" w:rsidRDefault="005C07EF" w:rsidP="002F38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получившихся расчетов показано, что коэффициент текущей</w:t>
      </w:r>
      <w:r w:rsidR="002F38EC" w:rsidRP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ликвидности, в течение анализируемого периода, имеет отрицательную</w:t>
      </w:r>
      <w:r w:rsidR="002F38EC" w:rsidRP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инамику, вместе с тем, не соответствует рекомендуемому уровню.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Показатели ликвидности имеют в конце 2015 года ниже рекомендуемого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уровня и в случае критической ситуации, компания сможет не погасить свои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краткосрочные обязательства, так как обладает не достаточным уровнем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быстро реализуемых активов.</w:t>
      </w:r>
    </w:p>
    <w:p w:rsidR="005C07EF" w:rsidRPr="002F38EC" w:rsidRDefault="005C07EF" w:rsidP="002F38EC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38EC">
        <w:rPr>
          <w:rFonts w:ascii="Times New Roman" w:hAnsi="Times New Roman" w:cs="Times New Roman"/>
          <w:bCs/>
          <w:color w:val="000000"/>
          <w:sz w:val="28"/>
          <w:szCs w:val="28"/>
        </w:rPr>
        <w:t>2.2 Анализ состава и структуры трудовых ресурсов ПАО «МТС»</w:t>
      </w:r>
    </w:p>
    <w:p w:rsidR="005C07EF" w:rsidRPr="005C07EF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Состав работающих на предприятии принято анализировать по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численному составу, структуре, соответствию рабочих мест составу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работников предприятия, динамике численного состава и текучести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персонала (кадров).</w:t>
      </w:r>
    </w:p>
    <w:p w:rsidR="005C07EF" w:rsidRPr="005C07EF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Анализируя персонал по численному составу необходимо установить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общий численный состав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и сопоставить его с потребностями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предприятия. Анализ структуры персонала может проводиться по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следующим параметрам: по стажу, полу, возрасту, профессиональным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характеристикам, профессиональной подготовке и т.д.</w:t>
      </w:r>
    </w:p>
    <w:p w:rsidR="005C07EF" w:rsidRPr="005C07EF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 организации делится на такие категории:</w:t>
      </w:r>
    </w:p>
    <w:p w:rsidR="005C07EF" w:rsidRPr="005C07EF" w:rsidRDefault="002F38EC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руководители (генеральный директор, главный бухгалтер,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заведующий основным производством, начальник службы охраны);</w:t>
      </w:r>
    </w:p>
    <w:p w:rsidR="005C07EF" w:rsidRPr="005C07EF" w:rsidRDefault="002F38EC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специалисты, осуществляющие организацию и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производственным процессом (инспектор отдела кадров, менеджер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закупкам, специалист по ремонту и обслуживанию деревообрабатывающего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оборудования);</w:t>
      </w:r>
    </w:p>
    <w:p w:rsidR="005C07EF" w:rsidRPr="005C07EF" w:rsidRDefault="002F38EC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рабочие – работники предприятия, непосредственно занятые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созданием материальных ценностей или оказанием производственных услуг</w:t>
      </w:r>
    </w:p>
    <w:p w:rsidR="005C07EF" w:rsidRPr="002F38EC" w:rsidRDefault="005C07EF" w:rsidP="002F38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Рассмотрим структуру работников по основным категориям компании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ПАО «МТС» за 2014-2015 гг. и сделаем соответствующие выводы в таб. 2.4</w:t>
      </w:r>
      <w:r w:rsidR="002F38EC" w:rsidRPr="002F38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8EC" w:rsidRPr="00842A21" w:rsidRDefault="002F38EC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8EC" w:rsidRPr="00842A21" w:rsidRDefault="002F38EC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7EF" w:rsidRPr="005C07EF" w:rsidRDefault="005C07E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Т а б л и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а 2.4 - Структура работников ПАО «МТС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403"/>
        <w:gridCol w:w="1403"/>
        <w:gridCol w:w="1403"/>
        <w:gridCol w:w="1571"/>
        <w:gridCol w:w="1774"/>
      </w:tblGrid>
      <w:tr w:rsidR="002F38EC" w:rsidRPr="002F38EC" w:rsidTr="002F38EC"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Абсолютное отклонение 2016 г. от 2014 г.</w:t>
            </w:r>
          </w:p>
        </w:tc>
        <w:tc>
          <w:tcPr>
            <w:tcW w:w="1596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Относительное отклонение, %</w:t>
            </w:r>
          </w:p>
        </w:tc>
      </w:tr>
      <w:tr w:rsidR="002F38EC" w:rsidRPr="002F38EC" w:rsidTr="002F38EC"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работников, всего, в том числе: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31024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32011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+411</w:t>
            </w:r>
          </w:p>
        </w:tc>
        <w:tc>
          <w:tcPr>
            <w:tcW w:w="1596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2F38EC" w:rsidRPr="002F38EC" w:rsidTr="002F38EC"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рабочие, чел.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25250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25130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25560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+310</w:t>
            </w:r>
          </w:p>
        </w:tc>
        <w:tc>
          <w:tcPr>
            <w:tcW w:w="1596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2F38EC" w:rsidRPr="002F38EC" w:rsidTr="002F38EC"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руководители, чел.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1596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2F38EC" w:rsidRPr="002F38EC" w:rsidTr="002F38EC"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специалисты, чел.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5418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5516</w:t>
            </w:r>
          </w:p>
        </w:tc>
        <w:tc>
          <w:tcPr>
            <w:tcW w:w="1595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+98</w:t>
            </w:r>
          </w:p>
        </w:tc>
        <w:tc>
          <w:tcPr>
            <w:tcW w:w="1596" w:type="dxa"/>
          </w:tcPr>
          <w:p w:rsidR="002F38EC" w:rsidRPr="002F38EC" w:rsidRDefault="002F38EC" w:rsidP="002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</w:tbl>
    <w:p w:rsidR="002F38EC" w:rsidRPr="002F38EC" w:rsidRDefault="002F38EC" w:rsidP="002F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Как видно по данным таблицы 2.4 , среднесписочная численность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работников и рабочих увеличивается. В 2015 году по сравнению с 2014г.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численность работников увеличилась на 987 чел., численность рабочих на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430 человек, к штату специалистов прибавилось 547 человек, которые внесли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свой вклад в развитие телекоммуникаций компании ПАО «МТС», состав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руководителей увеличился на 13 человек.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Рассмотрим структуру трудового коллектива по возрастному критерию</w:t>
      </w:r>
      <w:r w:rsidR="002F3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 ее изменение с 2013 года по 2015 год в таб.2.5.</w:t>
      </w:r>
    </w:p>
    <w:p w:rsidR="005C07EF" w:rsidRPr="005C07EF" w:rsidRDefault="00D63B83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аблица 2.5 – Качественный состав трудовых ресурсов предприятия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D63B83" w:rsidTr="00D63B83"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1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 2016 г. от 2014 г.</w:t>
            </w:r>
          </w:p>
        </w:tc>
      </w:tr>
      <w:tr w:rsidR="00D63B83" w:rsidTr="00D63B83"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лет, %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91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+5,5</w:t>
            </w:r>
          </w:p>
        </w:tc>
      </w:tr>
      <w:tr w:rsidR="00D63B83" w:rsidTr="00D63B83"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до 50 лет, %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91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+1,3</w:t>
            </w:r>
          </w:p>
        </w:tc>
      </w:tr>
      <w:tr w:rsidR="00D63B83" w:rsidTr="00D63B83"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50 лет до пенсионного возраста, %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91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-4,9</w:t>
            </w:r>
          </w:p>
        </w:tc>
      </w:tr>
      <w:tr w:rsidR="00D63B83" w:rsidTr="00D63B83"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Работающие пенсионеры, %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91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91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</w:tr>
    </w:tbl>
    <w:p w:rsidR="00D63B83" w:rsidRDefault="00D63B83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Структура персонала по возрасту за 3 года практически не изменилась.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2015 году значительно увеличилось число молодых специалистов по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сравнению с 2013 годом, также сократилось число работающих пенсионеров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 организации ПАО «МТС» на 0,5.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Средний возраст работников Общества в 2013 году составил 35 лет, а в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2014-м и в 2015 году — 33 год.</w:t>
      </w:r>
    </w:p>
    <w:p w:rsidR="00BE7A65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Рассмотрим динамику движения персонала в компании ПАО «МТС» в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таб. 2.6.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Т а б л и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а 2.6 – Динамика движения персонала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6"/>
        <w:gridCol w:w="1523"/>
        <w:gridCol w:w="1525"/>
        <w:gridCol w:w="1525"/>
        <w:gridCol w:w="1587"/>
        <w:gridCol w:w="1774"/>
      </w:tblGrid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Абсолютное отклонение, чел.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Относительное отклонение, %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персонала на начало года, чел. 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31650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31024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-626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работу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Выбыли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персонала на конец года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31024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32011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+411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оборота по приему работников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оборота по выбытию работников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161,5</w:t>
            </w:r>
          </w:p>
        </w:tc>
      </w:tr>
      <w:tr w:rsidR="00D63B83" w:rsidTr="00D63B83">
        <w:tc>
          <w:tcPr>
            <w:tcW w:w="1636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постоянства кадров</w:t>
            </w:r>
          </w:p>
        </w:tc>
        <w:tc>
          <w:tcPr>
            <w:tcW w:w="152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525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587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+0,04</w:t>
            </w:r>
          </w:p>
        </w:tc>
        <w:tc>
          <w:tcPr>
            <w:tcW w:w="1774" w:type="dxa"/>
          </w:tcPr>
          <w:p w:rsidR="00D63B83" w:rsidRDefault="00D63B83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</w:tr>
    </w:tbl>
    <w:p w:rsidR="00D63B83" w:rsidRDefault="00D63B83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Из таблицы 2.6 видим, что численность персонала в ПАО «МТС» на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начало года в 2015 году составила 31024 человек, по сравнению с 2013 годом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снизилась на 626 человек и составила 98,1 %.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Число принятых на работу в 2015 году составило 6 человек, по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сравнению с 2013 годом уменьшилось на 64 человека.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Выбыло в 2015 году 19 человек, по сравнению с 2013 годом на 1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человека выбыло меньше и составило 95 %, В 2014 году было наибольшее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число выбывших работников, это связано с сокращением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неквалифицированного штата.</w:t>
      </w:r>
    </w:p>
    <w:p w:rsidR="005C07EF" w:rsidRPr="005C07EF" w:rsidRDefault="005C07EF" w:rsidP="00BE7A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Численность персонала на конец года в ПАО «МТС» составила 32011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человек, по сравнению с 2013 годом увеличилась на 411 человек и составила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101,3 %.</w:t>
      </w:r>
    </w:p>
    <w:p w:rsidR="005C07EF" w:rsidRPr="00D63B83" w:rsidRDefault="005C07EF" w:rsidP="00D63B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B83">
        <w:rPr>
          <w:rFonts w:ascii="Times New Roman" w:hAnsi="Times New Roman" w:cs="Times New Roman"/>
          <w:bCs/>
          <w:color w:val="000000"/>
          <w:sz w:val="28"/>
          <w:szCs w:val="28"/>
        </w:rPr>
        <w:t>2.3 Анализ показателей эффективности использования трудовых</w:t>
      </w:r>
    </w:p>
    <w:p w:rsidR="005C07EF" w:rsidRPr="00D63B83" w:rsidRDefault="005C07EF" w:rsidP="00D63B83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B83">
        <w:rPr>
          <w:rFonts w:ascii="Times New Roman" w:hAnsi="Times New Roman" w:cs="Times New Roman"/>
          <w:bCs/>
          <w:color w:val="000000"/>
          <w:sz w:val="28"/>
          <w:szCs w:val="28"/>
        </w:rPr>
        <w:t>ресурсов ПАО «МТС»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 трудовым ресурсам относится та часть населения, которая обладает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необходимыми физическими данными, знаниями и навыками труда в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19A">
        <w:rPr>
          <w:rFonts w:ascii="Times New Roman" w:hAnsi="Times New Roman" w:cs="Times New Roman"/>
          <w:color w:val="000000"/>
          <w:sz w:val="28"/>
          <w:szCs w:val="28"/>
        </w:rPr>
        <w:t>соответствующей отрасли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. Достаточная обеспеченность предприятий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нужными трудовыми ресурсами, их рациональное использование, высокий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уровень производительности труда имеют большое значение для увеличения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объемов продукции и повышения эффективности производства. В частности,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от обеспеченности предприятия, трудовыми ресурсами и эффективности их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использования зависят объем и своевремен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>ность выполнения всех работ, эф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фективность использования оборудования, машин, механизмов и как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результат объем производства продукции, ее себестоимость, прибыль и ряд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других экономических показателей.</w:t>
      </w:r>
    </w:p>
    <w:p w:rsidR="005C07EF" w:rsidRPr="005C07EF" w:rsidRDefault="005C07EF" w:rsidP="00BE7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Обобщающий показатель производительности труда – среднегодовая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выработка продукции одним работником. Его величина зависит не только от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выработки рабочих, но и от удельного веса последних в общей численности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персонала, а также от количества отработанных дней и продолжительности</w:t>
      </w:r>
      <w:r w:rsidR="00D6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рабочего дня в таб.2.7.</w:t>
      </w:r>
    </w:p>
    <w:p w:rsidR="00D05D7F" w:rsidRDefault="00D05D7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D7F" w:rsidRDefault="00D05D7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D7F" w:rsidRDefault="00D05D7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D7F" w:rsidRDefault="00D05D7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D7F" w:rsidRDefault="00D05D7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D7F" w:rsidRDefault="00D05D7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7EF" w:rsidRPr="005C07EF" w:rsidRDefault="005C07EF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 а б л и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а 2.7 - Анализ производительности труда в ПАО «МТС»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1329"/>
        <w:gridCol w:w="1330"/>
        <w:gridCol w:w="1330"/>
        <w:gridCol w:w="1556"/>
        <w:gridCol w:w="1774"/>
      </w:tblGrid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Абсолютное отклонение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 + / – )</w:t>
            </w:r>
            <w:proofErr w:type="gramEnd"/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Относительное отклонение, %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численность персонала, чел. (ЧП)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31024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32011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+987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+3,2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рабочих (ЧР)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25102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25130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25560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+458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+1,8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всех рабочих в общей численности работников (Уд)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+0,02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+2,5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Отработано дней одним рабочим за год, дней (Д)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-6,97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BE7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Отработано часов рабочими за год, часов (ФРВ)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231000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249000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228000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-3000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продолжительность рабочего дня,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-6,6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продукции в текущих ценах, млн. руб. (ВП)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8526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+5491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+64,4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Среднегодовая выработка одного работника, тыс. руб. (ГВ)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65,93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75,66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101,14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+35,21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+53,4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Выработка рабочего: среднегодовая, тыс. руб. 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142,3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149,2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+47,1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+33,09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Среднедневная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502,06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520,02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709,43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+207,37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+41,3</w:t>
            </w:r>
          </w:p>
        </w:tc>
      </w:tr>
      <w:tr w:rsidR="00BE7A65" w:rsidTr="00BE7A65"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Среднечасовая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 (ЧВ)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38,96</w:t>
            </w:r>
          </w:p>
        </w:tc>
        <w:tc>
          <w:tcPr>
            <w:tcW w:w="1595" w:type="dxa"/>
          </w:tcPr>
          <w:p w:rsidR="00BE7A65" w:rsidRDefault="00BE7A65" w:rsidP="00BE7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61,48,</w:t>
            </w:r>
          </w:p>
        </w:tc>
        <w:tc>
          <w:tcPr>
            <w:tcW w:w="1595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+24,78</w:t>
            </w:r>
          </w:p>
        </w:tc>
        <w:tc>
          <w:tcPr>
            <w:tcW w:w="1596" w:type="dxa"/>
          </w:tcPr>
          <w:p w:rsidR="00BE7A65" w:rsidRDefault="00BE7A6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+67,5</w:t>
            </w:r>
          </w:p>
        </w:tc>
      </w:tr>
    </w:tbl>
    <w:p w:rsidR="00BE7A65" w:rsidRDefault="00BE7A65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7EF" w:rsidRPr="005C07EF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По данным таблицы 2.5 видно, что увеличение удельного веса рабочих</w:t>
      </w:r>
      <w:r w:rsidR="00BE7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среди всех работников на 2% вызвало увеличение среднегодовой выработки</w:t>
      </w:r>
      <w:r w:rsidR="00BE7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работника, уменьшение количества отработанных дней в году одним</w:t>
      </w:r>
      <w:r w:rsidR="00BE7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рабочим на 14 и сокращение продолжительности рабочего дня на 0,59 часа,</w:t>
      </w:r>
      <w:r w:rsidR="00BE7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сократило производительность труда работника.</w:t>
      </w:r>
    </w:p>
    <w:p w:rsidR="005C07EF" w:rsidRPr="005C07EF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Рассмотрим динамику уровня трудоемкости на предприятии за 2014-2015гг и основные п</w:t>
      </w:r>
      <w:r w:rsidR="002D719A">
        <w:rPr>
          <w:rFonts w:ascii="Times New Roman" w:hAnsi="Times New Roman" w:cs="Times New Roman"/>
          <w:color w:val="000000"/>
          <w:sz w:val="28"/>
          <w:szCs w:val="28"/>
        </w:rPr>
        <w:t>оказатели, влияющие на нее в Таблице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2.8.</w:t>
      </w:r>
    </w:p>
    <w:p w:rsidR="005C07EF" w:rsidRPr="005C07EF" w:rsidRDefault="00C62789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hAnsi="Times New Roman" w:cs="Times New Roman"/>
          <w:color w:val="000000"/>
          <w:sz w:val="28"/>
          <w:szCs w:val="28"/>
        </w:rPr>
        <w:t>иц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а 2.8 – Анализ динамики уровня трудоемкости в ПАО «МТС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0"/>
        <w:gridCol w:w="1418"/>
        <w:gridCol w:w="1417"/>
        <w:gridCol w:w="1422"/>
        <w:gridCol w:w="1589"/>
        <w:gridCol w:w="1774"/>
      </w:tblGrid>
      <w:tr w:rsidR="00C62789" w:rsidTr="00C62789">
        <w:tc>
          <w:tcPr>
            <w:tcW w:w="1951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2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89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Абсолютное отклонение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 + / –)</w:t>
            </w:r>
            <w:proofErr w:type="gramEnd"/>
          </w:p>
        </w:tc>
        <w:tc>
          <w:tcPr>
            <w:tcW w:w="1774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Относительное отклонение, %</w:t>
            </w:r>
          </w:p>
        </w:tc>
      </w:tr>
      <w:tr w:rsidR="00C62789" w:rsidTr="00C62789">
        <w:tc>
          <w:tcPr>
            <w:tcW w:w="1951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(выпуск) продукции, товаров и услуг в фактических ценах отчетного года,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8526</w:t>
            </w:r>
          </w:p>
        </w:tc>
        <w:tc>
          <w:tcPr>
            <w:tcW w:w="1417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</w:t>
            </w:r>
          </w:p>
        </w:tc>
        <w:tc>
          <w:tcPr>
            <w:tcW w:w="1422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</w:t>
            </w:r>
          </w:p>
        </w:tc>
        <w:tc>
          <w:tcPr>
            <w:tcW w:w="1589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+5491</w:t>
            </w:r>
          </w:p>
        </w:tc>
        <w:tc>
          <w:tcPr>
            <w:tcW w:w="1774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+64,4</w:t>
            </w:r>
          </w:p>
        </w:tc>
      </w:tr>
      <w:tr w:rsidR="00C62789" w:rsidTr="00C62789">
        <w:tc>
          <w:tcPr>
            <w:tcW w:w="1951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число отработанных работниками чел.- час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 час</w:t>
            </w:r>
          </w:p>
        </w:tc>
        <w:tc>
          <w:tcPr>
            <w:tcW w:w="1418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231000</w:t>
            </w:r>
          </w:p>
        </w:tc>
        <w:tc>
          <w:tcPr>
            <w:tcW w:w="1417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249000</w:t>
            </w:r>
          </w:p>
        </w:tc>
        <w:tc>
          <w:tcPr>
            <w:tcW w:w="1422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228000</w:t>
            </w:r>
          </w:p>
        </w:tc>
        <w:tc>
          <w:tcPr>
            <w:tcW w:w="1589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-3000</w:t>
            </w:r>
          </w:p>
        </w:tc>
        <w:tc>
          <w:tcPr>
            <w:tcW w:w="1774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</w:t>
            </w:r>
          </w:p>
        </w:tc>
      </w:tr>
      <w:tr w:rsidR="00C62789" w:rsidTr="00C62789">
        <w:tc>
          <w:tcPr>
            <w:tcW w:w="1951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труда на 1 тыс. труда продукции</w:t>
            </w:r>
          </w:p>
        </w:tc>
        <w:tc>
          <w:tcPr>
            <w:tcW w:w="1418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1417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1422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1589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-8,54</w:t>
            </w:r>
          </w:p>
        </w:tc>
        <w:tc>
          <w:tcPr>
            <w:tcW w:w="1774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-34,5</w:t>
            </w:r>
          </w:p>
        </w:tc>
      </w:tr>
      <w:tr w:rsidR="00C62789" w:rsidTr="00C62789">
        <w:tc>
          <w:tcPr>
            <w:tcW w:w="1951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Среднечасовая выработка, руб.</w:t>
            </w:r>
          </w:p>
        </w:tc>
        <w:tc>
          <w:tcPr>
            <w:tcW w:w="1418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417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38,96</w:t>
            </w:r>
          </w:p>
        </w:tc>
        <w:tc>
          <w:tcPr>
            <w:tcW w:w="1422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61,48</w:t>
            </w:r>
          </w:p>
        </w:tc>
        <w:tc>
          <w:tcPr>
            <w:tcW w:w="1589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+24,78</w:t>
            </w:r>
          </w:p>
        </w:tc>
        <w:tc>
          <w:tcPr>
            <w:tcW w:w="1774" w:type="dxa"/>
          </w:tcPr>
          <w:p w:rsidR="00C62789" w:rsidRDefault="00C62789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+67,5</w:t>
            </w:r>
          </w:p>
        </w:tc>
      </w:tr>
    </w:tbl>
    <w:p w:rsidR="00C62789" w:rsidRDefault="00C62789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7EF" w:rsidRPr="005C07EF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Наблюдается снижение трудоемкости продукции на 34,5%. Это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обусловлено тем, что объем выпуска продукции увеличился в 5 раз больше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чем сокращение числа отработанных работниками чел-часов. Увеличение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выработки на 67,5% привело к снижению трудоемкости. Снижение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трудоемкости продукции говорит о повышении производительности труда.</w:t>
      </w:r>
    </w:p>
    <w:p w:rsidR="00C62789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Проанализировав данные можно об общих показателях эффективности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использования трудовых ресурсов на предприятии ПАО «МТС» можно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сделать вывод, что увеличилась среднегодовая выработка работника, а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трудоемкость продукции наоборот снижается, так как между трудоемкостью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 среднечасовой выработкой существует обратно пропорциональная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зависимость.</w:t>
      </w:r>
    </w:p>
    <w:p w:rsidR="00C62789" w:rsidRDefault="00C627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C07EF" w:rsidRPr="00C62789" w:rsidRDefault="00C62789" w:rsidP="00C6278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Глава </w:t>
      </w:r>
      <w:r w:rsidR="005C07EF"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C07EF"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C07EF"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Пути повышения эффективности использования</w:t>
      </w: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07EF"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трудовых ресурсов</w:t>
      </w: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C07EF" w:rsidRPr="00C62789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3.1 Обоснование необходимости повышения эффективности</w:t>
      </w:r>
    </w:p>
    <w:p w:rsidR="005C07EF" w:rsidRPr="00C62789" w:rsidRDefault="005C07EF" w:rsidP="00C62789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 трудовых ресурсов на предприятии</w:t>
      </w:r>
    </w:p>
    <w:p w:rsidR="005C07EF" w:rsidRPr="005C07EF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в целом в динамике на предприятии развивается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тенденция упорядочения структуры кадров путем обеспечения равенства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фактического наличия работников с плановой их потребностью.</w:t>
      </w:r>
    </w:p>
    <w:p w:rsidR="005C07EF" w:rsidRPr="005C07EF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Невысокий образовательный уровень работников и несоответствие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уровня образования работников предприятия занимаемых ими должностей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должны учитываться руководством при рациональном обеспечении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кадрового состава и эффективности реализации кадрового потенциала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предприятия. Необходимо пересмотреть профессиональный состав и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образовательный уровень работников предприятия, проверить соответствие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фактического уровня образования каждого работника занимаемой должности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 изучить вопросы, связанные с подбором кадров, их расстановкой,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подготовкой и повышением квалификации</w:t>
      </w:r>
      <w:r w:rsidR="002D7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Наиболее целесообразным резервом увеличения производительности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труда в ПК «Родник» является эффективное использование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внутрипроизводственных факторов непосредственно на предприятии и в его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подразделениях:</w:t>
      </w:r>
    </w:p>
    <w:p w:rsidR="005C07EF" w:rsidRPr="005C07EF" w:rsidRDefault="00C62789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техники и технологии производства;</w:t>
      </w:r>
    </w:p>
    <w:p w:rsidR="005C07EF" w:rsidRPr="005C07EF" w:rsidRDefault="00C62789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профессионального уровня и квалификации кадров;</w:t>
      </w:r>
    </w:p>
    <w:p w:rsidR="005C07EF" w:rsidRPr="005C07EF" w:rsidRDefault="00C62789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организации труда, производства и управления;</w:t>
      </w:r>
    </w:p>
    <w:p w:rsidR="005C07EF" w:rsidRPr="005C07EF" w:rsidRDefault="00C62789" w:rsidP="00C6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затрат труда на производство единицы продукции и др</w:t>
      </w:r>
      <w:r w:rsidR="002D719A" w:rsidRPr="002D719A">
        <w:rPr>
          <w:rFonts w:ascii="Times New Roman" w:hAnsi="Times New Roman" w:cs="Times New Roman"/>
          <w:color w:val="000000"/>
          <w:sz w:val="28"/>
          <w:szCs w:val="28"/>
        </w:rPr>
        <w:t>. [5]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изменившиеся трудовые отношения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вынуждают современное предприятие более внимательно отнестись к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изучению ситуации на рынке труда с тем, чтобы обеспечить предприятие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более квалифицированным персоналом, способным эффективно решать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стоящие перед предприятием задачи: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деятельности предприятия необходимыми кадрами;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эффективная организация труда работников;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профессионального роста и решения </w:t>
      </w:r>
      <w:proofErr w:type="gram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proofErr w:type="gramEnd"/>
    </w:p>
    <w:p w:rsidR="005C07EF" w:rsidRPr="005C07EF" w:rsidRDefault="005C07EF" w:rsidP="003065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проблем.</w:t>
      </w:r>
    </w:p>
    <w:p w:rsidR="005C07EF" w:rsidRPr="00C62789" w:rsidRDefault="005C07EF" w:rsidP="00C627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3.2 Мероприятия по повышению эффективности использования</w:t>
      </w:r>
    </w:p>
    <w:p w:rsidR="005C07EF" w:rsidRPr="00C62789" w:rsidRDefault="005C07EF" w:rsidP="00C62789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789">
        <w:rPr>
          <w:rFonts w:ascii="Times New Roman" w:hAnsi="Times New Roman" w:cs="Times New Roman"/>
          <w:bCs/>
          <w:color w:val="000000"/>
          <w:sz w:val="28"/>
          <w:szCs w:val="28"/>
        </w:rPr>
        <w:t>трудовых ресурсов на предприятии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использования трудовых ресурсов 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важнейшее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экономическое понятие, характеризующее результативность использования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ресурсов.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Обучение и повышение квалификации персонала необходимо</w:t>
      </w:r>
      <w:r w:rsidR="00C62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производить посредством следующих форм и методов: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интеграционное обучение - компания проводит единые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централизованные вводные курсы для всех новых сотрудников, 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которых — понимание бизнеса и культуры Компании, ее структуры,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изучение внутренних процессов и организационных процедур новыми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сотрудниками. Для новых руководителей проводятся дополнительные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программы по введению во внутреннюю структуру, бизнес-процессы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Компании и принятые процедуры взаимодействий. Для действующих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проводятся </w:t>
      </w:r>
      <w:proofErr w:type="spell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командообразующие</w:t>
      </w:r>
      <w:proofErr w:type="spell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повышению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корпоративного духа и укреплению корпоративной культуры. Руководители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функциональных подразделений Компании проводят обучение действующих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сотрудников согласно правилам, разработанным во внутренних нормативных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документах. По вновь внедряемым процессам проводятся функциональные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семинары и мастер-классы;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 обучение - в ПАО «МТС»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системное профессиональное обучение, направленное на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постоянного развития профессиональных знаний и навыков персонала.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Нормативы и содержание программ обучения, а также нормативы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участию сотрудников в профессиональных конференциях задаются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требованиями позиций, а также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требованиями к профессиональным знаниям сотрудников.;</w:t>
      </w:r>
      <w:proofErr w:type="gramEnd"/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управленческих компетенций менеджеров - в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системы развития управленческих компетенций лежит концепция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выполнения индивидуального плана обучения, а также целевого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и модульного обучения для менеджеров. Целевые и модульные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являются обязательными для выделенных категорий менеджеров,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индивидуальные планы обучения формируются по результатам ежегодной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оценки компетенций руководителей;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кадрового резерва и преемников на управленческие позиции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системы обучения кадрового резерва лежат индивидуальные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планы развития каждого сотрудника, входящего в группу кадрового резерва;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самообразование 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 компании созданы условия для самообразования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сотрудников. Создана внутренняя библиотека рекомендуемой литературы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компетенциям;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очные тренинги, семинары - при проведении подобного 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тренингов и семинаров, активно задействуется внутренний ресурс,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разрабатываются внутренние тренинги, внедрена Академия тренерского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мастерства для подготовки внутренних тренеров;</w:t>
      </w:r>
    </w:p>
    <w:p w:rsidR="005C07EF" w:rsidRPr="005C07EF" w:rsidRDefault="00C62789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посттренинговое</w:t>
      </w:r>
      <w:proofErr w:type="spell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- проведение семинаров </w:t>
      </w:r>
      <w:proofErr w:type="spell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follow</w:t>
      </w:r>
      <w:proofErr w:type="spell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up</w:t>
      </w:r>
      <w:proofErr w:type="spell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ворк-шопов</w:t>
      </w:r>
      <w:proofErr w:type="spell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, мастерских по проблематике пройденного тренинга с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закрепления знаний и навыков у сотрудников и обсуждения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proofErr w:type="gram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знаний на практике;</w:t>
      </w:r>
    </w:p>
    <w:p w:rsidR="005C07EF" w:rsidRPr="005C07EF" w:rsidRDefault="00C62789" w:rsidP="003065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на рабочем месте рассматривается в качестве приоритетного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и наиболее эффективного метода. Одной из главных задач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любого уровня является профессиональный рост его подчиненных.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В Компании действует система наставничества для всех сотрудников: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от стажеров до экспертов.</w:t>
      </w:r>
    </w:p>
    <w:p w:rsidR="003065F5" w:rsidRDefault="003065F5" w:rsidP="003065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07EF" w:rsidRPr="003065F5" w:rsidRDefault="005C07EF" w:rsidP="003065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5F5">
        <w:rPr>
          <w:rFonts w:ascii="Times New Roman" w:hAnsi="Times New Roman" w:cs="Times New Roman"/>
          <w:bCs/>
          <w:color w:val="000000"/>
          <w:sz w:val="28"/>
          <w:szCs w:val="28"/>
        </w:rPr>
        <w:t>3.3 Расчет эффективности мероприятий по использованию</w:t>
      </w:r>
    </w:p>
    <w:p w:rsidR="005C07EF" w:rsidRPr="003065F5" w:rsidRDefault="005C07EF" w:rsidP="003065F5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5F5">
        <w:rPr>
          <w:rFonts w:ascii="Times New Roman" w:hAnsi="Times New Roman" w:cs="Times New Roman"/>
          <w:bCs/>
          <w:color w:val="000000"/>
          <w:sz w:val="28"/>
          <w:szCs w:val="28"/>
        </w:rPr>
        <w:t>трудовых ресурсов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Основным механизмом эффективного использования и развития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персонала предприятия с учетом отечественного и зарубежного опыта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является наличие подсистемы условий труда, трудовых отношений,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оформления и учета кадров, подсистема планирования, прогнозирования и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маркетинга персонала, развития кадров, анализа и развития сре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имулирования труда и др.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Одной из основных целей эффективного использование персонала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предприятия является обеспечение его развития. Отклонения от заданных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норм должно быть невыгодно как отдельному работнику, так и предприятию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 целом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В результате мероприятий по повышению эффективности персонала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мы получим:</w:t>
      </w:r>
    </w:p>
    <w:p w:rsidR="005C07EF" w:rsidRPr="005C07EF" w:rsidRDefault="003065F5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системного, эффективного развития сотрудников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ключевым для Компании компетенциям;</w:t>
      </w:r>
    </w:p>
    <w:p w:rsidR="005C07EF" w:rsidRPr="005C07EF" w:rsidRDefault="003065F5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необходимых знаний, навыков и установок,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необходимых сотрудникам и менеджерам для повышения эффективности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существующей позиции;</w:t>
      </w:r>
    </w:p>
    <w:p w:rsidR="005C07EF" w:rsidRPr="005C07EF" w:rsidRDefault="003065F5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инструмента для развития Кадрового резерва и Преемников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на ключевые позиции;</w:t>
      </w:r>
    </w:p>
    <w:p w:rsidR="005C07EF" w:rsidRPr="005C07EF" w:rsidRDefault="003065F5" w:rsidP="00306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преемственности экспертных/уникальных знаний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опыта;</w:t>
      </w:r>
    </w:p>
    <w:p w:rsidR="005C07EF" w:rsidRPr="005C07EF" w:rsidRDefault="003065F5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в Компании самообучающейся среды, где каждый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руководитель и каждый сотрудник заинтересован в развитии и вовлечен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роцессы создания, сохранения и преумножения знаний и навыков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Компании.</w:t>
      </w:r>
    </w:p>
    <w:p w:rsidR="005C07EF" w:rsidRPr="005C07EF" w:rsidRDefault="005C07EF" w:rsidP="007928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Рассчитаем экономический эффект данной организации путем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привлечения новых покупателей: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ЭЭ =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Δ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↑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, (9)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Δ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 xml:space="preserve">↑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- прирост прибыли.</w:t>
      </w:r>
    </w:p>
    <w:p w:rsidR="005C07EF" w:rsidRPr="005C07EF" w:rsidRDefault="005C07EF" w:rsidP="007928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Прирост прибыли, в свою очередь рассчитывается по формуле:</w:t>
      </w:r>
    </w:p>
    <w:p w:rsidR="005C07EF" w:rsidRPr="005C07EF" w:rsidRDefault="005C07EF" w:rsidP="003065F5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Cambria Math" w:hAnsi="Cambria Math" w:cs="Cambria Math"/>
          <w:color w:val="000000"/>
          <w:sz w:val="28"/>
          <w:szCs w:val="28"/>
        </w:rPr>
        <w:t>Δ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↑= Δ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↑ −Δ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↑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, (10)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Δ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 xml:space="preserve">↑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- прирост выручки;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Cambria Math" w:hAnsi="Cambria Math" w:cs="Cambria Math"/>
          <w:color w:val="000000"/>
          <w:sz w:val="28"/>
          <w:szCs w:val="28"/>
        </w:rPr>
        <w:t>Δ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 xml:space="preserve">↑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- прирост себестоимости.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Для увеличения экономического эффекта компании ПАО «МТС»,</w:t>
      </w:r>
      <w:r w:rsidR="0030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рассмотрим мероприятия в таб. 3.1.</w:t>
      </w:r>
    </w:p>
    <w:p w:rsidR="005C07EF" w:rsidRPr="005C07EF" w:rsidRDefault="003065F5" w:rsidP="0079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аблица 3.1 - Реализация мероприятий по повышению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 ПАО «МТС»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4"/>
        <w:gridCol w:w="2190"/>
        <w:gridCol w:w="1899"/>
        <w:gridCol w:w="1851"/>
        <w:gridCol w:w="1876"/>
      </w:tblGrid>
      <w:tr w:rsidR="003065F5" w:rsidTr="003065F5"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15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проведение</w:t>
            </w:r>
          </w:p>
        </w:tc>
      </w:tr>
      <w:tr w:rsidR="003065F5" w:rsidTr="003065F5"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возрастной и квалификационной структуры трудовых ресурсов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отдел кадров, главный экономист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– июль 2018 г.</w:t>
            </w:r>
          </w:p>
        </w:tc>
        <w:tc>
          <w:tcPr>
            <w:tcW w:w="1915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затраты на мероприятие 262 тыс. руб.</w:t>
            </w:r>
          </w:p>
        </w:tc>
      </w:tr>
      <w:tr w:rsidR="003065F5" w:rsidTr="003065F5"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привлечения молодых специалистов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отдел кадров, главный экономист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– июль 2018 г.</w:t>
            </w:r>
          </w:p>
        </w:tc>
        <w:tc>
          <w:tcPr>
            <w:tcW w:w="1915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Зависит от метода привлечения. Сумма затрат варьируется 30 тыс. руб. – 100 тыс. руб.</w:t>
            </w:r>
          </w:p>
        </w:tc>
      </w:tr>
      <w:tr w:rsidR="003065F5" w:rsidTr="003065F5"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рабочих</w:t>
            </w:r>
          </w:p>
        </w:tc>
        <w:tc>
          <w:tcPr>
            <w:tcW w:w="1914" w:type="dxa"/>
          </w:tcPr>
          <w:p w:rsidR="003065F5" w:rsidRDefault="003065F5" w:rsidP="00306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главный бухгалтер, экономист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– декабрь 2018 г.</w:t>
            </w:r>
          </w:p>
        </w:tc>
        <w:tc>
          <w:tcPr>
            <w:tcW w:w="1915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обучения (9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уб.* 3 мес. * 6 чел.) = 162 тыс. руб. / год</w:t>
            </w:r>
          </w:p>
        </w:tc>
      </w:tr>
      <w:tr w:rsidR="003065F5" w:rsidTr="003065F5"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мотивирующих условий труда</w:t>
            </w:r>
          </w:p>
        </w:tc>
        <w:tc>
          <w:tcPr>
            <w:tcW w:w="1914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отдел кадров, бухгалтерия, главный экономист</w:t>
            </w:r>
          </w:p>
        </w:tc>
        <w:tc>
          <w:tcPr>
            <w:tcW w:w="1914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– сентябрь 2018 г.</w:t>
            </w:r>
          </w:p>
        </w:tc>
        <w:tc>
          <w:tcPr>
            <w:tcW w:w="1915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затраты на мероприятие 944,4 тыс. руб.</w:t>
            </w:r>
          </w:p>
        </w:tc>
      </w:tr>
      <w:tr w:rsidR="003065F5" w:rsidTr="003065F5"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14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наиболее результативным рабочим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чел.)</w:t>
            </w:r>
          </w:p>
        </w:tc>
        <w:tc>
          <w:tcPr>
            <w:tcW w:w="1914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кадров, бухгалтерия, экономический отдел</w:t>
            </w:r>
          </w:p>
        </w:tc>
        <w:tc>
          <w:tcPr>
            <w:tcW w:w="1914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декабрь 2018  г.</w:t>
            </w:r>
          </w:p>
        </w:tc>
        <w:tc>
          <w:tcPr>
            <w:tcW w:w="1915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 рабочих = 18 чел. * 11,2 тыс. руб. * 4 мес. = 806,4 тыс. руб.</w:t>
            </w:r>
          </w:p>
        </w:tc>
      </w:tr>
      <w:tr w:rsidR="003065F5" w:rsidTr="003065F5">
        <w:tc>
          <w:tcPr>
            <w:tcW w:w="1914" w:type="dxa"/>
          </w:tcPr>
          <w:p w:rsidR="003065F5" w:rsidRDefault="003065F5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14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конкурса лучший работник 2017 г.</w:t>
            </w:r>
          </w:p>
        </w:tc>
        <w:tc>
          <w:tcPr>
            <w:tcW w:w="1914" w:type="dxa"/>
          </w:tcPr>
          <w:p w:rsidR="00792801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кадров, главный экономист</w:t>
            </w:r>
          </w:p>
        </w:tc>
        <w:tc>
          <w:tcPr>
            <w:tcW w:w="1914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 г.</w:t>
            </w:r>
          </w:p>
        </w:tc>
        <w:tc>
          <w:tcPr>
            <w:tcW w:w="1915" w:type="dxa"/>
          </w:tcPr>
          <w:p w:rsidR="003065F5" w:rsidRDefault="00792801" w:rsidP="00A8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Поощрения победителю – путевка ( на 4 чел.) в санаторий «Знамя»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Стоимость путевок составит 90 тыс. руб. </w:t>
            </w:r>
          </w:p>
        </w:tc>
      </w:tr>
    </w:tbl>
    <w:p w:rsidR="003065F5" w:rsidRDefault="003065F5" w:rsidP="00A8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Из данных таблицы 3.1 следует, что основные затраты по реализации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намеченных мероприятий приходятся на внедрение системы мотивирующих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условий труда. Затраты на реализацию этого мероприятия составят 944,4 тыс.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руб. Затраты на реализацию мероприятий по оптимизации возрастной и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квалификационной структуры трудовых ресурсов составят 262 тыс. руб.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Таким образом, затраты на реализацию мероприятий составят 1206,4 тыс.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руб., а выручка составит 1607,5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7928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Экономический эффект привлечение дополнительного персонала и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всех работ по совершенствованию составит: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Cambria Math" w:hAnsi="Cambria Math" w:cs="Cambria Math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ЭЭ = 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 xml:space="preserve">1607,5 − 1206,4 = 401,1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 xml:space="preserve">.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5C07EF">
        <w:rPr>
          <w:rFonts w:ascii="Cambria Math" w:hAnsi="Cambria Math" w:cs="Cambria Math"/>
          <w:color w:val="000000"/>
          <w:sz w:val="28"/>
          <w:szCs w:val="28"/>
        </w:rPr>
        <w:t>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Произведя расчет экономического эффекта, мы видим, что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использование дополнительных средств для привлечения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квалифицированного персонала - достаточно целесообразный метод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системы менеджмента качества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В связи с этим,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ПАО «МТС» рекомендуется использовать данный метод оптимизации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структуры системы менеджмента качества, так как он является достаточно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рентабельным. Экономический эффект использования этого метода равен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401,1 тыс. руб.</w:t>
      </w:r>
    </w:p>
    <w:p w:rsidR="00792801" w:rsidRDefault="00792801" w:rsidP="00792801">
      <w:pPr>
        <w:spacing w:line="36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br w:type="page"/>
      </w:r>
    </w:p>
    <w:p w:rsidR="005C07EF" w:rsidRPr="00792801" w:rsidRDefault="00792801" w:rsidP="00792801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ЗАКЛЮЧЕНИЕ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ПАО «МТС» является крупнейшим оператором сотовой связи России,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Восточной и Центральной Европы по количеству абонентов. Анализ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финансово-экономических показателей деятельности ПАО «МТС» показал,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что при росте выручки наблюдается снижение эффективности деятельности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и эффективности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как в целом активов, так и эффективности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использования собственного капитала. Основной причиной снижения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эффективности деятельности является превышение темпов роста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себестоимости продаж по сравнению с темпами роста выручки, что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отрицательно сказалось на полученной чистой прибыли.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Трудовые ресурсы предприятия - это совокупность работников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различных профессионально квалификационных групп, занятых на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предприятии и входящих в его списочный состав. Основная задача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руководителя – эффективная работа хозяйства, эффективное использование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имеющихся трудовых, материальных и финансовых ресурсов. Поэтому в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данной курсовой работе был проведен анализ эффективности использования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трудовых ресурсов. Проведя анализ по предприятию ПАО «МТС» можно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EF">
        <w:rPr>
          <w:rFonts w:ascii="Times New Roman" w:hAnsi="Times New Roman" w:cs="Times New Roman"/>
          <w:color w:val="000000"/>
          <w:sz w:val="28"/>
          <w:szCs w:val="28"/>
        </w:rPr>
        <w:t>сделать следующие выводы:</w:t>
      </w:r>
    </w:p>
    <w:p w:rsidR="005C07EF" w:rsidRPr="005C07EF" w:rsidRDefault="00792801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часть персонала приходится на рабочих. </w:t>
      </w:r>
      <w:proofErr w:type="gram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Произошло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работник по сравнению с предыдущим годом на 987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человек, это связанно с открытием новых филиалов по всей стране;</w:t>
      </w:r>
      <w:proofErr w:type="gramEnd"/>
    </w:p>
    <w:p w:rsidR="005C07EF" w:rsidRPr="005C07EF" w:rsidRDefault="00792801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анализ относительных коэффициентов финансовой устойчивости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показал, что компания полностью зависима от заемных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финансирования, имеет неустойчивое финансовое состояние,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формирования запасов использует не только долгосрочные источники, но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привлекает краткосрочные заемные средства и коммерческий кредит;</w:t>
      </w:r>
    </w:p>
    <w:p w:rsidR="005C07EF" w:rsidRPr="005C07EF" w:rsidRDefault="00792801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анализ ликвидности баланса показал, что из четырех условий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соблюдаются три условия ликвидности и платежеспособности </w:t>
      </w:r>
      <w:proofErr w:type="gramStart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7EF" w:rsidRPr="005C07EF">
        <w:rPr>
          <w:rFonts w:ascii="Times New Roman" w:hAnsi="Times New Roman" w:cs="Times New Roman"/>
          <w:color w:val="000000"/>
          <w:sz w:val="28"/>
          <w:szCs w:val="28"/>
        </w:rPr>
        <w:t>и 2014 года и все условия ликвидности на конец 2015 года.</w:t>
      </w:r>
    </w:p>
    <w:p w:rsidR="00792801" w:rsidRDefault="00792801" w:rsidP="00792801">
      <w:pPr>
        <w:spacing w:line="36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br w:type="page"/>
      </w:r>
    </w:p>
    <w:p w:rsidR="005C07EF" w:rsidRPr="00792801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80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Список использованных источников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Акбашев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, Р. Расчет экономической устойчивости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proofErr w:type="gramEnd"/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организаций/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Р.Акбашев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// Маркетинг. - 2012. - №4. - С.101-108.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2. Балашов, В. Г. Технологии повышения финансового результата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и корпораций. Практика и методы / В.Г. Балашов, В.А.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Ириков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М.: Приор, 2013. - 512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3. Баскакова, О. В. Экономика организаций (предприятий):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proofErr w:type="gramEnd"/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пособие / О. В. Баскакова. - Изд. 3-е,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- М.: Дашков и К, 2014. - 270с.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4. Владимирова П.П. Экономика труда: Учеб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особие. М.: Изд. дом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«Дашков и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», 2011. - 346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5. Вопросы эффективности использования трудовых ресурсов //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Экономика и учет труда. 2015. № 1. - С. 3-13.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6. Гущина, И. Э. Управленческий учет: основы теории и практики: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учебное пособие для вузов / И. Э. Гущина, Н. М. Балакирева. - М.: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2014. - 190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Забродская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Н.Г. Экономика и статистика предприятия: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proofErr w:type="gramEnd"/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пособие / Н. Г.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Забродская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. - М.: Издательство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деловой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и учебной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литературы, 2014. - 352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Забирова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Л. Кадровый менеджмент промышленного предприятия //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Человек и труд. 2013. № 12. - С. 72-74.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9. Ковалев, В. В. Финансовый анализ: методы и процедуры / В. В.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Ковалев. - М.: Финансы и статистика, 2013. - 560с.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10. Лобан, Л. А. Экономика предприятия: учебный комплекс / Л. А.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Лобан, В. Т.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Пыко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. - Минск: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Мисанта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 2012. - 264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Моляков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, Д. С. Теория финансов предприятия: учебное пособие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вузов / Д. С.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Моляков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 Е. И. Шохин. - М.: Финансы и статистика, 2014. - 112с.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Носова, С. С. Экономика: Базовый курс лекций для ВУЗов / С.С.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Носова, А.А.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Талахадзе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- М.: Гелиос АРВ, 2013. - 640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13. Протасов, В. Ф. Анализ деятельности предприятия (фирмы):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производство, экономика, финансы, инвестиции, маркетинг: учебное пособие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для вузов / В.Ф. Протасов. - М.: Финансы и статистика, 2013. - 53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14. Пугачев В.П. Руководство персоналом организации: Учебник. - М.: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Аспект Пресс, 2014. - 279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15. Рогова, __________Е. М. Основы управления финансами и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proofErr w:type="gramEnd"/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планирование: учебное пособие / Е. М. Рогова, Е. А. Ткаченко. - Санкт-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Петербург: Издательство Вернера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Регена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 2015. - 256с.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16. Савицкая, Г. В. Теория анализа хозяйственной деятельности: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учебное пособие для вузов / Г. В. Савицкая. - Минск: БГЭУ, 2013. - 351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17. Управление финансами: учебник для вузов /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А.Г.Володин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Н.Ф.Самсонов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Л.А.Бурмистрова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[и др.]; - М.: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Володина А.Г. Инфра-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М, 2014. - 504 с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18. Экономика предприятия: практикум / А. С. Головачев [и др.]; 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ред. В. И.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Кудашова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– М.: МИУ, 2014. - 207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19. Экономика предприятия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 / [А. Н. Романов [и др.]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- 4-е</w:t>
      </w:r>
      <w:proofErr w:type="gram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5C07EF">
        <w:rPr>
          <w:rFonts w:ascii="Times New Roman" w:hAnsi="Times New Roman" w:cs="Times New Roman"/>
          <w:color w:val="000000"/>
          <w:sz w:val="28"/>
          <w:szCs w:val="28"/>
        </w:rPr>
        <w:t xml:space="preserve">зд. </w:t>
      </w:r>
      <w:proofErr w:type="spellStart"/>
      <w:r w:rsidRPr="005C07EF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5C07EF">
        <w:rPr>
          <w:rFonts w:ascii="Times New Roman" w:hAnsi="Times New Roman" w:cs="Times New Roman"/>
          <w:color w:val="000000"/>
          <w:sz w:val="28"/>
          <w:szCs w:val="28"/>
        </w:rPr>
        <w:t>. и доп. - М.: ЮНИТИ, 2013. - 670 с.</w:t>
      </w:r>
    </w:p>
    <w:p w:rsidR="005C07EF" w:rsidRPr="005C07EF" w:rsidRDefault="005C07EF" w:rsidP="00792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20. Экономика предприятия: учебное пособие / В. П. Волков, А. И.</w:t>
      </w:r>
    </w:p>
    <w:p w:rsidR="00204511" w:rsidRDefault="005C07EF" w:rsidP="00792801">
      <w:pPr>
        <w:spacing w:line="360" w:lineRule="auto"/>
        <w:ind w:firstLine="709"/>
        <w:jc w:val="both"/>
      </w:pPr>
      <w:r w:rsidRPr="005C07EF">
        <w:rPr>
          <w:rFonts w:ascii="Times New Roman" w:hAnsi="Times New Roman" w:cs="Times New Roman"/>
          <w:color w:val="000000"/>
          <w:sz w:val="28"/>
          <w:szCs w:val="28"/>
        </w:rPr>
        <w:t>Ильин, В. И. Станкевич [и др.] – М.: Новое знание, 2014. - 672с</w:t>
      </w:r>
      <w:r w:rsidR="007928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04511" w:rsidSect="00D05D7F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32" w:rsidRDefault="00341C32" w:rsidP="00DB3D79">
      <w:pPr>
        <w:spacing w:after="0" w:line="240" w:lineRule="auto"/>
      </w:pPr>
      <w:r>
        <w:separator/>
      </w:r>
    </w:p>
  </w:endnote>
  <w:endnote w:type="continuationSeparator" w:id="0">
    <w:p w:rsidR="00341C32" w:rsidRDefault="00341C32" w:rsidP="00D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6130"/>
      <w:docPartObj>
        <w:docPartGallery w:val="Page Numbers (Bottom of Page)"/>
        <w:docPartUnique/>
      </w:docPartObj>
    </w:sdtPr>
    <w:sdtEndPr/>
    <w:sdtContent>
      <w:p w:rsidR="00870B5F" w:rsidRDefault="00C35CB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90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B7E23" w:rsidRDefault="007B7E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32" w:rsidRDefault="00341C32" w:rsidP="00DB3D79">
      <w:pPr>
        <w:spacing w:after="0" w:line="240" w:lineRule="auto"/>
      </w:pPr>
      <w:r>
        <w:separator/>
      </w:r>
    </w:p>
  </w:footnote>
  <w:footnote w:type="continuationSeparator" w:id="0">
    <w:p w:rsidR="00341C32" w:rsidRDefault="00341C32" w:rsidP="00DB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061C"/>
    <w:multiLevelType w:val="hybridMultilevel"/>
    <w:tmpl w:val="D0E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44D3E"/>
    <w:multiLevelType w:val="hybridMultilevel"/>
    <w:tmpl w:val="AFF8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7EF"/>
    <w:rsid w:val="000E7900"/>
    <w:rsid w:val="00204511"/>
    <w:rsid w:val="002D719A"/>
    <w:rsid w:val="002F38EC"/>
    <w:rsid w:val="003065F5"/>
    <w:rsid w:val="00341C32"/>
    <w:rsid w:val="003D70B1"/>
    <w:rsid w:val="00567520"/>
    <w:rsid w:val="005C07EF"/>
    <w:rsid w:val="00614D8E"/>
    <w:rsid w:val="006B4C1E"/>
    <w:rsid w:val="00792801"/>
    <w:rsid w:val="007B7E23"/>
    <w:rsid w:val="00834413"/>
    <w:rsid w:val="00842A21"/>
    <w:rsid w:val="00870B5F"/>
    <w:rsid w:val="00A81D74"/>
    <w:rsid w:val="00AE60AD"/>
    <w:rsid w:val="00BE2C19"/>
    <w:rsid w:val="00BE7A65"/>
    <w:rsid w:val="00C12FAC"/>
    <w:rsid w:val="00C35CB4"/>
    <w:rsid w:val="00C62789"/>
    <w:rsid w:val="00C67829"/>
    <w:rsid w:val="00C774BD"/>
    <w:rsid w:val="00D05D7F"/>
    <w:rsid w:val="00D63B83"/>
    <w:rsid w:val="00D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1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34413"/>
    <w:rPr>
      <w:color w:val="808080"/>
    </w:rPr>
  </w:style>
  <w:style w:type="table" w:styleId="a7">
    <w:name w:val="Table Grid"/>
    <w:basedOn w:val="a1"/>
    <w:uiPriority w:val="59"/>
    <w:rsid w:val="00C12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3D79"/>
  </w:style>
  <w:style w:type="paragraph" w:styleId="aa">
    <w:name w:val="footer"/>
    <w:basedOn w:val="a"/>
    <w:link w:val="ab"/>
    <w:uiPriority w:val="99"/>
    <w:unhideWhenUsed/>
    <w:rsid w:val="00DB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9233D-8687-42E5-AB3B-19C8EED1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8179</Words>
  <Characters>46623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</cp:lastModifiedBy>
  <cp:revision>7</cp:revision>
  <cp:lastPrinted>2017-06-06T18:48:00Z</cp:lastPrinted>
  <dcterms:created xsi:type="dcterms:W3CDTF">2017-06-06T15:37:00Z</dcterms:created>
  <dcterms:modified xsi:type="dcterms:W3CDTF">2018-10-24T17:27:00Z</dcterms:modified>
</cp:coreProperties>
</file>