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15" w:type="dxa"/>
        <w:tblInd w:w="113" w:type="dxa"/>
        <w:tblLook w:val="04A0" w:firstRow="1" w:lastRow="0" w:firstColumn="1" w:lastColumn="0" w:noHBand="0" w:noVBand="1"/>
      </w:tblPr>
      <w:tblGrid>
        <w:gridCol w:w="456"/>
        <w:gridCol w:w="2740"/>
        <w:gridCol w:w="936"/>
        <w:gridCol w:w="1337"/>
        <w:gridCol w:w="1546"/>
      </w:tblGrid>
      <w:tr w:rsidR="00561B90" w:rsidRPr="00561B90" w14:paraId="65DE3426" w14:textId="77777777" w:rsidTr="00561B90">
        <w:trPr>
          <w:trHeight w:val="38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6AD9"/>
            <w:noWrap/>
            <w:vAlign w:val="center"/>
            <w:hideMark/>
          </w:tcPr>
          <w:p w14:paraId="13D25EC5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6AD9"/>
            <w:noWrap/>
            <w:vAlign w:val="center"/>
            <w:hideMark/>
          </w:tcPr>
          <w:p w14:paraId="088A7A05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Инструмнты</w:t>
            </w:r>
            <w:proofErr w:type="spellEnd"/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6AD9"/>
            <w:noWrap/>
            <w:vAlign w:val="center"/>
            <w:hideMark/>
          </w:tcPr>
          <w:p w14:paraId="4377CC1C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01.10.18</w:t>
            </w:r>
          </w:p>
        </w:tc>
      </w:tr>
      <w:tr w:rsidR="00561B90" w:rsidRPr="00561B90" w14:paraId="2FB7F990" w14:textId="77777777" w:rsidTr="00561B90">
        <w:trPr>
          <w:trHeight w:val="38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77D0" w14:textId="77777777" w:rsidR="00561B90" w:rsidRPr="00561B90" w:rsidRDefault="00561B90" w:rsidP="00561B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3085" w14:textId="77777777" w:rsidR="00561B90" w:rsidRPr="00561B90" w:rsidRDefault="00561B90" w:rsidP="00561B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6AD9"/>
            <w:noWrap/>
            <w:vAlign w:val="center"/>
            <w:hideMark/>
          </w:tcPr>
          <w:p w14:paraId="178A1C82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6AD9"/>
            <w:noWrap/>
            <w:vAlign w:val="center"/>
            <w:hideMark/>
          </w:tcPr>
          <w:p w14:paraId="287477ED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rоличество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6AD9"/>
            <w:noWrap/>
            <w:vAlign w:val="center"/>
            <w:hideMark/>
          </w:tcPr>
          <w:p w14:paraId="17298AA1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</w:p>
        </w:tc>
      </w:tr>
      <w:tr w:rsidR="00561B90" w:rsidRPr="00561B90" w14:paraId="7DD9C4C7" w14:textId="77777777" w:rsidTr="00561B90">
        <w:trPr>
          <w:trHeight w:val="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D032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E190" w14:textId="77777777" w:rsidR="00561B90" w:rsidRPr="00561B90" w:rsidRDefault="00561B90" w:rsidP="00561B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Лукойл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0B28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E010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9A2F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957410</w:t>
            </w:r>
          </w:p>
        </w:tc>
      </w:tr>
      <w:tr w:rsidR="00561B90" w:rsidRPr="00561B90" w14:paraId="3AAE5F98" w14:textId="77777777" w:rsidTr="00561B90">
        <w:trPr>
          <w:trHeight w:val="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FFFA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F310" w14:textId="77777777" w:rsidR="00561B90" w:rsidRPr="00561B90" w:rsidRDefault="00561B90" w:rsidP="00561B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Сбербанк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6D19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5272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845A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997640</w:t>
            </w:r>
          </w:p>
        </w:tc>
      </w:tr>
      <w:tr w:rsidR="00561B90" w:rsidRPr="00561B90" w14:paraId="54FDC74E" w14:textId="77777777" w:rsidTr="00561B90">
        <w:trPr>
          <w:trHeight w:val="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0E1A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EB03" w14:textId="77777777" w:rsidR="00561B90" w:rsidRPr="00561B90" w:rsidRDefault="00561B90" w:rsidP="00561B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Газпром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BDAF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162,96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DC7B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48D5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814800</w:t>
            </w:r>
          </w:p>
        </w:tc>
      </w:tr>
      <w:tr w:rsidR="00561B90" w:rsidRPr="00561B90" w14:paraId="6070F00F" w14:textId="77777777" w:rsidTr="00561B90">
        <w:trPr>
          <w:trHeight w:val="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D075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D92B" w14:textId="77777777" w:rsidR="00561B90" w:rsidRPr="00561B90" w:rsidRDefault="00561B90" w:rsidP="00561B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Роснефть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1719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D0B5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7330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838440</w:t>
            </w:r>
          </w:p>
        </w:tc>
      </w:tr>
      <w:tr w:rsidR="00561B90" w:rsidRPr="00561B90" w14:paraId="557FC007" w14:textId="77777777" w:rsidTr="00561B90">
        <w:trPr>
          <w:trHeight w:val="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5C18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ED18" w14:textId="77777777" w:rsidR="00561B90" w:rsidRPr="00561B90" w:rsidRDefault="00561B90" w:rsidP="00561B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Норильский Никель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8C89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1CF0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13BA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913200</w:t>
            </w:r>
          </w:p>
        </w:tc>
      </w:tr>
      <w:tr w:rsidR="00561B90" w:rsidRPr="00561B90" w14:paraId="1E60C3AF" w14:textId="77777777" w:rsidTr="00561B90">
        <w:trPr>
          <w:trHeight w:val="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B73E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922D" w14:textId="77777777" w:rsidR="00561B90" w:rsidRPr="00561B90" w:rsidRDefault="00561B90" w:rsidP="00561B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КУБАНЭНЕРГО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9B38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8923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DCBB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807107,6</w:t>
            </w:r>
          </w:p>
        </w:tc>
      </w:tr>
      <w:tr w:rsidR="00561B90" w:rsidRPr="00561B90" w14:paraId="212EAC34" w14:textId="77777777" w:rsidTr="00561B90">
        <w:trPr>
          <w:trHeight w:val="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CA93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0D26" w14:textId="77777777" w:rsidR="00561B90" w:rsidRPr="00561B90" w:rsidRDefault="00561B90" w:rsidP="00561B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Магнит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1091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84FE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0599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978857</w:t>
            </w:r>
          </w:p>
        </w:tc>
      </w:tr>
      <w:tr w:rsidR="00561B90" w:rsidRPr="00561B90" w14:paraId="72BCB370" w14:textId="77777777" w:rsidTr="00561B90">
        <w:trPr>
          <w:trHeight w:val="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16C4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28CE" w14:textId="77777777" w:rsidR="00561B90" w:rsidRPr="00561B90" w:rsidRDefault="00561B90" w:rsidP="00561B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 АЛЬФА</w:t>
            </w:r>
            <w:proofErr w:type="gramEnd"/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-БАНК (</w:t>
            </w:r>
            <w:proofErr w:type="spellStart"/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4B3D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99,65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4C49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605C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996500</w:t>
            </w:r>
          </w:p>
        </w:tc>
      </w:tr>
      <w:tr w:rsidR="00561B90" w:rsidRPr="00561B90" w14:paraId="5D3D4A49" w14:textId="77777777" w:rsidTr="00561B90">
        <w:trPr>
          <w:trHeight w:val="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C001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CAFE" w14:textId="77777777" w:rsidR="00561B90" w:rsidRPr="00561B90" w:rsidRDefault="00561B90" w:rsidP="00561B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Brent</w:t>
            </w:r>
            <w:proofErr w:type="spellEnd"/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фьюч</w:t>
            </w:r>
            <w:proofErr w:type="spellEnd"/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49F0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69F6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B9D1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1021650</w:t>
            </w:r>
          </w:p>
        </w:tc>
      </w:tr>
      <w:tr w:rsidR="00561B90" w:rsidRPr="00561B90" w14:paraId="5EF38D0C" w14:textId="77777777" w:rsidTr="00561B90">
        <w:trPr>
          <w:trHeight w:val="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B7AD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2391" w14:textId="77777777" w:rsidR="00561B90" w:rsidRPr="00561B90" w:rsidRDefault="00561B90" w:rsidP="00561B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Qiwi</w:t>
            </w:r>
            <w:proofErr w:type="spellEnd"/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Plc</w:t>
            </w:r>
            <w:proofErr w:type="spellEnd"/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депоз</w:t>
            </w:r>
            <w:proofErr w:type="spellEnd"/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</w:t>
            </w:r>
            <w:proofErr w:type="spellEnd"/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429A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C805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1286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939400</w:t>
            </w:r>
          </w:p>
        </w:tc>
      </w:tr>
      <w:tr w:rsidR="00561B90" w:rsidRPr="00561B90" w14:paraId="61408A34" w14:textId="77777777" w:rsidTr="00561B90">
        <w:trPr>
          <w:trHeight w:val="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F4A1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9437" w14:textId="77777777" w:rsidR="00561B90" w:rsidRPr="00561B90" w:rsidRDefault="00561B90" w:rsidP="00561B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АЛРОСА–Нюрба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BFA5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0997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A804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735000</w:t>
            </w:r>
          </w:p>
        </w:tc>
      </w:tr>
      <w:tr w:rsidR="00561B90" w:rsidRPr="00561B90" w14:paraId="53825DFE" w14:textId="77777777" w:rsidTr="00561B90">
        <w:trPr>
          <w:trHeight w:val="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02CFA6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E4D636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1B9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Итого: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ADDB0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177D62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1B9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38337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31E746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1B9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10000004,6</w:t>
            </w:r>
          </w:p>
        </w:tc>
      </w:tr>
      <w:tr w:rsidR="00561B90" w:rsidRPr="00561B90" w14:paraId="773A4A21" w14:textId="77777777" w:rsidTr="00561B90">
        <w:trPr>
          <w:trHeight w:val="3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B2E3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14:paraId="3E479198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Micex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59F8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728F" w14:textId="77777777" w:rsidR="00561B90" w:rsidRPr="00561B90" w:rsidRDefault="00561B90" w:rsidP="00561B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0950AE45" w14:textId="77777777" w:rsidR="00561B90" w:rsidRPr="00561B90" w:rsidRDefault="00561B90" w:rsidP="00561B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2493,82</w:t>
            </w:r>
          </w:p>
        </w:tc>
      </w:tr>
    </w:tbl>
    <w:p w14:paraId="0F27C3E7" w14:textId="77777777" w:rsidR="000D3D7D" w:rsidRPr="007C763B" w:rsidRDefault="00D278A0" w:rsidP="00D278A0">
      <w:pPr>
        <w:jc w:val="center"/>
        <w:rPr>
          <w:sz w:val="32"/>
          <w:szCs w:val="32"/>
        </w:rPr>
      </w:pPr>
      <w:r w:rsidRPr="007C763B">
        <w:rPr>
          <w:sz w:val="32"/>
          <w:szCs w:val="32"/>
        </w:rPr>
        <w:t>Вывод</w:t>
      </w:r>
    </w:p>
    <w:p w14:paraId="4E379B75" w14:textId="11F011F1" w:rsidR="00700778" w:rsidRDefault="00561B90" w:rsidP="00CC0571">
      <w:pPr>
        <w:jc w:val="both"/>
        <w:rPr>
          <w:bCs/>
        </w:rPr>
      </w:pPr>
      <w:r>
        <w:t xml:space="preserve"> </w:t>
      </w:r>
      <w:r w:rsidR="003F61D0">
        <w:t>Средняя доходность</w:t>
      </w:r>
      <w:r w:rsidR="00501D5B">
        <w:t xml:space="preserve"> портфеля составила – 0,</w:t>
      </w:r>
      <w:r w:rsidR="008D5732">
        <w:t>6</w:t>
      </w:r>
      <w:r w:rsidR="003F61D0">
        <w:t>3</w:t>
      </w:r>
      <w:r w:rsidR="00EB2944">
        <w:t xml:space="preserve"> </w:t>
      </w:r>
      <w:proofErr w:type="gramStart"/>
      <w:r w:rsidR="00EB2944">
        <w:t xml:space="preserve">% </w:t>
      </w:r>
      <w:r w:rsidR="003F61D0">
        <w:t>,</w:t>
      </w:r>
      <w:proofErr w:type="gramEnd"/>
      <w:r w:rsidR="003F61D0">
        <w:t xml:space="preserve"> при этом </w:t>
      </w:r>
      <w:r w:rsidR="00EB2944">
        <w:t xml:space="preserve">доходность </w:t>
      </w:r>
      <w:r w:rsidR="009A21F9">
        <w:t>рын</w:t>
      </w:r>
      <w:r w:rsidR="00EB2944">
        <w:t>ка установилась на уровне – 0,05 %.</w:t>
      </w:r>
      <w:r w:rsidR="00D80639">
        <w:t xml:space="preserve">. Целью инвестирования было минимизировать потери, однако в условиях нестабильной экономики и постоянных скачков курсов акций, это оказалось затруднительно. Возможно, пересмотрев состав и структуру инвестиционного портфеля и ликвидировав аутсайдеров, таких как, например, фьючерсы на нефть </w:t>
      </w:r>
      <w:r w:rsidR="00D80639">
        <w:rPr>
          <w:lang w:val="en-US"/>
        </w:rPr>
        <w:t>Brent</w:t>
      </w:r>
      <w:r w:rsidR="00CC0571" w:rsidRPr="00CC0571">
        <w:t xml:space="preserve"> </w:t>
      </w:r>
      <w:r w:rsidR="007C763B">
        <w:t>(</w:t>
      </w:r>
      <w:r w:rsidR="007C763B" w:rsidRPr="007C763B">
        <w:t>–0,90</w:t>
      </w:r>
      <w:r w:rsidR="007C763B">
        <w:t>)</w:t>
      </w:r>
      <w:r w:rsidR="00D80639">
        <w:t xml:space="preserve">, акции </w:t>
      </w:r>
      <w:r w:rsidR="009742C9">
        <w:t xml:space="preserve">ПАО </w:t>
      </w:r>
      <w:r w:rsidR="00D80639" w:rsidRPr="00D80639">
        <w:t>«</w:t>
      </w:r>
      <w:r w:rsidR="009742C9" w:rsidRPr="009742C9">
        <w:rPr>
          <w:bCs/>
        </w:rPr>
        <w:t>КУБАНЭНЕРГО</w:t>
      </w:r>
      <w:r w:rsidR="00D80639" w:rsidRPr="00D80639">
        <w:t>»</w:t>
      </w:r>
      <w:r w:rsidR="007C763B">
        <w:t xml:space="preserve"> (</w:t>
      </w:r>
      <w:r w:rsidR="007C763B" w:rsidRPr="007C763B">
        <w:t>–0,36</w:t>
      </w:r>
      <w:r w:rsidR="007C763B">
        <w:t>)</w:t>
      </w:r>
      <w:r w:rsidR="00D80639">
        <w:t xml:space="preserve"> и ПАО «</w:t>
      </w:r>
      <w:proofErr w:type="gramStart"/>
      <w:r w:rsidR="0074515E">
        <w:t>Роснефть</w:t>
      </w:r>
      <w:r w:rsidR="009742C9" w:rsidRPr="00D80639">
        <w:rPr>
          <w:bCs/>
        </w:rPr>
        <w:t xml:space="preserve"> </w:t>
      </w:r>
      <w:r w:rsidR="00D80639" w:rsidRPr="00D80639">
        <w:rPr>
          <w:bCs/>
        </w:rPr>
        <w:t>»</w:t>
      </w:r>
      <w:proofErr w:type="gramEnd"/>
      <w:r w:rsidR="009742C9">
        <w:rPr>
          <w:bCs/>
        </w:rPr>
        <w:t xml:space="preserve"> </w:t>
      </w:r>
      <w:r w:rsidR="007C763B">
        <w:rPr>
          <w:bCs/>
        </w:rPr>
        <w:t>(</w:t>
      </w:r>
      <w:r w:rsidR="007C763B" w:rsidRPr="007C763B">
        <w:rPr>
          <w:rFonts w:ascii="Calibri" w:hAnsi="Calibri"/>
          <w:color w:val="000000"/>
          <w:sz w:val="22"/>
        </w:rPr>
        <w:t xml:space="preserve"> </w:t>
      </w:r>
      <w:r w:rsidR="007C763B" w:rsidRPr="007C763B">
        <w:t>–</w:t>
      </w:r>
      <w:r w:rsidR="007C763B" w:rsidRPr="007C763B">
        <w:rPr>
          <w:bCs/>
        </w:rPr>
        <w:t>0,</w:t>
      </w:r>
      <w:r w:rsidR="007E6C52">
        <w:rPr>
          <w:bCs/>
        </w:rPr>
        <w:t>84</w:t>
      </w:r>
      <w:r w:rsidR="007C763B">
        <w:rPr>
          <w:bCs/>
        </w:rPr>
        <w:t xml:space="preserve">), </w:t>
      </w:r>
      <w:r w:rsidR="007C763B" w:rsidRPr="007C763B">
        <w:rPr>
          <w:bCs/>
        </w:rPr>
        <w:t>и повысив долю лидеров, таких как ПАО «ГМК «Норильский никель»</w:t>
      </w:r>
      <w:r w:rsidR="007C763B">
        <w:rPr>
          <w:bCs/>
        </w:rPr>
        <w:t>(</w:t>
      </w:r>
      <w:r w:rsidR="007C763B" w:rsidRPr="007C763B">
        <w:rPr>
          <w:rFonts w:ascii="Calibri" w:hAnsi="Calibri"/>
          <w:color w:val="000000"/>
          <w:sz w:val="22"/>
        </w:rPr>
        <w:t xml:space="preserve"> </w:t>
      </w:r>
      <w:r w:rsidR="00614E9A">
        <w:rPr>
          <w:bCs/>
        </w:rPr>
        <w:t>0,86</w:t>
      </w:r>
      <w:r w:rsidR="007C763B">
        <w:rPr>
          <w:bCs/>
        </w:rPr>
        <w:t>)</w:t>
      </w:r>
      <w:r w:rsidR="007C763B" w:rsidRPr="007C763B">
        <w:rPr>
          <w:bCs/>
        </w:rPr>
        <w:t xml:space="preserve"> и «QIWI </w:t>
      </w:r>
      <w:proofErr w:type="spellStart"/>
      <w:r w:rsidR="007C763B" w:rsidRPr="007C763B">
        <w:rPr>
          <w:bCs/>
        </w:rPr>
        <w:t>plc</w:t>
      </w:r>
      <w:proofErr w:type="spellEnd"/>
      <w:r w:rsidR="007C763B">
        <w:rPr>
          <w:bCs/>
        </w:rPr>
        <w:t>»</w:t>
      </w:r>
      <w:r w:rsidR="0074515E">
        <w:rPr>
          <w:bCs/>
        </w:rPr>
        <w:t xml:space="preserve"> </w:t>
      </w:r>
      <w:r w:rsidR="007C763B">
        <w:rPr>
          <w:bCs/>
        </w:rPr>
        <w:t>(</w:t>
      </w:r>
      <w:r w:rsidR="007C763B" w:rsidRPr="007C763B">
        <w:rPr>
          <w:bCs/>
        </w:rPr>
        <w:t>0,52</w:t>
      </w:r>
      <w:r w:rsidR="007C763B">
        <w:rPr>
          <w:bCs/>
        </w:rPr>
        <w:t>),</w:t>
      </w:r>
      <w:r w:rsidR="0074515E">
        <w:rPr>
          <w:bCs/>
        </w:rPr>
        <w:t xml:space="preserve"> </w:t>
      </w:r>
      <w:r w:rsidR="007C763B">
        <w:rPr>
          <w:bCs/>
        </w:rPr>
        <w:t xml:space="preserve">можно добиться положительной динамики. </w:t>
      </w:r>
    </w:p>
    <w:p w14:paraId="3D9032BD" w14:textId="77777777" w:rsidR="00683407" w:rsidRPr="00D60C69" w:rsidRDefault="00F378AC" w:rsidP="00CC0571">
      <w:pPr>
        <w:jc w:val="both"/>
      </w:pPr>
      <w:r w:rsidRPr="00D60C69">
        <w:t xml:space="preserve">        Портфель недооценён. Инструменты</w:t>
      </w:r>
      <w:r w:rsidR="00683407" w:rsidRPr="00D60C69">
        <w:t xml:space="preserve">, которые переоценены: ПАО Газпром, ПАО Норильский Никель, </w:t>
      </w:r>
      <w:proofErr w:type="spellStart"/>
      <w:r w:rsidR="00683407" w:rsidRPr="00D60C69">
        <w:t>Qiwi</w:t>
      </w:r>
      <w:proofErr w:type="spellEnd"/>
      <w:r w:rsidR="00683407" w:rsidRPr="00D60C69">
        <w:t xml:space="preserve"> </w:t>
      </w:r>
      <w:proofErr w:type="spellStart"/>
      <w:r w:rsidR="00683407" w:rsidRPr="00D60C69">
        <w:t>Plc</w:t>
      </w:r>
      <w:proofErr w:type="spellEnd"/>
      <w:r w:rsidR="00683407" w:rsidRPr="00D60C69">
        <w:t xml:space="preserve"> (</w:t>
      </w:r>
      <w:proofErr w:type="spellStart"/>
      <w:r w:rsidR="00683407" w:rsidRPr="00D60C69">
        <w:t>депоз</w:t>
      </w:r>
      <w:proofErr w:type="spellEnd"/>
      <w:r w:rsidR="00683407" w:rsidRPr="00D60C69">
        <w:t xml:space="preserve"> </w:t>
      </w:r>
      <w:proofErr w:type="spellStart"/>
      <w:r w:rsidR="00683407" w:rsidRPr="00D60C69">
        <w:t>расп</w:t>
      </w:r>
      <w:proofErr w:type="spellEnd"/>
      <w:r w:rsidR="00683407" w:rsidRPr="00D60C69">
        <w:t>). Остальные инструменты недооценены.</w:t>
      </w:r>
    </w:p>
    <w:p w14:paraId="2C48BA7F" w14:textId="41ED14E1" w:rsidR="00630BE2" w:rsidRPr="00B769D7" w:rsidRDefault="00630BE2" w:rsidP="00D60C69">
      <w:pPr>
        <w:jc w:val="both"/>
        <w:rPr>
          <w:bCs/>
        </w:rPr>
      </w:pPr>
      <w:bookmarkStart w:id="0" w:name="_GoBack"/>
      <w:bookmarkEnd w:id="0"/>
      <w:r>
        <w:rPr>
          <w:bCs/>
        </w:rPr>
        <w:t xml:space="preserve">Рисковая нагрузка по портфелю составила </w:t>
      </w:r>
      <w:r w:rsidR="008C2FD4">
        <w:rPr>
          <w:bCs/>
        </w:rPr>
        <w:t>1,</w:t>
      </w:r>
      <w:r>
        <w:rPr>
          <w:bCs/>
        </w:rPr>
        <w:t>6</w:t>
      </w:r>
      <w:r w:rsidR="008C2FD4">
        <w:rPr>
          <w:bCs/>
        </w:rPr>
        <w:t>8</w:t>
      </w:r>
      <w:r>
        <w:rPr>
          <w:bCs/>
        </w:rPr>
        <w:t xml:space="preserve"> , </w:t>
      </w:r>
      <w:r w:rsidR="008C2FD4">
        <w:rPr>
          <w:bCs/>
        </w:rPr>
        <w:t xml:space="preserve">а риск по рынку 1,8 </w:t>
      </w:r>
      <w:r>
        <w:rPr>
          <w:bCs/>
        </w:rPr>
        <w:t xml:space="preserve">Это позволяет сделать вывод, что эффективность портфеля </w:t>
      </w:r>
      <w:r w:rsidR="00CC0571">
        <w:rPr>
          <w:bCs/>
        </w:rPr>
        <w:t>более менее хорошая</w:t>
      </w:r>
      <w:r>
        <w:rPr>
          <w:bCs/>
        </w:rPr>
        <w:t>. Наибольшая рисковая нагрузка приходится на долю</w:t>
      </w:r>
      <w:r w:rsidR="00B769D7">
        <w:rPr>
          <w:bCs/>
        </w:rPr>
        <w:t xml:space="preserve"> </w:t>
      </w:r>
      <w:r w:rsidR="00B769D7" w:rsidRPr="00B769D7">
        <w:rPr>
          <w:bCs/>
        </w:rPr>
        <w:t>«QIWI </w:t>
      </w:r>
      <w:proofErr w:type="spellStart"/>
      <w:r w:rsidR="00B769D7" w:rsidRPr="00B769D7">
        <w:rPr>
          <w:bCs/>
        </w:rPr>
        <w:t>plc</w:t>
      </w:r>
      <w:proofErr w:type="spellEnd"/>
      <w:r w:rsidR="00B769D7" w:rsidRPr="00B769D7">
        <w:rPr>
          <w:bCs/>
        </w:rPr>
        <w:t>»</w:t>
      </w:r>
      <w:r w:rsidR="00B769D7">
        <w:rPr>
          <w:bCs/>
        </w:rPr>
        <w:t>, но именно этот инструмент обладает самой высокой доходностью. Высокой долей нерыночного риска обладают акции АО «</w:t>
      </w:r>
      <w:r w:rsidR="00683407" w:rsidRPr="00683407">
        <w:rPr>
          <w:bCs/>
        </w:rPr>
        <w:t>АЛЬФА-БАНК</w:t>
      </w:r>
      <w:r w:rsidR="00B769D7">
        <w:rPr>
          <w:bCs/>
        </w:rPr>
        <w:t xml:space="preserve">», </w:t>
      </w:r>
      <w:proofErr w:type="gramStart"/>
      <w:r w:rsidR="00B769D7">
        <w:rPr>
          <w:bCs/>
        </w:rPr>
        <w:t xml:space="preserve">и </w:t>
      </w:r>
      <w:r>
        <w:rPr>
          <w:bCs/>
        </w:rPr>
        <w:t xml:space="preserve"> </w:t>
      </w:r>
      <w:r w:rsidR="00B769D7" w:rsidRPr="007C763B">
        <w:rPr>
          <w:bCs/>
        </w:rPr>
        <w:t>«</w:t>
      </w:r>
      <w:proofErr w:type="gramEnd"/>
      <w:r w:rsidR="00B769D7" w:rsidRPr="007C763B">
        <w:rPr>
          <w:bCs/>
        </w:rPr>
        <w:t>QIWI </w:t>
      </w:r>
      <w:proofErr w:type="spellStart"/>
      <w:r w:rsidR="00B769D7" w:rsidRPr="007C763B">
        <w:rPr>
          <w:bCs/>
        </w:rPr>
        <w:t>plc</w:t>
      </w:r>
      <w:proofErr w:type="spellEnd"/>
      <w:r w:rsidR="00B769D7">
        <w:rPr>
          <w:bCs/>
        </w:rPr>
        <w:t xml:space="preserve">» и фьючерсы </w:t>
      </w:r>
      <w:r w:rsidR="00B769D7">
        <w:rPr>
          <w:bCs/>
          <w:lang w:val="en-US"/>
        </w:rPr>
        <w:t>Brent</w:t>
      </w:r>
      <w:r w:rsidR="00B769D7" w:rsidRPr="00B769D7">
        <w:rPr>
          <w:bCs/>
        </w:rPr>
        <w:t xml:space="preserve">. </w:t>
      </w:r>
      <w:r w:rsidR="00B769D7">
        <w:rPr>
          <w:bCs/>
        </w:rPr>
        <w:t xml:space="preserve">Это могло быть обусловлено </w:t>
      </w:r>
      <w:r w:rsidR="004652BC">
        <w:rPr>
          <w:bCs/>
        </w:rPr>
        <w:t>индивидуальными особенностями инструмента.</w:t>
      </w:r>
    </w:p>
    <w:p w14:paraId="7D276151" w14:textId="77777777" w:rsidR="00683407" w:rsidRPr="007C763B" w:rsidRDefault="00683407" w:rsidP="00D60C69">
      <w:pPr>
        <w:jc w:val="both"/>
        <w:rPr>
          <w:bCs/>
        </w:rPr>
      </w:pPr>
      <w:r>
        <w:rPr>
          <w:bCs/>
        </w:rPr>
        <w:lastRenderedPageBreak/>
        <w:t xml:space="preserve">Таким образом, принимаем следующие управленческие решения. Следует исключить из портфеля </w:t>
      </w:r>
      <w:proofErr w:type="spellStart"/>
      <w:proofErr w:type="gramStart"/>
      <w:r>
        <w:rPr>
          <w:bCs/>
        </w:rPr>
        <w:t>Brent</w:t>
      </w:r>
      <w:proofErr w:type="spellEnd"/>
      <w:r>
        <w:rPr>
          <w:bCs/>
        </w:rPr>
        <w:t xml:space="preserve"> ,</w:t>
      </w:r>
      <w:proofErr w:type="gramEnd"/>
      <w:r>
        <w:rPr>
          <w:bCs/>
        </w:rPr>
        <w:t xml:space="preserve"> так как покупка его фьючерсов обеспечивала на протяжении всего периода наименьшую доходность и наибольшую рисковую нагрузку, так же можно исключить и акции </w:t>
      </w:r>
      <w:r>
        <w:t xml:space="preserve">ПАО </w:t>
      </w:r>
      <w:r w:rsidRPr="00D80639">
        <w:t>«</w:t>
      </w:r>
      <w:r w:rsidR="007E6C52">
        <w:rPr>
          <w:bCs/>
        </w:rPr>
        <w:t>Роснефть</w:t>
      </w:r>
      <w:r w:rsidRPr="00D80639">
        <w:t>»</w:t>
      </w:r>
      <w:r w:rsidR="00D60C69">
        <w:t>, которые очень сильно упали в цене. Также фиксируем прибыль по «</w:t>
      </w:r>
      <w:r w:rsidR="00D60C69" w:rsidRPr="00D60C69">
        <w:t>ПАО Норильский Никель</w:t>
      </w:r>
      <w:r w:rsidR="00D60C69">
        <w:t>» по остальным инструментам не принимаем никаких решений и ожидаем увеличения доходности.</w:t>
      </w:r>
    </w:p>
    <w:p w14:paraId="6ACD4FB1" w14:textId="77777777" w:rsidR="00D278A0" w:rsidRDefault="00D278A0" w:rsidP="00D278A0"/>
    <w:sectPr w:rsidR="00D2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A0"/>
    <w:rsid w:val="000D3D7D"/>
    <w:rsid w:val="00371EBE"/>
    <w:rsid w:val="003F61D0"/>
    <w:rsid w:val="00453021"/>
    <w:rsid w:val="004652BC"/>
    <w:rsid w:val="00501D5B"/>
    <w:rsid w:val="0054726F"/>
    <w:rsid w:val="00561B90"/>
    <w:rsid w:val="00614E9A"/>
    <w:rsid w:val="00630BE2"/>
    <w:rsid w:val="00683407"/>
    <w:rsid w:val="00700778"/>
    <w:rsid w:val="0074515E"/>
    <w:rsid w:val="007C763B"/>
    <w:rsid w:val="007E6C52"/>
    <w:rsid w:val="008449E1"/>
    <w:rsid w:val="008C2FD4"/>
    <w:rsid w:val="008D5732"/>
    <w:rsid w:val="009742C9"/>
    <w:rsid w:val="009A21F9"/>
    <w:rsid w:val="00A25DB4"/>
    <w:rsid w:val="00A80055"/>
    <w:rsid w:val="00A92383"/>
    <w:rsid w:val="00B769D7"/>
    <w:rsid w:val="00CC0571"/>
    <w:rsid w:val="00D278A0"/>
    <w:rsid w:val="00D60C69"/>
    <w:rsid w:val="00D80639"/>
    <w:rsid w:val="00E2709B"/>
    <w:rsid w:val="00EB2944"/>
    <w:rsid w:val="00F32D2B"/>
    <w:rsid w:val="00F3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4A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Microsoft Office</cp:lastModifiedBy>
  <cp:revision>5</cp:revision>
  <dcterms:created xsi:type="dcterms:W3CDTF">2018-12-18T18:49:00Z</dcterms:created>
  <dcterms:modified xsi:type="dcterms:W3CDTF">2018-12-25T23:50:00Z</dcterms:modified>
</cp:coreProperties>
</file>