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diagrams/colors2.xml" ContentType="application/vnd.openxmlformats-officedocument.drawingml.diagramColor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iagrams/layout1.xml" ContentType="application/vnd.openxmlformats-officedocument.drawingml.diagramLayout+xml"/>
  <Override PartName="/docProps/core.xml" ContentType="application/vnd.openxmlformats-package.core-properties+xml"/>
  <Override PartName="/word/diagrams/data1.xml" ContentType="application/vnd.openxmlformats-officedocument.drawingml.diagramData+xml"/>
  <Override PartName="/word/diagrams/quickStyle1.xml" ContentType="application/vnd.openxmlformats-officedocument.drawingml.diagramStyle+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iagrams/drawing1.xml" ContentType="application/vnd.ms-office.drawingml.diagramDrawing+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76"/>
        <w:jc w:val="center"/>
        <w:rPr>
          <w:rFonts w:ascii="Times New Roman" w:cs="Times New Roman" w:hAnsi="Times New Roman"/>
          <w:caps/>
          <w:sz w:val="24"/>
          <w:szCs w:val="24"/>
        </w:rPr>
      </w:pPr>
      <w:r>
        <w:rPr>
          <w:rFonts w:ascii="Times New Roman" w:cs="Times New Roman" w:hAnsi="Times New Roman"/>
          <w:caps/>
          <w:sz w:val="24"/>
          <w:szCs w:val="24"/>
        </w:rPr>
        <w:t>Министерство науки и высшего образования</w:t>
      </w:r>
      <w:r>
        <w:rPr>
          <w:rFonts w:ascii="Times New Roman" w:cs="Times New Roman" w:hAnsi="Times New Roman"/>
          <w:caps/>
          <w:sz w:val="24"/>
          <w:szCs w:val="24"/>
        </w:rPr>
        <w:br/>
      </w:r>
      <w:r>
        <w:rPr>
          <w:rFonts w:ascii="Times New Roman" w:cs="Times New Roman" w:hAnsi="Times New Roman"/>
          <w:caps/>
          <w:sz w:val="24"/>
          <w:szCs w:val="24"/>
        </w:rPr>
        <w:t>Российской Федерации</w:t>
      </w:r>
    </w:p>
    <w:p>
      <w:pPr>
        <w:pStyle w:val="style80"/>
        <w:spacing w:after="0" w:lineRule="auto" w:line="276"/>
        <w:jc w:val="center"/>
        <w:rPr>
          <w:rFonts w:ascii="Times New Roman" w:cs="Times New Roman" w:hAnsi="Times New Roman"/>
          <w:i/>
          <w:sz w:val="24"/>
          <w:szCs w:val="24"/>
        </w:rPr>
      </w:pPr>
      <w:r>
        <w:rPr>
          <w:rFonts w:ascii="Times New Roman" w:cs="Times New Roman" w:hAnsi="Times New Roman"/>
          <w:i/>
          <w:sz w:val="24"/>
          <w:szCs w:val="24"/>
        </w:rPr>
        <w:t>ф</w:t>
      </w:r>
      <w:r>
        <w:rPr>
          <w:rFonts w:ascii="Times New Roman" w:cs="Times New Roman" w:hAnsi="Times New Roman"/>
          <w:i/>
          <w:sz w:val="24"/>
          <w:szCs w:val="24"/>
        </w:rPr>
        <w:t xml:space="preserve">едеральное государственное бюджетное образовательное </w:t>
      </w:r>
      <w:r>
        <w:rPr>
          <w:rFonts w:ascii="Times New Roman" w:cs="Times New Roman" w:hAnsi="Times New Roman"/>
          <w:i/>
          <w:sz w:val="24"/>
          <w:szCs w:val="24"/>
        </w:rPr>
        <w:br/>
      </w:r>
      <w:r>
        <w:rPr>
          <w:rFonts w:ascii="Times New Roman" w:cs="Times New Roman" w:hAnsi="Times New Roman"/>
          <w:i/>
          <w:sz w:val="24"/>
          <w:szCs w:val="24"/>
        </w:rPr>
        <w:t>учреждение высшего образования</w:t>
      </w:r>
    </w:p>
    <w:p>
      <w:pPr>
        <w:pStyle w:val="style0"/>
        <w:spacing w:after="0" w:lineRule="auto" w:line="276"/>
        <w:jc w:val="center"/>
        <w:rPr>
          <w:rFonts w:ascii="Times New Roman" w:cs="Times New Roman" w:hAnsi="Times New Roman"/>
          <w:b/>
          <w:sz w:val="28"/>
          <w:szCs w:val="28"/>
        </w:rPr>
      </w:pPr>
      <w:r>
        <w:rPr>
          <w:rFonts w:ascii="Times New Roman" w:cs="Times New Roman" w:hAnsi="Times New Roman"/>
          <w:b/>
          <w:sz w:val="28"/>
          <w:szCs w:val="28"/>
        </w:rPr>
        <w:t>«КУБАНСКИЙ ГОСУДАРСТВЕННЫЙ УНИВЕРСИТЕТ»</w:t>
      </w:r>
    </w:p>
    <w:p>
      <w:pPr>
        <w:pStyle w:val="style0"/>
        <w:spacing w:after="0" w:lineRule="auto" w:line="276"/>
        <w:jc w:val="center"/>
        <w:rPr>
          <w:rFonts w:ascii="Times New Roman" w:cs="Times New Roman" w:hAnsi="Times New Roman"/>
          <w:b/>
          <w:sz w:val="28"/>
          <w:szCs w:val="28"/>
        </w:rPr>
      </w:pPr>
      <w:r>
        <w:rPr>
          <w:rFonts w:ascii="Times New Roman" w:cs="Times New Roman" w:hAnsi="Times New Roman"/>
          <w:b/>
          <w:sz w:val="28"/>
          <w:szCs w:val="28"/>
        </w:rPr>
        <w:t>(ФГБОУ ВО «</w:t>
      </w:r>
      <w:r>
        <w:rPr>
          <w:rFonts w:ascii="Times New Roman" w:cs="Times New Roman" w:hAnsi="Times New Roman"/>
          <w:b/>
          <w:sz w:val="28"/>
          <w:szCs w:val="28"/>
        </w:rPr>
        <w:t>КубГУ</w:t>
      </w:r>
      <w:r>
        <w:rPr>
          <w:rFonts w:ascii="Times New Roman" w:cs="Times New Roman" w:hAnsi="Times New Roman"/>
          <w:b/>
          <w:sz w:val="28"/>
          <w:szCs w:val="28"/>
        </w:rPr>
        <w:t>»)</w:t>
      </w:r>
    </w:p>
    <w:p>
      <w:pPr>
        <w:pStyle w:val="style0"/>
        <w:spacing w:after="0" w:lineRule="auto" w:line="276"/>
        <w:jc w:val="center"/>
        <w:rPr>
          <w:b/>
          <w:sz w:val="26"/>
          <w:szCs w:val="26"/>
        </w:rPr>
      </w:pPr>
    </w:p>
    <w:p>
      <w:pPr>
        <w:pStyle w:val="style0"/>
        <w:spacing w:after="0" w:lineRule="auto" w:line="276"/>
        <w:jc w:val="center"/>
        <w:rPr>
          <w:rFonts w:ascii="Times New Roman" w:cs="Times New Roman" w:hAnsi="Times New Roman"/>
          <w:b/>
          <w:sz w:val="26"/>
          <w:szCs w:val="26"/>
        </w:rPr>
      </w:pPr>
      <w:r>
        <w:rPr>
          <w:rFonts w:ascii="Times New Roman" w:cs="Times New Roman" w:hAnsi="Times New Roman"/>
          <w:b/>
          <w:sz w:val="26"/>
          <w:szCs w:val="26"/>
        </w:rPr>
        <w:t>Экономический факультет</w:t>
      </w:r>
    </w:p>
    <w:p>
      <w:pPr>
        <w:pStyle w:val="style0"/>
        <w:spacing w:after="0" w:lineRule="auto" w:line="276"/>
        <w:jc w:val="center"/>
        <w:rPr>
          <w:rFonts w:ascii="Times New Roman" w:cs="Times New Roman" w:hAnsi="Times New Roman"/>
          <w:b/>
          <w:sz w:val="26"/>
          <w:szCs w:val="26"/>
        </w:rPr>
      </w:pPr>
      <w:r>
        <w:rPr>
          <w:rFonts w:ascii="Times New Roman" w:cs="Times New Roman" w:hAnsi="Times New Roman"/>
          <w:b/>
          <w:sz w:val="26"/>
          <w:szCs w:val="26"/>
        </w:rPr>
        <w:t>Кафедра бухгалтерского учета, аудита</w:t>
      </w:r>
      <w:r>
        <w:rPr>
          <w:rFonts w:ascii="Times New Roman" w:cs="Times New Roman" w:hAnsi="Times New Roman"/>
          <w:b/>
          <w:sz w:val="26"/>
          <w:szCs w:val="26"/>
        </w:rPr>
        <w:br/>
      </w:r>
      <w:r>
        <w:rPr>
          <w:rFonts w:ascii="Times New Roman" w:cs="Times New Roman" w:hAnsi="Times New Roman"/>
          <w:b/>
          <w:sz w:val="26"/>
          <w:szCs w:val="26"/>
        </w:rPr>
        <w:t>и автоматизированной обработки данных</w:t>
      </w:r>
    </w:p>
    <w:p>
      <w:pPr>
        <w:pStyle w:val="style0"/>
        <w:widowControl w:val="false"/>
        <w:autoSpaceDE w:val="false"/>
        <w:autoSpaceDN w:val="false"/>
        <w:adjustRightInd w:val="false"/>
        <w:ind w:firstLine="400"/>
        <w:jc w:val="center"/>
        <w:rPr>
          <w:rFonts w:ascii="Times New Roman" w:hAnsi="Times New Roman"/>
          <w:b/>
          <w:bCs/>
          <w:sz w:val="28"/>
          <w:szCs w:val="28"/>
          <w:lang w:eastAsia="ru-RU"/>
        </w:rPr>
      </w:pPr>
    </w:p>
    <w:p>
      <w:pPr>
        <w:pStyle w:val="style0"/>
        <w:widowControl w:val="false"/>
        <w:autoSpaceDE w:val="false"/>
        <w:autoSpaceDN w:val="false"/>
        <w:adjustRightInd w:val="false"/>
        <w:ind w:firstLine="400"/>
        <w:jc w:val="center"/>
        <w:rPr>
          <w:rFonts w:ascii="Times New Roman" w:hAnsi="Times New Roman"/>
          <w:b/>
          <w:bCs/>
          <w:sz w:val="28"/>
          <w:szCs w:val="28"/>
          <w:lang w:eastAsia="ru-RU"/>
        </w:rPr>
      </w:pPr>
    </w:p>
    <w:p>
      <w:pPr>
        <w:pStyle w:val="style0"/>
        <w:widowControl w:val="false"/>
        <w:autoSpaceDE w:val="false"/>
        <w:autoSpaceDN w:val="false"/>
        <w:adjustRightInd w:val="false"/>
        <w:ind w:firstLine="400"/>
        <w:jc w:val="center"/>
        <w:rPr>
          <w:rFonts w:ascii="Times New Roman" w:hAnsi="Times New Roman"/>
          <w:b/>
          <w:bCs/>
          <w:sz w:val="28"/>
          <w:szCs w:val="28"/>
          <w:lang w:eastAsia="ru-RU"/>
        </w:rPr>
      </w:pPr>
    </w:p>
    <w:p>
      <w:pPr>
        <w:pStyle w:val="style0"/>
        <w:keepNext/>
        <w:jc w:val="center"/>
        <w:outlineLvl w:val="2"/>
        <w:rPr>
          <w:rFonts w:ascii="Times New Roman" w:hAnsi="Times New Roman"/>
          <w:b/>
          <w:bCs/>
          <w:caps/>
          <w:sz w:val="28"/>
          <w:szCs w:val="28"/>
          <w:lang w:eastAsia="ru-RU"/>
        </w:rPr>
      </w:pPr>
      <w:r>
        <w:rPr>
          <w:rFonts w:ascii="Times New Roman" w:hAnsi="Times New Roman"/>
          <w:b/>
          <w:sz w:val="28"/>
          <w:szCs w:val="28"/>
          <w:lang w:eastAsia="ru-RU"/>
        </w:rPr>
        <w:t>О Т Ч Е Т</w:t>
      </w:r>
      <w:r>
        <w:rPr>
          <w:rFonts w:ascii="Times New Roman" w:hAnsi="Times New Roman"/>
          <w:b/>
          <w:sz w:val="28"/>
          <w:szCs w:val="28"/>
          <w:lang w:eastAsia="ru-RU"/>
        </w:rPr>
        <w:br/>
      </w:r>
      <w:r>
        <w:rPr>
          <w:rFonts w:ascii="Times New Roman" w:hAnsi="Times New Roman"/>
          <w:b/>
          <w:sz w:val="28"/>
          <w:szCs w:val="28"/>
          <w:lang w:eastAsia="ru-RU"/>
        </w:rPr>
        <w:t xml:space="preserve">О ПРОХОЖДЕНИИ </w:t>
      </w:r>
      <w:r>
        <w:rPr>
          <w:rFonts w:ascii="Times New Roman" w:hAnsi="Times New Roman"/>
          <w:b/>
          <w:bCs/>
          <w:sz w:val="28"/>
          <w:szCs w:val="28"/>
          <w:lang w:eastAsia="ru-RU"/>
        </w:rPr>
        <w:t>ПРОИЗВОДСТВЕН</w:t>
      </w:r>
      <w:r>
        <w:rPr>
          <w:rFonts w:ascii="Times New Roman" w:hAnsi="Times New Roman"/>
          <w:b/>
          <w:bCs/>
          <w:sz w:val="28"/>
          <w:szCs w:val="28"/>
          <w:lang w:eastAsia="ru-RU"/>
        </w:rPr>
        <w:t>НОЙ ПРАКТИКИ</w:t>
      </w:r>
      <w:r>
        <w:rPr>
          <w:rFonts w:ascii="Times New Roman" w:hAnsi="Times New Roman"/>
          <w:bCs/>
          <w:sz w:val="28"/>
          <w:szCs w:val="28"/>
          <w:lang w:eastAsia="ru-RU"/>
        </w:rPr>
        <w:br/>
      </w:r>
      <w:r>
        <w:rPr>
          <w:rFonts w:ascii="Times New Roman" w:hAnsi="Times New Roman"/>
          <w:b/>
          <w:bCs/>
          <w:sz w:val="28"/>
          <w:szCs w:val="28"/>
          <w:lang w:eastAsia="ru-RU"/>
        </w:rPr>
        <w:t xml:space="preserve">(ПРАКТИКИ </w:t>
      </w:r>
      <w:r>
        <w:rPr>
          <w:rFonts w:ascii="Times New Roman" w:hAnsi="Times New Roman"/>
          <w:b/>
          <w:bCs/>
          <w:caps/>
          <w:sz w:val="28"/>
          <w:szCs w:val="28"/>
          <w:lang w:eastAsia="ru-RU"/>
        </w:rPr>
        <w:t xml:space="preserve">по получению </w:t>
      </w:r>
      <w:r>
        <w:rPr>
          <w:rFonts w:ascii="Times New Roman" w:hAnsi="Times New Roman"/>
          <w:b/>
          <w:bCs/>
          <w:caps/>
          <w:sz w:val="28"/>
          <w:szCs w:val="28"/>
          <w:lang w:eastAsia="ru-RU"/>
        </w:rPr>
        <w:t>п</w:t>
      </w:r>
      <w:r>
        <w:rPr>
          <w:rFonts w:ascii="Times New Roman" w:hAnsi="Times New Roman"/>
          <w:b/>
          <w:bCs/>
          <w:caps/>
          <w:sz w:val="28"/>
          <w:szCs w:val="28"/>
          <w:lang w:eastAsia="ru-RU"/>
        </w:rPr>
        <w:t>рофессиональных умений</w:t>
      </w:r>
      <w:r>
        <w:rPr>
          <w:rFonts w:ascii="Times New Roman" w:hAnsi="Times New Roman"/>
          <w:b/>
          <w:bCs/>
          <w:caps/>
          <w:sz w:val="28"/>
          <w:szCs w:val="28"/>
          <w:lang w:eastAsia="ru-RU"/>
        </w:rPr>
        <w:t xml:space="preserve"> и опыта профессиональной деятельности)</w:t>
      </w:r>
    </w:p>
    <w:p>
      <w:pPr>
        <w:pStyle w:val="style0"/>
        <w:tabs>
          <w:tab w:val="left" w:leader="none" w:pos="6096"/>
        </w:tabs>
        <w:spacing w:after="60" w:lineRule="auto" w:line="240"/>
        <w:jc w:val="center"/>
        <w:outlineLvl w:val="0"/>
        <w:rPr>
          <w:rFonts w:ascii="Times New Roman" w:hAnsi="Times New Roman"/>
          <w:b/>
          <w:sz w:val="28"/>
          <w:szCs w:val="28"/>
          <w:lang w:eastAsia="ru-RU"/>
        </w:rPr>
      </w:pPr>
    </w:p>
    <w:p>
      <w:pPr>
        <w:pStyle w:val="style0"/>
        <w:widowControl w:val="false"/>
        <w:ind w:firstLine="400"/>
        <w:jc w:val="center"/>
        <w:rPr>
          <w:rFonts w:ascii="Times New Roman" w:hAnsi="Times New Roman"/>
          <w:b/>
          <w:sz w:val="28"/>
          <w:szCs w:val="28"/>
          <w:lang w:eastAsia="ru-RU"/>
        </w:rPr>
      </w:pPr>
    </w:p>
    <w:p>
      <w:pPr>
        <w:pStyle w:val="style0"/>
        <w:widowControl w:val="false"/>
        <w:ind w:firstLine="400"/>
        <w:jc w:val="center"/>
        <w:rPr>
          <w:rFonts w:ascii="Times New Roman" w:hAnsi="Times New Roman"/>
          <w:b/>
          <w:sz w:val="28"/>
          <w:szCs w:val="28"/>
          <w:lang w:eastAsia="ru-RU"/>
        </w:rPr>
      </w:pPr>
    </w:p>
    <w:p>
      <w:pPr>
        <w:pStyle w:val="style0"/>
        <w:widowControl w:val="false"/>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78"/>
        <w:gridCol w:w="4934"/>
      </w:tblGrid>
      <w:tr>
        <w:trPr/>
        <w:tc>
          <w:tcPr>
            <w:tcW w:w="4678" w:type="dxa"/>
            <w:tcBorders/>
          </w:tcPr>
          <w:p>
            <w:pPr>
              <w:pStyle w:val="style67"/>
              <w:tabs>
                <w:tab w:val="left" w:leader="none" w:pos="7020"/>
              </w:tabs>
              <w:spacing w:after="0" w:lineRule="auto" w:line="240"/>
              <w:ind w:left="1"/>
              <w:rPr>
                <w:rFonts w:ascii="Times New Roman" w:hAnsi="Times New Roman"/>
                <w:sz w:val="28"/>
                <w:szCs w:val="28"/>
              </w:rPr>
            </w:pPr>
            <w:r>
              <w:rPr>
                <w:rFonts w:ascii="Times New Roman" w:hAnsi="Times New Roman"/>
                <w:sz w:val="28"/>
                <w:szCs w:val="28"/>
              </w:rPr>
              <w:t xml:space="preserve">Отчет принят с оценкой </w:t>
            </w:r>
            <w:r>
              <w:rPr>
                <w:rFonts w:ascii="Times New Roman" w:hAnsi="Times New Roman"/>
                <w:sz w:val="28"/>
                <w:szCs w:val="28"/>
              </w:rPr>
              <w:t>__________</w:t>
            </w:r>
          </w:p>
          <w:p>
            <w:pPr>
              <w:pStyle w:val="style67"/>
              <w:tabs>
                <w:tab w:val="left" w:leader="none" w:pos="7020"/>
              </w:tabs>
              <w:spacing w:after="0" w:lineRule="auto" w:line="240"/>
              <w:ind w:left="1"/>
              <w:rPr>
                <w:rFonts w:ascii="Times New Roman" w:hAnsi="Times New Roman"/>
                <w:sz w:val="28"/>
                <w:szCs w:val="28"/>
              </w:rPr>
            </w:pPr>
          </w:p>
          <w:p>
            <w:pPr>
              <w:pStyle w:val="style67"/>
              <w:tabs>
                <w:tab w:val="left" w:leader="none" w:pos="7020"/>
              </w:tabs>
              <w:spacing w:after="0" w:lineRule="auto" w:line="240"/>
              <w:ind w:left="1"/>
              <w:rPr>
                <w:rFonts w:ascii="Times New Roman" w:hAnsi="Times New Roman"/>
                <w:sz w:val="28"/>
                <w:szCs w:val="28"/>
              </w:rPr>
            </w:pPr>
            <w:r>
              <w:rPr>
                <w:rFonts w:ascii="Times New Roman" w:hAnsi="Times New Roman"/>
                <w:sz w:val="28"/>
                <w:szCs w:val="28"/>
              </w:rPr>
              <w:t xml:space="preserve">Руководитель </w:t>
            </w:r>
            <w:r>
              <w:rPr>
                <w:rFonts w:ascii="Times New Roman" w:hAnsi="Times New Roman"/>
                <w:sz w:val="28"/>
                <w:szCs w:val="28"/>
              </w:rPr>
              <w:t>практики</w:t>
            </w:r>
            <w:r>
              <w:rPr>
                <w:rFonts w:ascii="Times New Roman" w:hAnsi="Times New Roman"/>
                <w:sz w:val="28"/>
                <w:szCs w:val="28"/>
              </w:rPr>
              <w:t>от</w:t>
            </w:r>
          </w:p>
          <w:p>
            <w:pPr>
              <w:pStyle w:val="style67"/>
              <w:tabs>
                <w:tab w:val="left" w:leader="none" w:pos="7020"/>
              </w:tabs>
              <w:spacing w:before="120" w:after="0" w:lineRule="auto" w:line="240"/>
              <w:ind w:left="0"/>
              <w:rPr>
                <w:rFonts w:ascii="Times New Roman" w:hAnsi="Times New Roman"/>
                <w:sz w:val="28"/>
                <w:szCs w:val="28"/>
              </w:rPr>
            </w:pPr>
            <w:r>
              <w:rPr>
                <w:rFonts w:ascii="Times New Roman" w:hAnsi="Times New Roman"/>
                <w:sz w:val="28"/>
                <w:szCs w:val="28"/>
              </w:rPr>
              <w:t>ФГБОУ ВО «</w:t>
            </w:r>
            <w:r>
              <w:rPr>
                <w:rFonts w:ascii="Times New Roman" w:hAnsi="Times New Roman"/>
                <w:sz w:val="28"/>
                <w:szCs w:val="28"/>
              </w:rPr>
              <w:t>КубГУ</w:t>
            </w:r>
            <w:r>
              <w:rPr>
                <w:rFonts w:ascii="Times New Roman" w:hAnsi="Times New Roman"/>
                <w:sz w:val="28"/>
                <w:szCs w:val="28"/>
              </w:rPr>
              <w:t>»</w:t>
            </w:r>
          </w:p>
          <w:p>
            <w:pPr>
              <w:pStyle w:val="style0"/>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u w:val="single"/>
              </w:rPr>
              <w:t>к</w:t>
            </w:r>
            <w:r>
              <w:rPr>
                <w:rFonts w:ascii="Times New Roman" w:hAnsi="Times New Roman"/>
                <w:color w:val="000000"/>
                <w:sz w:val="28"/>
                <w:szCs w:val="28"/>
                <w:u w:val="single"/>
              </w:rPr>
              <w:t>.э.н.</w:t>
            </w:r>
            <w:r>
              <w:rPr>
                <w:rFonts w:ascii="Times New Roman" w:hAnsi="Times New Roman"/>
                <w:color w:val="000000"/>
                <w:sz w:val="28"/>
                <w:szCs w:val="28"/>
                <w:u w:val="single"/>
              </w:rPr>
              <w:t xml:space="preserve">,  </w:t>
            </w:r>
            <w:r>
              <w:rPr>
                <w:rFonts w:ascii="Times New Roman" w:hAnsi="Times New Roman"/>
                <w:color w:val="000000"/>
                <w:sz w:val="28"/>
                <w:szCs w:val="28"/>
                <w:u w:val="single"/>
              </w:rPr>
              <w:t>доц.</w:t>
            </w:r>
            <w:r>
              <w:rPr>
                <w:rFonts w:ascii="Times New Roman" w:hAnsi="Times New Roman"/>
                <w:color w:val="000000"/>
                <w:sz w:val="28"/>
                <w:szCs w:val="28"/>
                <w:u w:val="single"/>
              </w:rPr>
              <w:t xml:space="preserve"> Белозерова Т.Г.</w:t>
            </w:r>
            <w:r>
              <w:rPr>
                <w:rFonts w:ascii="Times New Roman" w:hAnsi="Times New Roman"/>
                <w:color w:val="000000"/>
                <w:sz w:val="28"/>
                <w:szCs w:val="28"/>
              </w:rPr>
              <w:t>________</w:t>
            </w:r>
          </w:p>
          <w:p>
            <w:pPr>
              <w:pStyle w:val="style0"/>
              <w:autoSpaceDE w:val="false"/>
              <w:autoSpaceDN w:val="false"/>
              <w:adjustRightInd w:val="false"/>
              <w:spacing w:after="0" w:lineRule="auto" w:line="240"/>
              <w:jc w:val="center"/>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 xml:space="preserve">должность, </w:t>
            </w:r>
            <w:r>
              <w:rPr>
                <w:rFonts w:ascii="Times New Roman" w:hAnsi="Times New Roman"/>
                <w:color w:val="000000"/>
                <w:sz w:val="20"/>
                <w:szCs w:val="20"/>
              </w:rPr>
              <w:t>Ф.И.О.)</w:t>
            </w:r>
          </w:p>
          <w:p>
            <w:pPr>
              <w:pStyle w:val="style0"/>
              <w:autoSpaceDE w:val="false"/>
              <w:autoSpaceDN w:val="false"/>
              <w:adjustRightInd w:val="false"/>
              <w:spacing w:before="160" w:after="0" w:lineRule="auto" w:line="240"/>
              <w:rPr>
                <w:rFonts w:ascii="Times New Roman" w:hAnsi="Times New Roman"/>
                <w:color w:val="000000"/>
                <w:sz w:val="28"/>
                <w:szCs w:val="28"/>
              </w:rPr>
            </w:pPr>
            <w:r>
              <w:rPr>
                <w:rFonts w:ascii="Times New Roman" w:hAnsi="Times New Roman"/>
                <w:color w:val="000000"/>
                <w:sz w:val="28"/>
                <w:szCs w:val="28"/>
              </w:rPr>
              <w:t>________________________________</w:t>
            </w:r>
          </w:p>
          <w:p>
            <w:pPr>
              <w:pStyle w:val="style67"/>
              <w:tabs>
                <w:tab w:val="left" w:leader="none" w:pos="7020"/>
              </w:tabs>
              <w:spacing w:after="0" w:lineRule="auto" w:line="240"/>
              <w:rPr>
                <w:rFonts w:ascii="Times New Roman" w:hAnsi="Times New Roman"/>
                <w:color w:val="000000"/>
                <w:sz w:val="20"/>
                <w:szCs w:val="20"/>
              </w:rPr>
            </w:pPr>
            <w:r>
              <w:rPr>
                <w:rFonts w:ascii="Times New Roman" w:hAnsi="Times New Roman"/>
                <w:color w:val="000000"/>
                <w:sz w:val="20"/>
                <w:szCs w:val="20"/>
              </w:rPr>
              <w:t xml:space="preserve">    (Подпись)</w:t>
            </w:r>
          </w:p>
          <w:p>
            <w:pPr>
              <w:pStyle w:val="style67"/>
              <w:tabs>
                <w:tab w:val="left" w:leader="none" w:pos="7020"/>
              </w:tabs>
              <w:spacing w:after="0" w:lineRule="auto" w:line="240"/>
              <w:rPr>
                <w:rFonts w:ascii="Times New Roman" w:hAnsi="Times New Roman"/>
                <w:color w:val="000000"/>
                <w:sz w:val="28"/>
                <w:szCs w:val="28"/>
              </w:rPr>
            </w:pPr>
          </w:p>
        </w:tc>
        <w:tc>
          <w:tcPr>
            <w:tcW w:w="4934" w:type="dxa"/>
            <w:tcBorders/>
          </w:tcPr>
          <w:p>
            <w:pPr>
              <w:pStyle w:val="style0"/>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rPr>
              <w:t xml:space="preserve">Выполнил: </w:t>
            </w:r>
            <w:r>
              <w:rPr>
                <w:rFonts w:ascii="Times New Roman" w:hAnsi="Times New Roman"/>
                <w:color w:val="000000"/>
                <w:sz w:val="28"/>
                <w:szCs w:val="28"/>
              </w:rPr>
              <w:t>студент4</w:t>
            </w:r>
            <w:r>
              <w:rPr>
                <w:rFonts w:ascii="Times New Roman" w:hAnsi="Times New Roman"/>
                <w:color w:val="000000"/>
                <w:sz w:val="28"/>
                <w:szCs w:val="28"/>
              </w:rPr>
              <w:t xml:space="preserve"> курса </w:t>
            </w:r>
          </w:p>
          <w:p>
            <w:pPr>
              <w:pStyle w:val="style0"/>
              <w:pBdr>
                <w:bottom w:val="single" w:sz="12" w:space="1" w:color="auto"/>
              </w:pBdr>
              <w:autoSpaceDE w:val="false"/>
              <w:autoSpaceDN w:val="false"/>
              <w:adjustRightInd w:val="false"/>
              <w:spacing w:after="0" w:lineRule="auto" w:line="240"/>
              <w:ind w:right="-144"/>
              <w:rPr>
                <w:rFonts w:ascii="Times New Roman" w:hAnsi="Times New Roman"/>
                <w:color w:val="000000"/>
                <w:sz w:val="28"/>
                <w:szCs w:val="28"/>
              </w:rPr>
            </w:pPr>
          </w:p>
          <w:p>
            <w:pPr>
              <w:pStyle w:val="style0"/>
              <w:pBdr>
                <w:bottom w:val="single" w:sz="12" w:space="1" w:color="auto"/>
              </w:pBdr>
              <w:autoSpaceDE w:val="false"/>
              <w:autoSpaceDN w:val="false"/>
              <w:adjustRightInd w:val="false"/>
              <w:spacing w:after="0" w:lineRule="auto" w:line="240"/>
              <w:ind w:right="-144"/>
              <w:rPr>
                <w:rFonts w:ascii="Times New Roman" w:hAnsi="Times New Roman"/>
                <w:color w:val="000000"/>
                <w:sz w:val="28"/>
                <w:szCs w:val="28"/>
              </w:rPr>
            </w:pPr>
            <w:r>
              <w:rPr>
                <w:rFonts w:ascii="Times New Roman" w:hAnsi="Times New Roman"/>
                <w:color w:val="000000"/>
                <w:sz w:val="28"/>
                <w:szCs w:val="28"/>
              </w:rPr>
              <w:t>Направлени</w:t>
            </w:r>
            <w:r>
              <w:rPr>
                <w:rFonts w:ascii="Times New Roman" w:hAnsi="Times New Roman"/>
                <w:color w:val="000000"/>
                <w:sz w:val="28"/>
                <w:szCs w:val="28"/>
              </w:rPr>
              <w:t>е</w:t>
            </w:r>
            <w:r>
              <w:rPr>
                <w:rFonts w:ascii="Times New Roman" w:hAnsi="Times New Roman"/>
                <w:color w:val="000000"/>
                <w:sz w:val="28"/>
                <w:szCs w:val="28"/>
              </w:rPr>
              <w:t xml:space="preserve"> подготовки </w:t>
            </w:r>
          </w:p>
          <w:p>
            <w:pPr>
              <w:pStyle w:val="style0"/>
              <w:pBdr>
                <w:bottom w:val="single" w:sz="12" w:space="1" w:color="auto"/>
              </w:pBdr>
              <w:autoSpaceDE w:val="false"/>
              <w:autoSpaceDN w:val="false"/>
              <w:adjustRightInd w:val="false"/>
              <w:spacing w:after="0" w:lineRule="auto" w:line="240"/>
              <w:ind w:right="-144"/>
              <w:rPr>
                <w:rFonts w:ascii="Times New Roman" w:hAnsi="Times New Roman"/>
                <w:color w:val="000000"/>
                <w:sz w:val="28"/>
                <w:szCs w:val="28"/>
              </w:rPr>
            </w:pPr>
            <w:r>
              <w:rPr>
                <w:rFonts w:ascii="Times New Roman" w:hAnsi="Times New Roman"/>
                <w:color w:val="000000"/>
                <w:sz w:val="28"/>
                <w:szCs w:val="28"/>
              </w:rPr>
              <w:t>38.05.01 Экономическая безопасность</w:t>
            </w:r>
          </w:p>
          <w:p>
            <w:pPr>
              <w:pStyle w:val="style0"/>
              <w:autoSpaceDE w:val="false"/>
              <w:autoSpaceDN w:val="false"/>
              <w:adjustRightInd w:val="false"/>
              <w:spacing w:after="0" w:lineRule="auto" w:line="240"/>
              <w:ind w:right="-144"/>
              <w:jc w:val="center"/>
              <w:rPr>
                <w:rFonts w:ascii="Times New Roman" w:hAnsi="Times New Roman"/>
                <w:color w:val="000000"/>
                <w:sz w:val="20"/>
                <w:szCs w:val="20"/>
              </w:rPr>
            </w:pPr>
            <w:r>
              <w:rPr>
                <w:rFonts w:ascii="Times New Roman" w:hAnsi="Times New Roman"/>
                <w:color w:val="000000"/>
                <w:sz w:val="20"/>
                <w:szCs w:val="20"/>
              </w:rPr>
              <w:t>(шифр и название направления подготовки)</w:t>
            </w:r>
          </w:p>
          <w:p>
            <w:pPr>
              <w:pStyle w:val="style0"/>
              <w:pBdr>
                <w:bottom w:val="single" w:sz="12" w:space="1" w:color="auto"/>
              </w:pBdr>
              <w:autoSpaceDE w:val="false"/>
              <w:autoSpaceDN w:val="false"/>
              <w:adjustRightInd w:val="false"/>
              <w:spacing w:after="0" w:lineRule="auto" w:line="240"/>
              <w:rPr>
                <w:rFonts w:ascii="Times New Roman" w:hAnsi="Times New Roman"/>
                <w:color w:val="000000"/>
                <w:sz w:val="28"/>
                <w:szCs w:val="28"/>
              </w:rPr>
            </w:pPr>
          </w:p>
          <w:p>
            <w:pPr>
              <w:pStyle w:val="style0"/>
              <w:pBdr>
                <w:bottom w:val="single" w:sz="12" w:space="1" w:color="auto"/>
              </w:pBdr>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rPr>
              <w:t>Специализация</w:t>
            </w:r>
          </w:p>
          <w:p>
            <w:pPr>
              <w:pStyle w:val="style0"/>
              <w:pBdr>
                <w:bottom w:val="single" w:sz="12" w:space="1" w:color="auto"/>
              </w:pBdr>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rPr>
              <w:t xml:space="preserve">Финансовый учет и контроль  в </w:t>
            </w:r>
            <w:r>
              <w:rPr>
                <w:rFonts w:ascii="Times New Roman" w:hAnsi="Times New Roman"/>
                <w:color w:val="000000"/>
                <w:sz w:val="28"/>
                <w:szCs w:val="28"/>
              </w:rPr>
              <w:br/>
            </w:r>
            <w:r>
              <w:rPr>
                <w:rFonts w:ascii="Times New Roman" w:hAnsi="Times New Roman"/>
                <w:color w:val="000000"/>
                <w:sz w:val="28"/>
                <w:szCs w:val="28"/>
              </w:rPr>
              <w:t>правоохранительных органах</w:t>
            </w:r>
          </w:p>
          <w:p>
            <w:pPr>
              <w:pStyle w:val="style0"/>
              <w:autoSpaceDE w:val="false"/>
              <w:autoSpaceDN w:val="false"/>
              <w:adjustRightInd w:val="false"/>
              <w:spacing w:after="0" w:lineRule="auto" w:line="240"/>
              <w:jc w:val="center"/>
              <w:rPr>
                <w:rFonts w:ascii="Times New Roman" w:hAnsi="Times New Roman"/>
                <w:color w:val="000000"/>
                <w:sz w:val="20"/>
                <w:szCs w:val="20"/>
              </w:rPr>
            </w:pPr>
            <w:r>
              <w:rPr>
                <w:rFonts w:ascii="Times New Roman" w:hAnsi="Times New Roman"/>
                <w:color w:val="000000"/>
                <w:sz w:val="28"/>
                <w:szCs w:val="28"/>
              </w:rPr>
              <w:t>(</w:t>
            </w:r>
            <w:r>
              <w:rPr>
                <w:rFonts w:ascii="Times New Roman" w:hAnsi="Times New Roman"/>
                <w:color w:val="000000"/>
                <w:sz w:val="20"/>
                <w:szCs w:val="20"/>
              </w:rPr>
              <w:t>название программы)</w:t>
            </w:r>
          </w:p>
          <w:p>
            <w:pPr>
              <w:pStyle w:val="style0"/>
              <w:autoSpaceDE w:val="false"/>
              <w:autoSpaceDN w:val="false"/>
              <w:adjustRightInd w:val="false"/>
              <w:spacing w:after="0" w:lineRule="auto" w:line="240"/>
              <w:rPr>
                <w:rFonts w:ascii="Times New Roman" w:hAnsi="Times New Roman"/>
                <w:color w:val="000000"/>
                <w:sz w:val="28"/>
                <w:szCs w:val="28"/>
              </w:rPr>
            </w:pPr>
          </w:p>
          <w:p>
            <w:pPr>
              <w:pStyle w:val="style0"/>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rPr>
              <w:t>_________</w:t>
            </w:r>
            <w:r>
              <w:rPr>
                <w:rFonts w:ascii="Times New Roman" w:hAnsi="Times New Roman"/>
                <w:color w:val="000000"/>
                <w:sz w:val="28"/>
                <w:szCs w:val="28"/>
                <w:u w:val="single"/>
              </w:rPr>
              <w:t>Артамкина Е.М.</w:t>
            </w:r>
            <w:r>
              <w:rPr>
                <w:rFonts w:ascii="Times New Roman" w:hAnsi="Times New Roman"/>
                <w:color w:val="000000"/>
                <w:sz w:val="28"/>
                <w:szCs w:val="28"/>
              </w:rPr>
              <w:t>___</w:t>
            </w:r>
            <w:r>
              <w:rPr>
                <w:rFonts w:ascii="Times New Roman" w:hAnsi="Times New Roman"/>
                <w:color w:val="000000"/>
                <w:sz w:val="28"/>
                <w:szCs w:val="28"/>
              </w:rPr>
              <w:t xml:space="preserve">________ </w:t>
            </w:r>
          </w:p>
          <w:p>
            <w:pPr>
              <w:pStyle w:val="style0"/>
              <w:autoSpaceDE w:val="false"/>
              <w:autoSpaceDN w:val="false"/>
              <w:adjustRightInd w:val="false"/>
              <w:spacing w:after="0" w:lineRule="auto" w:line="240"/>
              <w:jc w:val="center"/>
              <w:rPr>
                <w:rFonts w:ascii="Times New Roman" w:hAnsi="Times New Roman"/>
                <w:color w:val="000000"/>
                <w:sz w:val="20"/>
                <w:szCs w:val="20"/>
              </w:rPr>
            </w:pPr>
            <w:r>
              <w:rPr>
                <w:rFonts w:ascii="Times New Roman" w:hAnsi="Times New Roman"/>
                <w:color w:val="000000"/>
                <w:sz w:val="20"/>
                <w:szCs w:val="20"/>
              </w:rPr>
              <w:t>(Ф.И.О.)</w:t>
            </w:r>
          </w:p>
          <w:p>
            <w:pPr>
              <w:pStyle w:val="style67"/>
              <w:tabs>
                <w:tab w:val="left" w:leader="none" w:pos="7020"/>
              </w:tabs>
              <w:spacing w:after="0" w:lineRule="auto" w:line="240"/>
              <w:ind w:left="1"/>
              <w:rPr>
                <w:rFonts w:ascii="Times New Roman" w:hAnsi="Times New Roman"/>
                <w:color w:val="000000"/>
                <w:sz w:val="28"/>
                <w:szCs w:val="28"/>
              </w:rPr>
            </w:pPr>
          </w:p>
          <w:p>
            <w:pPr>
              <w:pStyle w:val="style0"/>
              <w:autoSpaceDE w:val="false"/>
              <w:autoSpaceDN w:val="false"/>
              <w:adjustRightInd w:val="false"/>
              <w:spacing w:after="0" w:lineRule="auto" w:line="240"/>
              <w:rPr>
                <w:rFonts w:ascii="Times New Roman" w:hAnsi="Times New Roman"/>
                <w:color w:val="000000"/>
                <w:sz w:val="28"/>
                <w:szCs w:val="28"/>
              </w:rPr>
            </w:pPr>
            <w:r>
              <w:rPr>
                <w:rFonts w:ascii="Times New Roman" w:hAnsi="Times New Roman"/>
                <w:color w:val="000000"/>
                <w:sz w:val="28"/>
                <w:szCs w:val="28"/>
              </w:rPr>
              <w:t>___________________________________</w:t>
            </w:r>
          </w:p>
          <w:p>
            <w:pPr>
              <w:pStyle w:val="style67"/>
              <w:tabs>
                <w:tab w:val="left" w:leader="none" w:pos="7020"/>
              </w:tabs>
              <w:spacing w:after="0" w:lineRule="auto" w:line="240"/>
              <w:rPr>
                <w:rFonts w:ascii="Times New Roman" w:hAnsi="Times New Roman"/>
                <w:sz w:val="20"/>
                <w:szCs w:val="20"/>
              </w:rPr>
            </w:pPr>
            <w:r>
              <w:rPr>
                <w:rFonts w:ascii="Times New Roman" w:hAnsi="Times New Roman"/>
                <w:color w:val="000000"/>
                <w:sz w:val="20"/>
                <w:szCs w:val="20"/>
              </w:rPr>
              <w:t xml:space="preserve">   (Подпись)</w:t>
            </w:r>
          </w:p>
        </w:tc>
      </w:tr>
    </w:tbl>
    <w:p>
      <w:pPr>
        <w:pStyle w:val="style0"/>
        <w:widowControl w:val="false"/>
        <w:spacing w:after="0"/>
        <w:rPr>
          <w:rFonts w:ascii="Times New Roman" w:hAnsi="Times New Roman"/>
          <w:sz w:val="28"/>
          <w:szCs w:val="28"/>
        </w:rPr>
      </w:pPr>
    </w:p>
    <w:p>
      <w:pPr>
        <w:pStyle w:val="style0"/>
        <w:widowControl w:val="false"/>
        <w:spacing w:after="0"/>
        <w:rPr>
          <w:rFonts w:ascii="Times New Roman" w:hAnsi="Times New Roman"/>
          <w:sz w:val="28"/>
          <w:szCs w:val="28"/>
        </w:rPr>
      </w:pPr>
    </w:p>
    <w:p>
      <w:pPr>
        <w:pStyle w:val="style0"/>
        <w:jc w:val="center"/>
        <w:rPr>
          <w:sz w:val="21"/>
          <w:szCs w:val="21"/>
        </w:rPr>
      </w:pPr>
      <w:r>
        <w:rPr>
          <w:rFonts w:ascii="Times New Roman" w:hAnsi="Times New Roman"/>
          <w:noProof/>
          <w:sz w:val="28"/>
          <w:szCs w:val="28"/>
          <w:lang w:eastAsia="ru-RU"/>
        </w:rPr>
        <w:t>Краснодар 20</w:t>
      </w:r>
      <w:r>
        <w:rPr>
          <w:rFonts w:ascii="Times New Roman" w:hAnsi="Times New Roman"/>
          <w:noProof/>
          <w:sz w:val="28"/>
          <w:szCs w:val="28"/>
          <w:lang w:eastAsia="ru-RU"/>
        </w:rPr>
        <w:t>20</w:t>
      </w:r>
    </w:p>
    <w:p>
      <w:pPr>
        <w:pStyle w:val="style0"/>
        <w:spacing w:after="0" w:lineRule="auto" w:line="360"/>
        <w:ind w:right="-143"/>
        <w:jc w:val="center"/>
        <w:rPr>
          <w:rFonts w:ascii="Times New Roman" w:cs="Times New Roman" w:eastAsia="Calibri" w:hAnsi="Times New Roman"/>
          <w:b/>
          <w:sz w:val="32"/>
          <w:szCs w:val="28"/>
        </w:rPr>
      </w:pPr>
      <w:r>
        <w:rPr>
          <w:rFonts w:ascii="Times New Roman" w:cs="Times New Roman" w:eastAsia="Calibri" w:hAnsi="Times New Roman"/>
          <w:b/>
          <w:sz w:val="32"/>
          <w:szCs w:val="28"/>
        </w:rPr>
        <w:t>СОДЕРЖАНИЕ</w:t>
      </w:r>
    </w:p>
    <w:p>
      <w:pPr>
        <w:pStyle w:val="style0"/>
        <w:spacing w:after="0" w:lineRule="auto" w:line="360"/>
        <w:ind w:right="-143" w:firstLine="709"/>
        <w:jc w:val="center"/>
        <w:rPr>
          <w:rFonts w:ascii="Times New Roman" w:cs="Times New Roman" w:eastAsia="Calibri" w:hAnsi="Times New Roman"/>
          <w:sz w:val="28"/>
          <w:szCs w:val="28"/>
        </w:rPr>
      </w:pPr>
    </w:p>
    <w:p>
      <w:pPr>
        <w:pStyle w:val="style0"/>
        <w:tabs>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r>
        <w:rPr>
          <w:rFonts w:ascii="Times New Roman" w:cs="Times New Roman" w:eastAsia="Calibri" w:hAnsi="Times New Roman"/>
          <w:sz w:val="28"/>
          <w:szCs w:val="28"/>
        </w:rPr>
        <w:t>Введение</w:t>
      </w:r>
      <w:r>
        <w:rPr>
          <w:rFonts w:ascii="Times New Roman" w:cs="Times New Roman" w:eastAsia="Calibri" w:hAnsi="Times New Roman"/>
          <w:sz w:val="28"/>
          <w:szCs w:val="28"/>
        </w:rPr>
        <w:tab/>
      </w:r>
      <w:r>
        <w:rPr>
          <w:rFonts w:ascii="Times New Roman" w:cs="Times New Roman" w:eastAsia="Calibri" w:hAnsi="Times New Roman"/>
          <w:sz w:val="28"/>
          <w:szCs w:val="28"/>
        </w:rPr>
        <w:t>3</w:t>
      </w:r>
    </w:p>
    <w:p>
      <w:pPr>
        <w:pStyle w:val="style0"/>
        <w:tabs>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r>
        <w:rPr>
          <w:rFonts w:ascii="Times New Roman" w:cs="Times New Roman" w:eastAsia="Calibri" w:hAnsi="Times New Roman"/>
          <w:sz w:val="28"/>
          <w:szCs w:val="28"/>
        </w:rPr>
        <w:t>1 Планирование финансового контроля ПАО «МТС»</w:t>
      </w:r>
      <w:r>
        <w:rPr>
          <w:rFonts w:ascii="Times New Roman" w:cs="Times New Roman" w:eastAsia="Calibri" w:hAnsi="Times New Roman"/>
          <w:sz w:val="28"/>
          <w:szCs w:val="28"/>
        </w:rPr>
        <w:tab/>
      </w:r>
      <w:r>
        <w:rPr>
          <w:rFonts w:ascii="Times New Roman" w:cs="Times New Roman" w:eastAsia="Calibri" w:hAnsi="Times New Roman"/>
          <w:sz w:val="28"/>
          <w:szCs w:val="28"/>
        </w:rPr>
        <w:t>5</w:t>
      </w:r>
    </w:p>
    <w:p>
      <w:pPr>
        <w:pStyle w:val="style0"/>
        <w:tabs>
          <w:tab w:val="right" w:leader="none" w:pos="3969"/>
          <w:tab w:val="center" w:leader="dot" w:pos="9639"/>
        </w:tabs>
        <w:autoSpaceDE w:val="false"/>
        <w:autoSpaceDN w:val="false"/>
        <w:adjustRightInd w:val="false"/>
        <w:spacing w:after="0" w:lineRule="auto" w:line="360"/>
        <w:ind w:left="284" w:right="-143"/>
        <w:rPr>
          <w:rFonts w:ascii="Times New Roman" w:cs="Times New Roman" w:eastAsia="Calibri" w:hAnsi="Times New Roman"/>
          <w:sz w:val="28"/>
          <w:szCs w:val="28"/>
        </w:rPr>
      </w:pPr>
      <w:r>
        <w:rPr>
          <w:rFonts w:ascii="Times New Roman" w:cs="Times New Roman" w:eastAsia="Calibri" w:hAnsi="Times New Roman"/>
          <w:sz w:val="28"/>
          <w:szCs w:val="28"/>
        </w:rPr>
        <w:tab/>
      </w:r>
      <w:r>
        <w:rPr>
          <w:rFonts w:ascii="Times New Roman" w:cs="Times New Roman" w:eastAsia="Calibri" w:hAnsi="Times New Roman"/>
          <w:sz w:val="28"/>
          <w:szCs w:val="28"/>
        </w:rPr>
        <w:t>1.1 Организационно-экономическая характерис</w:t>
      </w:r>
      <w:r>
        <w:rPr>
          <w:rFonts w:ascii="Times New Roman" w:cs="Times New Roman" w:eastAsia="Calibri" w:hAnsi="Times New Roman"/>
          <w:sz w:val="28"/>
          <w:szCs w:val="28"/>
        </w:rPr>
        <w:t>тика ПАО «МТС» ............</w:t>
      </w:r>
      <w:r>
        <w:rPr>
          <w:rFonts w:ascii="Times New Roman" w:cs="Times New Roman" w:eastAsia="Calibri" w:hAnsi="Times New Roman"/>
          <w:sz w:val="28"/>
          <w:szCs w:val="28"/>
        </w:rPr>
        <w:t>…</w:t>
      </w:r>
      <w:r>
        <w:rPr>
          <w:rFonts w:ascii="Times New Roman" w:cs="Times New Roman" w:eastAsia="Calibri" w:hAnsi="Times New Roman"/>
          <w:sz w:val="28"/>
          <w:szCs w:val="28"/>
        </w:rPr>
        <w:t>5</w:t>
      </w:r>
    </w:p>
    <w:p>
      <w:pPr>
        <w:pStyle w:val="style0"/>
        <w:tabs>
          <w:tab w:val="right" w:leader="none" w:pos="2268"/>
          <w:tab w:val="center" w:leader="dot" w:pos="9639"/>
        </w:tabs>
        <w:autoSpaceDE w:val="false"/>
        <w:autoSpaceDN w:val="false"/>
        <w:adjustRightInd w:val="false"/>
        <w:spacing w:after="0" w:lineRule="auto" w:line="360"/>
        <w:ind w:left="709" w:right="-143" w:hanging="425"/>
        <w:rPr>
          <w:rFonts w:ascii="Times New Roman" w:cs="Times New Roman" w:eastAsia="Calibri" w:hAnsi="Times New Roman"/>
          <w:sz w:val="28"/>
          <w:szCs w:val="28"/>
        </w:rPr>
      </w:pPr>
      <w:r>
        <w:rPr>
          <w:rFonts w:ascii="Times New Roman" w:cs="Times New Roman" w:eastAsia="Calibri" w:hAnsi="Times New Roman"/>
          <w:sz w:val="28"/>
          <w:szCs w:val="28"/>
        </w:rPr>
        <w:t>1.2 Анализ основных</w:t>
      </w:r>
      <w:r>
        <w:rPr>
          <w:rFonts w:ascii="Times New Roman" w:cs="Times New Roman" w:eastAsia="Calibri" w:hAnsi="Times New Roman"/>
          <w:sz w:val="28"/>
          <w:szCs w:val="28"/>
        </w:rPr>
        <w:t xml:space="preserve"> финансовых</w:t>
      </w:r>
      <w:r>
        <w:rPr>
          <w:rFonts w:ascii="Times New Roman" w:cs="Times New Roman" w:eastAsia="Calibri" w:hAnsi="Times New Roman"/>
          <w:sz w:val="28"/>
          <w:szCs w:val="28"/>
        </w:rPr>
        <w:t xml:space="preserve"> показателей деятельности </w:t>
      </w:r>
      <w:r>
        <w:rPr>
          <w:rFonts w:ascii="Times New Roman" w:cs="Times New Roman" w:eastAsia="Calibri" w:hAnsi="Times New Roman"/>
          <w:sz w:val="28"/>
          <w:szCs w:val="28"/>
        </w:rPr>
        <w:br/>
      </w:r>
      <w:r>
        <w:rPr>
          <w:rFonts w:ascii="Times New Roman" w:cs="Times New Roman" w:eastAsia="Calibri" w:hAnsi="Times New Roman"/>
          <w:sz w:val="28"/>
          <w:szCs w:val="28"/>
        </w:rPr>
        <w:t>организации</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8</w:t>
      </w:r>
    </w:p>
    <w:p>
      <w:pPr>
        <w:pStyle w:val="style0"/>
        <w:tabs>
          <w:tab w:val="right" w:leader="none" w:pos="1843"/>
          <w:tab w:val="center" w:leader="dot" w:pos="9639"/>
        </w:tabs>
        <w:autoSpaceDE w:val="false"/>
        <w:autoSpaceDN w:val="false"/>
        <w:adjustRightInd w:val="false"/>
        <w:spacing w:after="0" w:lineRule="auto" w:line="360"/>
        <w:ind w:left="709" w:right="-143" w:hanging="425"/>
        <w:rPr>
          <w:rFonts w:ascii="Times New Roman" w:cs="Times New Roman" w:eastAsia="Calibri" w:hAnsi="Times New Roman"/>
          <w:sz w:val="28"/>
          <w:szCs w:val="28"/>
        </w:rPr>
      </w:pPr>
      <w:r>
        <w:rPr>
          <w:rFonts w:ascii="Times New Roman" w:cs="Times New Roman" w:eastAsia="Calibri" w:hAnsi="Times New Roman"/>
          <w:sz w:val="28"/>
          <w:szCs w:val="28"/>
        </w:rPr>
        <w:t xml:space="preserve">1.3 Изучение и </w:t>
      </w:r>
      <w:r>
        <w:rPr>
          <w:rFonts w:ascii="Times New Roman" w:cs="Times New Roman" w:eastAsia="Calibri" w:hAnsi="Times New Roman"/>
          <w:sz w:val="28"/>
          <w:szCs w:val="28"/>
        </w:rPr>
        <w:t>оценка систем бухгалтерского учета</w:t>
      </w:r>
      <w:r>
        <w:rPr>
          <w:rFonts w:ascii="Times New Roman" w:cs="Times New Roman" w:eastAsia="Calibri" w:hAnsi="Times New Roman"/>
          <w:sz w:val="28"/>
          <w:szCs w:val="28"/>
        </w:rPr>
        <w:t xml:space="preserve"> и</w:t>
      </w:r>
      <w:r>
        <w:rPr>
          <w:rFonts w:ascii="Times New Roman" w:cs="Times New Roman" w:eastAsia="Calibri" w:hAnsi="Times New Roman"/>
          <w:sz w:val="28"/>
          <w:szCs w:val="28"/>
        </w:rPr>
        <w:t xml:space="preserve"> внутреннего контроля</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14</w:t>
      </w:r>
    </w:p>
    <w:p>
      <w:pPr>
        <w:pStyle w:val="style0"/>
        <w:tabs>
          <w:tab w:val="right" w:leader="none" w:pos="5103"/>
          <w:tab w:val="center" w:leader="dot" w:pos="9639"/>
        </w:tabs>
        <w:autoSpaceDE w:val="false"/>
        <w:autoSpaceDN w:val="false"/>
        <w:adjustRightInd w:val="false"/>
        <w:spacing w:after="0" w:lineRule="auto" w:line="360"/>
        <w:ind w:left="426" w:right="-143" w:hanging="426"/>
        <w:contextualSpacing/>
        <w:rPr>
          <w:rFonts w:ascii="Times New Roman" w:cs="Times New Roman" w:eastAsia="Calibri" w:hAnsi="Times New Roman"/>
          <w:color w:val="ff0000"/>
          <w:sz w:val="28"/>
          <w:szCs w:val="28"/>
        </w:rPr>
      </w:pPr>
      <w:r>
        <w:rPr>
          <w:rFonts w:ascii="Times New Roman" w:cs="Times New Roman" w:eastAsia="Calibri" w:hAnsi="Times New Roman"/>
          <w:color w:val="000000"/>
          <w:sz w:val="28"/>
          <w:szCs w:val="28"/>
        </w:rPr>
        <w:t xml:space="preserve">2 </w:t>
      </w:r>
      <w:r>
        <w:rPr>
          <w:rFonts w:ascii="Times New Roman" w:cs="Times New Roman" w:eastAsia="Calibri" w:hAnsi="Times New Roman"/>
          <w:color w:val="000000"/>
          <w:sz w:val="28"/>
          <w:szCs w:val="28"/>
        </w:rPr>
        <w:t xml:space="preserve">Индивидуальное задание: </w:t>
      </w:r>
      <w:r>
        <w:rPr>
          <w:rFonts w:ascii="Times New Roman" w:cs="Times New Roman" w:eastAsia="Calibri" w:hAnsi="Times New Roman"/>
          <w:color w:val="000000"/>
          <w:sz w:val="28"/>
          <w:szCs w:val="28"/>
        </w:rPr>
        <w:t>о</w:t>
      </w:r>
      <w:r>
        <w:rPr>
          <w:rFonts w:ascii="Times New Roman" w:cs="Times New Roman" w:eastAsia="Calibri" w:hAnsi="Times New Roman"/>
          <w:color w:val="000000"/>
          <w:sz w:val="28"/>
          <w:szCs w:val="28"/>
        </w:rPr>
        <w:t>рганизация и осуществление финансового контроля бухгалтерского уче</w:t>
      </w:r>
      <w:r>
        <w:rPr>
          <w:rFonts w:ascii="Times New Roman" w:cs="Times New Roman" w:eastAsia="Calibri" w:hAnsi="Times New Roman"/>
          <w:color w:val="000000"/>
          <w:sz w:val="28"/>
          <w:szCs w:val="28"/>
        </w:rPr>
        <w:t>та всех объектов бухгалтерского</w:t>
      </w:r>
      <w:r>
        <w:rPr>
          <w:rFonts w:ascii="Times New Roman" w:cs="Times New Roman" w:eastAsia="Calibri" w:hAnsi="Times New Roman"/>
          <w:color w:val="000000"/>
          <w:sz w:val="28"/>
          <w:szCs w:val="28"/>
        </w:rPr>
        <w:br/>
      </w:r>
      <w:r>
        <w:rPr>
          <w:rFonts w:ascii="Times New Roman" w:cs="Times New Roman" w:eastAsia="Calibri" w:hAnsi="Times New Roman"/>
          <w:color w:val="000000"/>
          <w:sz w:val="28"/>
          <w:szCs w:val="28"/>
        </w:rPr>
        <w:t xml:space="preserve">наблюдения и составления </w:t>
      </w:r>
      <w:r>
        <w:rPr>
          <w:rFonts w:ascii="Times New Roman" w:cs="Times New Roman" w:eastAsia="Calibri" w:hAnsi="Times New Roman"/>
          <w:color w:val="000000"/>
          <w:sz w:val="28"/>
          <w:szCs w:val="28"/>
        </w:rPr>
        <w:t>отчетности</w:t>
      </w:r>
      <w:r>
        <w:rPr>
          <w:rFonts w:ascii="Times New Roman" w:cs="Times New Roman" w:eastAsia="Calibri" w:hAnsi="Times New Roman"/>
          <w:color w:val="000000"/>
          <w:sz w:val="28"/>
          <w:szCs w:val="28"/>
        </w:rPr>
        <w:tab/>
      </w:r>
      <w:r>
        <w:rPr>
          <w:rFonts w:ascii="Times New Roman" w:cs="Times New Roman" w:eastAsia="Calibri" w:hAnsi="Times New Roman"/>
          <w:color w:val="000000"/>
          <w:sz w:val="28"/>
          <w:szCs w:val="28"/>
        </w:rPr>
        <w:tab/>
      </w:r>
      <w:r>
        <w:rPr>
          <w:rFonts w:ascii="Times New Roman" w:cs="Times New Roman" w:eastAsia="Calibri" w:hAnsi="Times New Roman"/>
          <w:color w:val="000000"/>
          <w:sz w:val="28"/>
          <w:szCs w:val="28"/>
        </w:rPr>
        <w:t>22</w:t>
      </w:r>
    </w:p>
    <w:p>
      <w:pPr>
        <w:pStyle w:val="style0"/>
        <w:tabs>
          <w:tab w:val="right" w:leader="none" w:pos="8364"/>
          <w:tab w:val="center" w:leader="dot" w:pos="9639"/>
        </w:tabs>
        <w:autoSpaceDE w:val="false"/>
        <w:autoSpaceDN w:val="false"/>
        <w:adjustRightInd w:val="false"/>
        <w:spacing w:after="0" w:lineRule="auto" w:line="360"/>
        <w:ind w:left="284" w:right="-143"/>
        <w:contextualSpacing/>
        <w:rPr>
          <w:rFonts w:ascii="Times New Roman" w:cs="Times New Roman" w:eastAsia="Calibri" w:hAnsi="Times New Roman"/>
          <w:color w:val="ff0000"/>
          <w:sz w:val="28"/>
          <w:szCs w:val="28"/>
        </w:rPr>
      </w:pPr>
      <w:r>
        <w:rPr>
          <w:rFonts w:ascii="Times New Roman" w:cs="Times New Roman" w:eastAsia="Calibri" w:hAnsi="Times New Roman"/>
          <w:color w:val="000000"/>
          <w:sz w:val="28"/>
          <w:szCs w:val="28"/>
        </w:rPr>
        <w:t xml:space="preserve">2.1 </w:t>
      </w:r>
      <w:r>
        <w:rPr>
          <w:rFonts w:ascii="Times New Roman" w:cs="Times New Roman" w:eastAsia="Calibri" w:hAnsi="Times New Roman"/>
          <w:color w:val="000000"/>
          <w:sz w:val="28"/>
          <w:szCs w:val="28"/>
        </w:rPr>
        <w:t>Финансовый контроль бухгалтерского учета</w:t>
      </w:r>
      <w:r>
        <w:rPr>
          <w:rFonts w:ascii="Times New Roman" w:cs="Times New Roman" w:eastAsia="Calibri" w:hAnsi="Times New Roman"/>
          <w:color w:val="000000"/>
          <w:sz w:val="28"/>
          <w:szCs w:val="28"/>
        </w:rPr>
        <w:t xml:space="preserve"> основных средств</w:t>
      </w:r>
      <w:r>
        <w:rPr>
          <w:rFonts w:ascii="Times New Roman" w:cs="Times New Roman" w:eastAsia="Calibri" w:hAnsi="Times New Roman"/>
          <w:color w:val="000000"/>
          <w:sz w:val="28"/>
          <w:szCs w:val="28"/>
        </w:rPr>
        <w:tab/>
      </w:r>
      <w:r>
        <w:rPr>
          <w:rFonts w:ascii="Times New Roman" w:cs="Times New Roman" w:eastAsia="Calibri" w:hAnsi="Times New Roman"/>
          <w:color w:val="000000"/>
          <w:sz w:val="28"/>
          <w:szCs w:val="28"/>
        </w:rPr>
        <w:tab/>
      </w:r>
      <w:r>
        <w:rPr>
          <w:rFonts w:ascii="Times New Roman" w:cs="Times New Roman" w:eastAsia="Calibri" w:hAnsi="Times New Roman"/>
          <w:color w:val="000000"/>
          <w:sz w:val="28"/>
          <w:szCs w:val="28"/>
        </w:rPr>
        <w:t>22</w:t>
      </w:r>
    </w:p>
    <w:p>
      <w:pPr>
        <w:pStyle w:val="style0"/>
        <w:tabs>
          <w:tab w:val="right" w:leader="none" w:pos="1701"/>
          <w:tab w:val="center" w:leader="dot" w:pos="9639"/>
        </w:tabs>
        <w:autoSpaceDE w:val="false"/>
        <w:autoSpaceDN w:val="false"/>
        <w:adjustRightInd w:val="false"/>
        <w:spacing w:after="0" w:lineRule="auto" w:line="360"/>
        <w:ind w:left="709" w:right="-143" w:hanging="425"/>
        <w:contextualSpacing/>
        <w:rPr>
          <w:rFonts w:ascii="Times New Roman" w:cs="Times New Roman" w:eastAsia="Calibri" w:hAnsi="Times New Roman"/>
          <w:sz w:val="28"/>
          <w:szCs w:val="28"/>
        </w:rPr>
      </w:pPr>
      <w:r>
        <w:rPr>
          <w:rFonts w:ascii="Times New Roman" w:cs="Times New Roman" w:eastAsia="Calibri" w:hAnsi="Times New Roman"/>
          <w:sz w:val="28"/>
          <w:szCs w:val="28"/>
        </w:rPr>
        <w:t xml:space="preserve">2.2 </w:t>
      </w:r>
      <w:r>
        <w:rPr>
          <w:rFonts w:ascii="Times New Roman" w:cs="Times New Roman" w:eastAsia="Calibri" w:hAnsi="Times New Roman"/>
          <w:sz w:val="28"/>
          <w:szCs w:val="28"/>
        </w:rPr>
        <w:t>Финансовый контроль бухгалтерского учета нематериальных</w:t>
      </w:r>
      <w:r>
        <w:rPr>
          <w:rFonts w:ascii="Times New Roman" w:cs="Times New Roman" w:eastAsia="Calibri" w:hAnsi="Times New Roman"/>
          <w:sz w:val="28"/>
          <w:szCs w:val="28"/>
        </w:rPr>
        <w:br/>
      </w:r>
      <w:r>
        <w:rPr>
          <w:rFonts w:ascii="Times New Roman" w:cs="Times New Roman" w:eastAsia="Calibri" w:hAnsi="Times New Roman"/>
          <w:sz w:val="28"/>
          <w:szCs w:val="28"/>
        </w:rPr>
        <w:t>активов</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25</w:t>
      </w:r>
    </w:p>
    <w:p>
      <w:pPr>
        <w:pStyle w:val="style0"/>
        <w:tabs>
          <w:tab w:val="right" w:leader="none" w:pos="7088"/>
          <w:tab w:val="center" w:leader="dot" w:pos="9639"/>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 xml:space="preserve">2.3 </w:t>
      </w:r>
      <w:r>
        <w:rPr>
          <w:rFonts w:ascii="Times New Roman" w:cs="Times New Roman" w:eastAsia="Calibri" w:hAnsi="Times New Roman"/>
          <w:sz w:val="28"/>
          <w:szCs w:val="28"/>
        </w:rPr>
        <w:t>Финансовый контроль бухгалтерского учета</w:t>
      </w:r>
      <w:r>
        <w:rPr>
          <w:rFonts w:ascii="Times New Roman" w:cs="Times New Roman" w:eastAsia="Calibri" w:hAnsi="Times New Roman"/>
          <w:sz w:val="28"/>
          <w:szCs w:val="28"/>
        </w:rPr>
        <w:t xml:space="preserve"> запасов</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27</w:t>
      </w:r>
    </w:p>
    <w:p>
      <w:pPr>
        <w:pStyle w:val="style0"/>
        <w:tabs>
          <w:tab w:val="right" w:leader="none" w:pos="1560"/>
          <w:tab w:val="center" w:leader="dot" w:pos="9639"/>
        </w:tabs>
        <w:autoSpaceDE w:val="false"/>
        <w:autoSpaceDN w:val="false"/>
        <w:adjustRightInd w:val="false"/>
        <w:spacing w:after="0" w:lineRule="auto" w:line="360"/>
        <w:ind w:left="709" w:right="-143" w:hanging="425"/>
        <w:contextualSpacing/>
        <w:rPr>
          <w:rFonts w:ascii="Times New Roman" w:cs="Times New Roman" w:eastAsia="Calibri" w:hAnsi="Times New Roman"/>
          <w:sz w:val="28"/>
          <w:szCs w:val="28"/>
        </w:rPr>
      </w:pPr>
      <w:r>
        <w:rPr>
          <w:rFonts w:ascii="Times New Roman" w:cs="Times New Roman" w:eastAsia="Calibri" w:hAnsi="Times New Roman"/>
          <w:sz w:val="28"/>
          <w:szCs w:val="28"/>
        </w:rPr>
        <w:t xml:space="preserve">2.4 </w:t>
      </w:r>
      <w:r>
        <w:rPr>
          <w:rFonts w:ascii="Times New Roman" w:cs="Times New Roman" w:eastAsia="Calibri" w:hAnsi="Times New Roman"/>
          <w:sz w:val="28"/>
          <w:szCs w:val="28"/>
        </w:rPr>
        <w:t>Финансовый контр</w:t>
      </w:r>
      <w:r>
        <w:rPr>
          <w:rFonts w:ascii="Times New Roman" w:cs="Times New Roman" w:eastAsia="Calibri" w:hAnsi="Times New Roman"/>
          <w:sz w:val="28"/>
          <w:szCs w:val="28"/>
        </w:rPr>
        <w:t>оль бухгалтерского учета кредитов</w:t>
      </w:r>
      <w:r>
        <w:rPr>
          <w:rFonts w:ascii="Times New Roman" w:cs="Times New Roman" w:eastAsia="Calibri" w:hAnsi="Times New Roman"/>
          <w:sz w:val="28"/>
          <w:szCs w:val="28"/>
        </w:rPr>
        <w:t xml:space="preserve"> и займов</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28</w:t>
      </w:r>
    </w:p>
    <w:p>
      <w:pPr>
        <w:pStyle w:val="style0"/>
        <w:tabs>
          <w:tab w:val="right" w:leader="none" w:pos="2835"/>
          <w:tab w:val="center" w:leader="dot" w:pos="9639"/>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2.5</w:t>
      </w:r>
      <w:r>
        <w:rPr>
          <w:rFonts w:ascii="Times New Roman" w:cs="Times New Roman" w:eastAsia="Calibri" w:hAnsi="Times New Roman"/>
          <w:sz w:val="28"/>
          <w:szCs w:val="28"/>
        </w:rPr>
        <w:t xml:space="preserve"> Финансовый контроль бухгалтерского учета</w:t>
      </w:r>
      <w:r>
        <w:rPr>
          <w:rFonts w:ascii="Times New Roman" w:cs="Times New Roman" w:eastAsia="Calibri" w:hAnsi="Times New Roman"/>
          <w:sz w:val="28"/>
          <w:szCs w:val="28"/>
        </w:rPr>
        <w:t xml:space="preserve"> финансовых вложений</w:t>
      </w:r>
      <w:r>
        <w:rPr>
          <w:rFonts w:ascii="Times New Roman" w:cs="Times New Roman" w:eastAsia="Calibri" w:hAnsi="Times New Roman"/>
          <w:sz w:val="28"/>
          <w:szCs w:val="28"/>
        </w:rPr>
        <w:tab/>
      </w:r>
      <w:r>
        <w:rPr>
          <w:rFonts w:ascii="Times New Roman" w:cs="Times New Roman" w:eastAsia="Calibri" w:hAnsi="Times New Roman"/>
          <w:sz w:val="28"/>
          <w:szCs w:val="28"/>
        </w:rPr>
        <w:t>30</w:t>
      </w:r>
    </w:p>
    <w:p>
      <w:pPr>
        <w:pStyle w:val="style0"/>
        <w:tabs>
          <w:tab w:val="right" w:leader="none" w:pos="7230"/>
          <w:tab w:val="center" w:leader="dot" w:pos="9639"/>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2.6</w:t>
      </w:r>
      <w:r>
        <w:rPr>
          <w:rFonts w:ascii="Times New Roman" w:cs="Times New Roman" w:eastAsia="Calibri" w:hAnsi="Times New Roman"/>
          <w:sz w:val="28"/>
          <w:szCs w:val="28"/>
        </w:rPr>
        <w:t xml:space="preserve"> </w:t>
      </w:r>
      <w:r>
        <w:rPr>
          <w:rFonts w:ascii="Times New Roman" w:cs="Times New Roman" w:eastAsia="Calibri" w:hAnsi="Times New Roman"/>
          <w:sz w:val="28"/>
          <w:szCs w:val="28"/>
        </w:rPr>
        <w:t>Финансовый контроль бухгалтерского учета резервов</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32</w:t>
      </w:r>
    </w:p>
    <w:p>
      <w:pPr>
        <w:pStyle w:val="style0"/>
        <w:tabs>
          <w:tab w:val="right" w:leader="none" w:pos="7088"/>
          <w:tab w:val="center" w:leader="dot" w:pos="9498"/>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2.7</w:t>
      </w:r>
      <w:r>
        <w:rPr>
          <w:rFonts w:ascii="Times New Roman" w:cs="Times New Roman" w:eastAsia="Calibri" w:hAnsi="Times New Roman"/>
          <w:sz w:val="28"/>
          <w:szCs w:val="28"/>
        </w:rPr>
        <w:t xml:space="preserve"> </w:t>
      </w:r>
      <w:r>
        <w:rPr>
          <w:rFonts w:ascii="Times New Roman" w:cs="Times New Roman" w:eastAsia="Calibri" w:hAnsi="Times New Roman"/>
          <w:sz w:val="28"/>
          <w:szCs w:val="28"/>
        </w:rPr>
        <w:t>Финансовый контроль бухгалтерского учета доходов</w:t>
      </w:r>
      <w:r>
        <w:rPr>
          <w:rFonts w:ascii="Times New Roman" w:cs="Times New Roman" w:eastAsia="Calibri" w:hAnsi="Times New Roman"/>
          <w:sz w:val="28"/>
          <w:szCs w:val="28"/>
        </w:rPr>
        <w:tab/>
      </w:r>
      <w:r>
        <w:rPr>
          <w:rFonts w:ascii="Times New Roman" w:cs="Times New Roman" w:eastAsia="Calibri" w:hAnsi="Times New Roman"/>
          <w:sz w:val="28"/>
          <w:szCs w:val="28"/>
        </w:rPr>
        <w:tab/>
      </w:r>
      <w:r>
        <w:rPr>
          <w:rFonts w:ascii="Times New Roman" w:cs="Times New Roman" w:eastAsia="Calibri" w:hAnsi="Times New Roman"/>
          <w:sz w:val="28"/>
          <w:szCs w:val="28"/>
        </w:rPr>
        <w:t>33</w:t>
      </w:r>
    </w:p>
    <w:p>
      <w:pPr>
        <w:pStyle w:val="style0"/>
        <w:tabs>
          <w:tab w:val="right" w:leader="none" w:pos="2835"/>
          <w:tab w:val="center" w:leader="dot" w:pos="9639"/>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2.8</w:t>
      </w:r>
      <w:r>
        <w:rPr>
          <w:rFonts w:ascii="Times New Roman" w:cs="Times New Roman" w:eastAsia="Calibri" w:hAnsi="Times New Roman"/>
          <w:sz w:val="28"/>
          <w:szCs w:val="28"/>
        </w:rPr>
        <w:t xml:space="preserve"> </w:t>
      </w:r>
      <w:r>
        <w:rPr>
          <w:rFonts w:ascii="Times New Roman" w:cs="Times New Roman" w:eastAsia="Calibri" w:hAnsi="Times New Roman"/>
          <w:sz w:val="28"/>
          <w:szCs w:val="28"/>
        </w:rPr>
        <w:t>Финансовый контроль бухгалтерского учета расходов</w:t>
      </w:r>
      <w:r>
        <w:rPr>
          <w:rFonts w:ascii="Times New Roman" w:cs="Times New Roman" w:eastAsia="Calibri" w:hAnsi="Times New Roman"/>
          <w:sz w:val="28"/>
          <w:szCs w:val="28"/>
        </w:rPr>
        <w:tab/>
      </w:r>
      <w:r>
        <w:rPr>
          <w:rFonts w:ascii="Times New Roman" w:cs="Times New Roman" w:eastAsia="Calibri" w:hAnsi="Times New Roman"/>
          <w:sz w:val="28"/>
          <w:szCs w:val="28"/>
        </w:rPr>
        <w:t>36</w:t>
      </w:r>
    </w:p>
    <w:p>
      <w:pPr>
        <w:pStyle w:val="style0"/>
        <w:tabs>
          <w:tab w:val="right" w:leader="none" w:pos="2835"/>
          <w:tab w:val="center" w:leader="dot" w:pos="9639"/>
        </w:tabs>
        <w:autoSpaceDE w:val="false"/>
        <w:autoSpaceDN w:val="false"/>
        <w:adjustRightInd w:val="false"/>
        <w:spacing w:after="0" w:lineRule="auto" w:line="360"/>
        <w:ind w:right="-143" w:firstLine="284"/>
        <w:contextualSpacing/>
        <w:rPr>
          <w:rFonts w:ascii="Times New Roman" w:cs="Times New Roman" w:eastAsia="Calibri" w:hAnsi="Times New Roman"/>
          <w:sz w:val="28"/>
          <w:szCs w:val="28"/>
        </w:rPr>
      </w:pPr>
      <w:r>
        <w:rPr>
          <w:rFonts w:ascii="Times New Roman" w:cs="Times New Roman" w:eastAsia="Calibri" w:hAnsi="Times New Roman"/>
          <w:sz w:val="28"/>
          <w:szCs w:val="28"/>
        </w:rPr>
        <w:t xml:space="preserve">2.9 </w:t>
      </w:r>
      <w:r>
        <w:rPr>
          <w:rFonts w:ascii="Times New Roman" w:cs="Times New Roman" w:eastAsia="Calibri" w:hAnsi="Times New Roman"/>
          <w:sz w:val="28"/>
          <w:szCs w:val="28"/>
        </w:rPr>
        <w:t>Заключение по финансовому контролю бухгалтерского учета и составления отчетности в ПАО «МТС»</w:t>
      </w:r>
      <w:r>
        <w:rPr>
          <w:rFonts w:ascii="Times New Roman" w:cs="Times New Roman" w:eastAsia="Calibri" w:hAnsi="Times New Roman"/>
          <w:sz w:val="28"/>
          <w:szCs w:val="28"/>
        </w:rPr>
        <w:tab/>
      </w:r>
      <w:r>
        <w:rPr>
          <w:rFonts w:ascii="Times New Roman" w:cs="Times New Roman" w:eastAsia="Calibri" w:hAnsi="Times New Roman"/>
          <w:sz w:val="28"/>
          <w:szCs w:val="28"/>
        </w:rPr>
        <w:t>38</w:t>
      </w:r>
    </w:p>
    <w:p>
      <w:pPr>
        <w:pStyle w:val="style0"/>
        <w:tabs>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r>
        <w:rPr>
          <w:rFonts w:ascii="Times New Roman" w:cs="Times New Roman" w:eastAsia="Calibri" w:hAnsi="Times New Roman"/>
          <w:sz w:val="28"/>
          <w:szCs w:val="28"/>
        </w:rPr>
        <w:t>Заключение</w:t>
      </w:r>
      <w:r>
        <w:rPr>
          <w:rFonts w:ascii="Times New Roman" w:cs="Times New Roman" w:eastAsia="Calibri" w:hAnsi="Times New Roman"/>
          <w:sz w:val="28"/>
          <w:szCs w:val="28"/>
        </w:rPr>
        <w:tab/>
      </w:r>
      <w:r>
        <w:rPr>
          <w:rFonts w:ascii="Times New Roman" w:cs="Times New Roman" w:eastAsia="Calibri" w:hAnsi="Times New Roman"/>
          <w:sz w:val="28"/>
          <w:szCs w:val="28"/>
        </w:rPr>
        <w:t>40</w:t>
      </w:r>
    </w:p>
    <w:p>
      <w:pPr>
        <w:pStyle w:val="style0"/>
        <w:tabs>
          <w:tab w:val="right" w:leader="none" w:pos="3969"/>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r>
        <w:rPr>
          <w:rFonts w:ascii="Times New Roman" w:cs="Times New Roman" w:eastAsia="Calibri" w:hAnsi="Times New Roman"/>
          <w:sz w:val="28"/>
          <w:szCs w:val="28"/>
        </w:rPr>
        <w:t>Список использованных источников</w:t>
      </w:r>
      <w:r>
        <w:rPr>
          <w:rFonts w:ascii="Times New Roman" w:cs="Times New Roman" w:eastAsia="Calibri" w:hAnsi="Times New Roman"/>
          <w:sz w:val="28"/>
          <w:szCs w:val="28"/>
        </w:rPr>
        <w:tab/>
      </w:r>
      <w:r>
        <w:rPr>
          <w:rFonts w:ascii="Times New Roman" w:cs="Times New Roman" w:eastAsia="Calibri" w:hAnsi="Times New Roman"/>
          <w:sz w:val="28"/>
          <w:szCs w:val="28"/>
        </w:rPr>
        <w:t>42</w:t>
      </w:r>
    </w:p>
    <w:p>
      <w:pPr>
        <w:pStyle w:val="style0"/>
        <w:tabs>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r>
        <w:rPr>
          <w:rFonts w:ascii="Times New Roman" w:cs="Times New Roman" w:eastAsia="Calibri" w:hAnsi="Times New Roman"/>
          <w:sz w:val="28"/>
          <w:szCs w:val="28"/>
        </w:rPr>
        <w:t>Приложения</w:t>
      </w:r>
      <w:r>
        <w:rPr>
          <w:rFonts w:ascii="Times New Roman" w:cs="Times New Roman" w:eastAsia="Calibri" w:hAnsi="Times New Roman"/>
          <w:sz w:val="28"/>
          <w:szCs w:val="28"/>
        </w:rPr>
        <w:tab/>
      </w:r>
      <w:r>
        <w:rPr>
          <w:rFonts w:ascii="Times New Roman" w:cs="Times New Roman" w:eastAsia="Calibri" w:hAnsi="Times New Roman"/>
          <w:sz w:val="28"/>
          <w:szCs w:val="28"/>
          <w:lang w:val="en-US"/>
        </w:rPr>
        <w:t>46</w:t>
      </w:r>
    </w:p>
    <w:p>
      <w:pPr>
        <w:pStyle w:val="style0"/>
        <w:tabs>
          <w:tab w:val="center" w:leader="dot" w:pos="9639"/>
        </w:tabs>
        <w:autoSpaceDE w:val="false"/>
        <w:autoSpaceDN w:val="false"/>
        <w:adjustRightInd w:val="false"/>
        <w:spacing w:after="0" w:lineRule="auto" w:line="360"/>
        <w:ind w:right="-143"/>
        <w:rPr>
          <w:rFonts w:ascii="Times New Roman" w:cs="Times New Roman" w:eastAsia="Calibri" w:hAnsi="Times New Roman"/>
          <w:sz w:val="28"/>
          <w:szCs w:val="28"/>
        </w:rPr>
      </w:pPr>
    </w:p>
    <w:p>
      <w:pPr>
        <w:pStyle w:val="style0"/>
        <w:rPr/>
      </w:pPr>
      <w:r>
        <w:br w:type="page"/>
      </w:r>
    </w:p>
    <w:p>
      <w:pPr>
        <w:pStyle w:val="style0"/>
        <w:shd w:val="clear" w:color="auto" w:fill="ffffff"/>
        <w:tabs>
          <w:tab w:val="left" w:leader="none" w:pos="4536"/>
        </w:tabs>
        <w:spacing w:after="0" w:lineRule="auto" w:line="360"/>
        <w:jc w:val="center"/>
        <w:rPr>
          <w:rFonts w:ascii="Times New Roman" w:cs="Times New Roman" w:eastAsia="Calibri" w:hAnsi="Times New Roman"/>
          <w:b/>
          <w:sz w:val="32"/>
          <w:szCs w:val="32"/>
          <w:lang w:eastAsia="ru-RU"/>
        </w:rPr>
      </w:pPr>
      <w:r>
        <w:rPr>
          <w:rFonts w:ascii="Times New Roman" w:cs="Times New Roman" w:eastAsia="Calibri" w:hAnsi="Times New Roman"/>
          <w:b/>
          <w:sz w:val="32"/>
          <w:szCs w:val="32"/>
          <w:lang w:eastAsia="ru-RU"/>
        </w:rPr>
        <w:t>ВВЕДЕНИЕ</w:t>
      </w:r>
    </w:p>
    <w:p>
      <w:pPr>
        <w:pStyle w:val="style0"/>
        <w:tabs>
          <w:tab w:val="left" w:leader="none" w:pos="-142"/>
        </w:tabs>
        <w:spacing w:after="0" w:lineRule="auto" w:line="360"/>
        <w:ind w:right="-284"/>
        <w:jc w:val="both"/>
        <w:contextualSpacing/>
        <w:rPr>
          <w:rFonts w:ascii="Times New Roman" w:cs="Times New Roman" w:hAnsi="Times New Roman"/>
          <w:color w:val="000000"/>
          <w:sz w:val="28"/>
          <w:szCs w:val="32"/>
        </w:rPr>
      </w:pP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hAnsi="Times New Roman"/>
          <w:color w:val="000000"/>
          <w:sz w:val="28"/>
          <w:szCs w:val="32"/>
        </w:rPr>
        <w:t>Целенаправленная практика позволяет закрепить теоретические знания, приобрести профессиональные навыки, а также способствует закреплению профессиональных качеств специалиста.</w:t>
      </w: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hAnsi="Times New Roman"/>
          <w:color w:val="000000"/>
          <w:sz w:val="28"/>
          <w:szCs w:val="32"/>
        </w:rPr>
        <w:t xml:space="preserve">Для прохождения производственной практики было выбрано предприятие ПАО «МТС», </w:t>
      </w:r>
      <w:r>
        <w:rPr>
          <w:rFonts w:ascii="Times New Roman" w:cs="Times New Roman" w:hAnsi="Times New Roman"/>
          <w:color w:val="000000"/>
          <w:sz w:val="28"/>
          <w:szCs w:val="32"/>
        </w:rPr>
        <w:t xml:space="preserve">которое </w:t>
      </w:r>
      <w:r>
        <w:rPr>
          <w:rFonts w:ascii="Times New Roman" w:cs="Times New Roman" w:hAnsi="Times New Roman"/>
          <w:sz w:val="28"/>
          <w:szCs w:val="28"/>
        </w:rPr>
        <w:t>является крупнейшим оператором мобильной связи в России и странах СНГ и входит в десятку крупнейших сотовых операторов в мире по размеру абонентской базы и рыночной капитализации.</w:t>
      </w: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eastAsia="Calibri" w:hAnsi="Times New Roman"/>
          <w:sz w:val="28"/>
          <w:szCs w:val="28"/>
        </w:rPr>
        <w:t>Цель производственной практики — формирование и получение профессиональных умений и опыта проф</w:t>
      </w:r>
      <w:r>
        <w:rPr>
          <w:rFonts w:ascii="Times New Roman" w:cs="Times New Roman" w:eastAsia="Calibri" w:hAnsi="Times New Roman"/>
          <w:sz w:val="28"/>
          <w:szCs w:val="28"/>
        </w:rPr>
        <w:t>ессиональной деятельности в сфе</w:t>
      </w:r>
      <w:r>
        <w:rPr>
          <w:rFonts w:ascii="Times New Roman" w:cs="Times New Roman" w:eastAsia="Calibri" w:hAnsi="Times New Roman"/>
          <w:sz w:val="28"/>
          <w:szCs w:val="28"/>
        </w:rPr>
        <w:t>ре получения профессиональных компет</w:t>
      </w:r>
      <w:r>
        <w:rPr>
          <w:rFonts w:ascii="Times New Roman" w:cs="Times New Roman" w:eastAsia="Calibri" w:hAnsi="Times New Roman"/>
          <w:sz w:val="28"/>
          <w:szCs w:val="28"/>
        </w:rPr>
        <w:t>енций в области обеспечения эко</w:t>
      </w:r>
      <w:r>
        <w:rPr>
          <w:rFonts w:ascii="Times New Roman" w:cs="Times New Roman" w:eastAsia="Calibri" w:hAnsi="Times New Roman"/>
          <w:sz w:val="28"/>
          <w:szCs w:val="28"/>
        </w:rPr>
        <w:t>номической безопасности экономическ</w:t>
      </w:r>
      <w:r>
        <w:rPr>
          <w:rFonts w:ascii="Times New Roman" w:cs="Times New Roman" w:eastAsia="Calibri" w:hAnsi="Times New Roman"/>
          <w:sz w:val="28"/>
          <w:szCs w:val="28"/>
        </w:rPr>
        <w:t>их субъектов различных организа</w:t>
      </w:r>
      <w:r>
        <w:rPr>
          <w:rFonts w:ascii="Times New Roman" w:cs="Times New Roman" w:eastAsia="Calibri" w:hAnsi="Times New Roman"/>
          <w:sz w:val="28"/>
          <w:szCs w:val="28"/>
        </w:rPr>
        <w:t>ционно-правовых форм и видов деятельности.</w:t>
      </w:r>
      <w:r>
        <w:rPr>
          <w:rFonts w:ascii="Times New Roman" w:cs="Times New Roman" w:eastAsia="Calibri" w:hAnsi="Times New Roman"/>
          <w:sz w:val="28"/>
          <w:szCs w:val="28"/>
        </w:rPr>
        <w:t xml:space="preserve"> </w:t>
      </w:r>
      <w:r>
        <w:rPr>
          <w:rFonts w:ascii="Times New Roman" w:cs="Times New Roman" w:hAnsi="Times New Roman"/>
          <w:color w:val="000000"/>
          <w:sz w:val="28"/>
          <w:szCs w:val="32"/>
        </w:rPr>
        <w:t xml:space="preserve">Для достижения поставленной цели </w:t>
      </w:r>
      <w:r>
        <w:rPr>
          <w:rFonts w:ascii="Times New Roman" w:cs="Times New Roman" w:hAnsi="Times New Roman"/>
          <w:color w:val="000000"/>
          <w:sz w:val="28"/>
          <w:szCs w:val="32"/>
        </w:rPr>
        <w:t>необходимо решить</w:t>
      </w:r>
      <w:r>
        <w:rPr>
          <w:rFonts w:ascii="Times New Roman" w:cs="Times New Roman" w:hAnsi="Times New Roman"/>
          <w:color w:val="000000"/>
          <w:sz w:val="28"/>
          <w:szCs w:val="32"/>
        </w:rPr>
        <w:t xml:space="preserve"> следующие задачи:</w:t>
      </w: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hAnsi="Times New Roman"/>
          <w:color w:val="000000"/>
          <w:sz w:val="28"/>
          <w:szCs w:val="32"/>
        </w:rPr>
        <w:t>–– </w:t>
      </w:r>
      <w:r>
        <w:rPr>
          <w:rFonts w:ascii="Times New Roman" w:cs="Times New Roman" w:hAnsi="Times New Roman"/>
          <w:color w:val="000000"/>
          <w:sz w:val="28"/>
          <w:szCs w:val="32"/>
        </w:rPr>
        <w:t>изучить</w:t>
      </w:r>
      <w:r>
        <w:rPr>
          <w:rFonts w:ascii="Times New Roman" w:cs="Times New Roman" w:hAnsi="Times New Roman"/>
          <w:color w:val="000000"/>
          <w:sz w:val="28"/>
          <w:szCs w:val="32"/>
        </w:rPr>
        <w:t xml:space="preserve"> организац</w:t>
      </w:r>
      <w:r>
        <w:rPr>
          <w:rFonts w:ascii="Times New Roman" w:cs="Times New Roman" w:hAnsi="Times New Roman"/>
          <w:color w:val="000000"/>
          <w:sz w:val="28"/>
          <w:szCs w:val="32"/>
        </w:rPr>
        <w:t>ионно-экономическую характеристику</w:t>
      </w:r>
      <w:r>
        <w:rPr>
          <w:rFonts w:ascii="Times New Roman" w:cs="Times New Roman" w:hAnsi="Times New Roman"/>
          <w:color w:val="000000"/>
          <w:sz w:val="28"/>
          <w:szCs w:val="32"/>
        </w:rPr>
        <w:t xml:space="preserve"> производственной деятельности </w:t>
      </w:r>
      <w:r>
        <w:rPr>
          <w:rFonts w:ascii="Times New Roman" w:cs="Times New Roman" w:hAnsi="Times New Roman"/>
          <w:color w:val="000000"/>
          <w:sz w:val="28"/>
          <w:szCs w:val="32"/>
        </w:rPr>
        <w:t>ПАО «</w:t>
      </w:r>
      <w:r>
        <w:rPr>
          <w:rFonts w:ascii="Times New Roman" w:cs="Times New Roman" w:hAnsi="Times New Roman"/>
          <w:color w:val="000000"/>
          <w:sz w:val="28"/>
          <w:szCs w:val="32"/>
        </w:rPr>
        <w:t>МТС</w:t>
      </w:r>
      <w:r>
        <w:rPr>
          <w:rFonts w:ascii="Times New Roman" w:cs="Times New Roman" w:hAnsi="Times New Roman"/>
          <w:color w:val="000000"/>
          <w:sz w:val="28"/>
          <w:szCs w:val="32"/>
        </w:rPr>
        <w:t>»</w:t>
      </w:r>
      <w:r>
        <w:rPr>
          <w:rFonts w:ascii="Times New Roman" w:cs="Times New Roman" w:hAnsi="Times New Roman"/>
          <w:color w:val="000000"/>
          <w:sz w:val="28"/>
          <w:szCs w:val="32"/>
        </w:rPr>
        <w:t>;</w:t>
      </w: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hAnsi="Times New Roman"/>
          <w:color w:val="000000"/>
          <w:sz w:val="28"/>
          <w:szCs w:val="32"/>
        </w:rPr>
        <w:t>–– провести</w:t>
      </w:r>
      <w:r>
        <w:rPr>
          <w:rFonts w:ascii="Times New Roman" w:cs="Times New Roman" w:hAnsi="Times New Roman"/>
          <w:color w:val="000000"/>
          <w:sz w:val="28"/>
          <w:szCs w:val="32"/>
        </w:rPr>
        <w:t xml:space="preserve"> анализ</w:t>
      </w:r>
      <w:r>
        <w:rPr>
          <w:rFonts w:ascii="Times New Roman" w:cs="Times New Roman" w:hAnsi="Times New Roman"/>
          <w:color w:val="000000"/>
          <w:sz w:val="28"/>
          <w:szCs w:val="32"/>
        </w:rPr>
        <w:t xml:space="preserve"> финансовых</w:t>
      </w:r>
      <w:r>
        <w:rPr>
          <w:rFonts w:ascii="Times New Roman" w:cs="Times New Roman" w:hAnsi="Times New Roman"/>
          <w:color w:val="000000"/>
          <w:sz w:val="28"/>
          <w:szCs w:val="32"/>
        </w:rPr>
        <w:t xml:space="preserve"> показателей деятельности ПАО «</w:t>
      </w:r>
      <w:r>
        <w:rPr>
          <w:rFonts w:ascii="Times New Roman" w:cs="Times New Roman" w:hAnsi="Times New Roman"/>
          <w:color w:val="000000"/>
          <w:sz w:val="28"/>
          <w:szCs w:val="32"/>
        </w:rPr>
        <w:t>МТС</w:t>
      </w:r>
      <w:r>
        <w:rPr>
          <w:rFonts w:ascii="Times New Roman" w:cs="Times New Roman" w:hAnsi="Times New Roman"/>
          <w:color w:val="000000"/>
          <w:sz w:val="28"/>
          <w:szCs w:val="32"/>
        </w:rPr>
        <w:t>»;</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color w:val="000000"/>
          <w:sz w:val="28"/>
          <w:szCs w:val="32"/>
        </w:rPr>
        <w:t>–– проанализировать системы</w:t>
      </w:r>
      <w:r>
        <w:rPr>
          <w:rFonts w:ascii="Times New Roman" w:cs="Times New Roman" w:hAnsi="Times New Roman"/>
          <w:color w:val="000000"/>
          <w:sz w:val="28"/>
          <w:szCs w:val="32"/>
        </w:rPr>
        <w:t xml:space="preserve"> бухгалтерского учета </w:t>
      </w:r>
      <w:r>
        <w:rPr>
          <w:rFonts w:ascii="Times New Roman" w:cs="Times New Roman" w:hAnsi="Times New Roman"/>
          <w:color w:val="000000"/>
          <w:sz w:val="28"/>
          <w:szCs w:val="32"/>
        </w:rPr>
        <w:t xml:space="preserve">и </w:t>
      </w:r>
      <w:r>
        <w:rPr>
          <w:rFonts w:ascii="Times New Roman" w:cs="Times New Roman" w:hAnsi="Times New Roman"/>
          <w:color w:val="000000"/>
          <w:sz w:val="28"/>
          <w:szCs w:val="32"/>
        </w:rPr>
        <w:t>внутреннего контроля</w:t>
      </w:r>
      <w:r>
        <w:rPr>
          <w:rFonts w:ascii="Times New Roman" w:cs="Times New Roman" w:hAnsi="Times New Roman"/>
          <w:sz w:val="28"/>
          <w:szCs w:val="28"/>
        </w:rPr>
        <w:t>;</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закрепить</w:t>
      </w:r>
      <w:r>
        <w:rPr>
          <w:rFonts w:ascii="Times New Roman" w:cs="Times New Roman" w:hAnsi="Times New Roman"/>
          <w:sz w:val="28"/>
          <w:szCs w:val="28"/>
        </w:rPr>
        <w:t xml:space="preserve"> приобретенные в проц</w:t>
      </w:r>
      <w:r>
        <w:rPr>
          <w:rFonts w:ascii="Times New Roman" w:cs="Times New Roman" w:hAnsi="Times New Roman"/>
          <w:sz w:val="28"/>
          <w:szCs w:val="28"/>
        </w:rPr>
        <w:t>ессе обучения теоретические зна</w:t>
      </w:r>
      <w:r>
        <w:rPr>
          <w:rFonts w:ascii="Times New Roman" w:cs="Times New Roman" w:hAnsi="Times New Roman"/>
          <w:sz w:val="28"/>
          <w:szCs w:val="28"/>
        </w:rPr>
        <w:t>ния (акцентируя внимание на тех дисци</w:t>
      </w:r>
      <w:r>
        <w:rPr>
          <w:rFonts w:ascii="Times New Roman" w:cs="Times New Roman" w:hAnsi="Times New Roman"/>
          <w:sz w:val="28"/>
          <w:szCs w:val="28"/>
        </w:rPr>
        <w:t>плинах, которые являются базовы</w:t>
      </w:r>
      <w:r>
        <w:rPr>
          <w:rFonts w:ascii="Times New Roman" w:cs="Times New Roman" w:hAnsi="Times New Roman"/>
          <w:sz w:val="28"/>
          <w:szCs w:val="28"/>
        </w:rPr>
        <w:t>ми по выбранной специализации);</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w:t>
      </w:r>
      <w:r>
        <w:rPr>
          <w:rFonts w:ascii="Times New Roman" w:cs="Times New Roman" w:hAnsi="Times New Roman"/>
          <w:sz w:val="28"/>
          <w:szCs w:val="28"/>
        </w:rPr>
        <w:t> </w:t>
      </w:r>
      <w:r>
        <w:rPr>
          <w:rFonts w:ascii="Times New Roman" w:cs="Times New Roman" w:hAnsi="Times New Roman"/>
          <w:sz w:val="28"/>
          <w:szCs w:val="28"/>
        </w:rPr>
        <w:t>проанализировать финансовый контроль всех объектов бухгалтерского наблюдения</w:t>
      </w:r>
      <w:r>
        <w:rPr>
          <w:rFonts w:ascii="Times New Roman" w:cs="Times New Roman" w:hAnsi="Times New Roman"/>
          <w:sz w:val="28"/>
          <w:szCs w:val="28"/>
        </w:rPr>
        <w:t>;</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w:t>
      </w:r>
      <w:r>
        <w:rPr>
          <w:rFonts w:ascii="Times New Roman" w:cs="Times New Roman" w:hAnsi="Times New Roman"/>
          <w:sz w:val="28"/>
          <w:szCs w:val="28"/>
        </w:rPr>
        <w:t>исследовать</w:t>
      </w:r>
      <w:r>
        <w:rPr>
          <w:rFonts w:ascii="Times New Roman" w:cs="Times New Roman" w:hAnsi="Times New Roman"/>
          <w:sz w:val="28"/>
          <w:szCs w:val="28"/>
        </w:rPr>
        <w:t xml:space="preserve"> содержание</w:t>
      </w:r>
      <w:r>
        <w:rPr>
          <w:rFonts w:ascii="Times New Roman" w:cs="Times New Roman" w:hAnsi="Times New Roman"/>
          <w:sz w:val="28"/>
          <w:szCs w:val="28"/>
        </w:rPr>
        <w:t xml:space="preserve"> нормат</w:t>
      </w:r>
      <w:r>
        <w:rPr>
          <w:rFonts w:ascii="Times New Roman" w:cs="Times New Roman" w:hAnsi="Times New Roman"/>
          <w:sz w:val="28"/>
          <w:szCs w:val="28"/>
        </w:rPr>
        <w:t>ивных документов, регламентиру</w:t>
      </w:r>
      <w:r>
        <w:rPr>
          <w:rFonts w:ascii="Times New Roman" w:cs="Times New Roman" w:hAnsi="Times New Roman"/>
          <w:sz w:val="28"/>
          <w:szCs w:val="28"/>
        </w:rPr>
        <w:t>ю</w:t>
      </w:r>
      <w:r>
        <w:rPr>
          <w:rFonts w:ascii="Times New Roman" w:cs="Times New Roman" w:hAnsi="Times New Roman"/>
          <w:sz w:val="28"/>
          <w:szCs w:val="28"/>
        </w:rPr>
        <w:t>щих деятельность предприятия</w:t>
      </w:r>
      <w:r>
        <w:rPr>
          <w:rFonts w:ascii="Times New Roman" w:cs="Times New Roman" w:hAnsi="Times New Roman"/>
          <w:sz w:val="28"/>
          <w:szCs w:val="28"/>
        </w:rPr>
        <w:t>;</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w:t>
      </w:r>
      <w:r>
        <w:rPr>
          <w:rFonts w:ascii="Times New Roman" w:cs="Times New Roman" w:hAnsi="Times New Roman"/>
          <w:sz w:val="28"/>
          <w:szCs w:val="28"/>
        </w:rPr>
        <w:t>изучить</w:t>
      </w:r>
      <w:r>
        <w:rPr>
          <w:rFonts w:ascii="Times New Roman" w:cs="Times New Roman" w:hAnsi="Times New Roman"/>
          <w:sz w:val="28"/>
          <w:szCs w:val="28"/>
        </w:rPr>
        <w:t xml:space="preserve"> методы и приемы</w:t>
      </w:r>
      <w:r>
        <w:rPr>
          <w:rFonts w:ascii="Times New Roman" w:cs="Times New Roman" w:hAnsi="Times New Roman"/>
          <w:sz w:val="28"/>
          <w:szCs w:val="28"/>
        </w:rPr>
        <w:t xml:space="preserve"> работы с первичной документацией, бухгалтерскими счетами и</w:t>
      </w:r>
      <w:r>
        <w:rPr>
          <w:rFonts w:ascii="Times New Roman" w:cs="Times New Roman" w:hAnsi="Times New Roman"/>
          <w:sz w:val="28"/>
          <w:szCs w:val="28"/>
        </w:rPr>
        <w:t xml:space="preserve"> отчетностью, а также расширить</w:t>
      </w:r>
      <w:r>
        <w:rPr>
          <w:rFonts w:ascii="Times New Roman" w:cs="Times New Roman" w:hAnsi="Times New Roman"/>
          <w:sz w:val="28"/>
          <w:szCs w:val="28"/>
        </w:rPr>
        <w:t xml:space="preserve"> практические навыки по осуществлению финансов</w:t>
      </w:r>
      <w:r>
        <w:rPr>
          <w:rFonts w:ascii="Times New Roman" w:cs="Times New Roman" w:hAnsi="Times New Roman"/>
          <w:sz w:val="28"/>
          <w:szCs w:val="28"/>
        </w:rPr>
        <w:t>ого контроля учетной информации.</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Объект исследования –– финансовый контроль</w:t>
      </w:r>
      <w:r>
        <w:rPr>
          <w:rFonts w:ascii="Times New Roman" w:cs="Times New Roman" w:hAnsi="Times New Roman"/>
          <w:sz w:val="28"/>
          <w:szCs w:val="28"/>
        </w:rPr>
        <w:t xml:space="preserve"> как </w:t>
      </w:r>
      <w:r>
        <w:rPr>
          <w:rFonts w:ascii="Times New Roman" w:cs="Times New Roman" w:hAnsi="Times New Roman"/>
          <w:sz w:val="28"/>
          <w:szCs w:val="28"/>
        </w:rPr>
        <w:t>совокупность действий и операций по проверке финансовых и связанных с ними вопросов деятельности субъектов хозяйствования.</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Предмет </w:t>
      </w:r>
      <w:r>
        <w:rPr>
          <w:rFonts w:ascii="Times New Roman" w:cs="Times New Roman" w:hAnsi="Times New Roman"/>
          <w:sz w:val="28"/>
          <w:szCs w:val="28"/>
        </w:rPr>
        <w:t/>
      </w:r>
      <w:r>
        <w:rPr>
          <w:rFonts w:ascii="Times New Roman" w:cs="Times New Roman" w:hAnsi="Times New Roman"/>
          <w:sz w:val="28"/>
          <w:szCs w:val="28"/>
        </w:rPr>
        <w:t/>
      </w:r>
      <w:r>
        <w:rPr>
          <w:rFonts w:ascii="Times New Roman" w:cs="Times New Roman" w:hAnsi="Times New Roman"/>
          <w:sz w:val="28"/>
          <w:szCs w:val="28"/>
        </w:rPr>
        <w:t>исследования ––</w:t>
      </w:r>
      <w:r>
        <w:rPr>
          <w:rFonts w:ascii="Times New Roman" w:cs="Times New Roman" w:hAnsi="Times New Roman"/>
          <w:sz w:val="28"/>
          <w:szCs w:val="28"/>
        </w:rPr>
        <w:t xml:space="preserve"> организация и методика ведения </w:t>
      </w:r>
      <w:r>
        <w:rPr>
          <w:rFonts w:ascii="Times New Roman" w:cs="Times New Roman" w:hAnsi="Times New Roman"/>
          <w:sz w:val="28"/>
          <w:szCs w:val="28"/>
        </w:rPr>
        <w:t>финансового контроля всех объектов бухгалтерского наблюдения.</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К планируемым результатам прохождения учебной практики относится приобретение следующих навыков:</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w:t>
      </w:r>
      <w:r>
        <w:rPr>
          <w:rFonts w:ascii="Times New Roman" w:cs="Times New Roman" w:hAnsi="Times New Roman"/>
          <w:sz w:val="28"/>
          <w:szCs w:val="28"/>
        </w:rPr>
        <w:t>использование полученных теоретических знаний в практических целях;</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w:t>
      </w:r>
      <w:r>
        <w:rPr>
          <w:rFonts w:ascii="Times New Roman" w:cs="Times New Roman" w:hAnsi="Times New Roman"/>
          <w:sz w:val="28"/>
          <w:szCs w:val="28"/>
        </w:rPr>
        <w:t>умение работать с источниками правовой, статистической и аналитической информации с целью сбора и обработки необходимых данных;</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применение различных методов и приемов для анализа отобранной информации;</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w:t>
      </w:r>
      <w:r>
        <w:rPr>
          <w:rFonts w:ascii="Times New Roman" w:cs="Times New Roman" w:hAnsi="Times New Roman"/>
          <w:sz w:val="28"/>
          <w:szCs w:val="28"/>
        </w:rPr>
        <w:t>приобретение практических навыков в области обеспечения экономической безопасности экономических субъектов различных организационно-правовых форм и видов деятельности;</w:t>
      </w:r>
    </w:p>
    <w:p>
      <w:pPr>
        <w:pStyle w:val="style0"/>
        <w:tabs>
          <w:tab w:val="left" w:leader="none" w:pos="-142"/>
        </w:tabs>
        <w:spacing w:after="0" w:lineRule="auto" w:line="360"/>
        <w:ind w:right="-1" w:firstLine="709"/>
        <w:jc w:val="both"/>
        <w:contextualSpacing/>
        <w:rPr>
          <w:rFonts w:ascii="Times New Roman" w:cs="Times New Roman" w:hAnsi="Times New Roman"/>
          <w:sz w:val="28"/>
          <w:szCs w:val="28"/>
        </w:rPr>
      </w:pPr>
      <w:r>
        <w:rPr>
          <w:rFonts w:ascii="Times New Roman" w:cs="Times New Roman" w:hAnsi="Times New Roman"/>
          <w:sz w:val="28"/>
          <w:szCs w:val="28"/>
        </w:rPr>
        <w:t>— выполнение расчетов и анализ полученных данных и т.д.</w:t>
      </w:r>
    </w:p>
    <w:p>
      <w:pPr>
        <w:pStyle w:val="style0"/>
        <w:tabs>
          <w:tab w:val="left" w:leader="none" w:pos="-142"/>
        </w:tabs>
        <w:spacing w:after="0" w:lineRule="auto" w:line="360"/>
        <w:ind w:right="-1" w:firstLine="709"/>
        <w:jc w:val="both"/>
        <w:contextualSpacing/>
        <w:rPr>
          <w:rFonts w:ascii="Times New Roman" w:cs="Times New Roman" w:hAnsi="Times New Roman"/>
          <w:color w:val="000000"/>
          <w:sz w:val="28"/>
          <w:szCs w:val="32"/>
        </w:rPr>
      </w:pPr>
      <w:r>
        <w:rPr>
          <w:rFonts w:ascii="Times New Roman" w:cs="Times New Roman" w:hAnsi="Times New Roman"/>
          <w:color w:val="000000"/>
          <w:sz w:val="28"/>
          <w:szCs w:val="32"/>
        </w:rPr>
        <w:t xml:space="preserve">Для написания отчета о </w:t>
      </w:r>
      <w:r>
        <w:rPr>
          <w:rFonts w:ascii="Times New Roman" w:cs="Times New Roman" w:hAnsi="Times New Roman"/>
          <w:color w:val="000000"/>
          <w:sz w:val="28"/>
          <w:szCs w:val="32"/>
        </w:rPr>
        <w:t>производственно</w:t>
      </w:r>
      <w:r>
        <w:rPr>
          <w:rFonts w:ascii="Times New Roman" w:cs="Times New Roman" w:hAnsi="Times New Roman"/>
          <w:color w:val="000000"/>
          <w:sz w:val="28"/>
          <w:szCs w:val="32"/>
        </w:rPr>
        <w:t xml:space="preserve">й практике были использованы следующие материалы: годовые отчетные документы, нормативно-правовые акты, а также различные </w:t>
      </w:r>
      <w:r>
        <w:rPr>
          <w:rFonts w:ascii="Times New Roman" w:cs="Times New Roman" w:hAnsi="Times New Roman"/>
          <w:color w:val="000000"/>
          <w:sz w:val="28"/>
          <w:szCs w:val="32"/>
        </w:rPr>
        <w:t>интернет-ресурсы</w:t>
      </w:r>
      <w:r>
        <w:rPr>
          <w:rFonts w:ascii="Times New Roman" w:cs="Times New Roman" w:hAnsi="Times New Roman"/>
          <w:color w:val="000000"/>
          <w:sz w:val="28"/>
          <w:szCs w:val="32"/>
        </w:rPr>
        <w:t xml:space="preserve">. </w:t>
      </w:r>
    </w:p>
    <w:p>
      <w:pPr>
        <w:pStyle w:val="style0"/>
        <w:ind w:right="-1"/>
        <w:rPr/>
      </w:pPr>
      <w:r>
        <w:br w:type="page"/>
      </w:r>
    </w:p>
    <w:p>
      <w:pPr>
        <w:pStyle w:val="style0"/>
        <w:spacing w:lineRule="auto" w:line="360"/>
        <w:ind w:left="993" w:hanging="284"/>
        <w:rPr>
          <w:rFonts w:ascii="Times New Roman" w:cs="Times New Roman" w:hAnsi="Times New Roman"/>
          <w:b/>
          <w:sz w:val="32"/>
          <w:szCs w:val="32"/>
        </w:rPr>
      </w:pPr>
      <w:r>
        <w:rPr>
          <w:rFonts w:ascii="Times New Roman" w:cs="Times New Roman" w:hAnsi="Times New Roman"/>
          <w:b/>
          <w:sz w:val="32"/>
          <w:szCs w:val="32"/>
        </w:rPr>
        <w:t>1 Планирование финансового контроля ПАО «МТС»</w:t>
      </w:r>
    </w:p>
    <w:p>
      <w:pPr>
        <w:pStyle w:val="style0"/>
        <w:spacing w:lineRule="auto" w:line="360"/>
        <w:ind w:left="993" w:hanging="284"/>
        <w:rPr>
          <w:rFonts w:ascii="Times New Roman" w:cs="Times New Roman" w:hAnsi="Times New Roman"/>
          <w:b/>
          <w:szCs w:val="32"/>
        </w:rPr>
      </w:pPr>
    </w:p>
    <w:p>
      <w:pPr>
        <w:pStyle w:val="style0"/>
        <w:spacing w:before="120" w:after="360" w:lineRule="auto" w:line="360"/>
        <w:ind w:left="1276" w:hanging="567"/>
        <w:rPr>
          <w:rFonts w:ascii="Times New Roman" w:cs="Times New Roman" w:hAnsi="Times New Roman"/>
          <w:b/>
          <w:sz w:val="28"/>
          <w:szCs w:val="28"/>
        </w:rPr>
      </w:pPr>
      <w:r>
        <w:rPr>
          <w:rFonts w:ascii="Times New Roman" w:cs="Times New Roman" w:hAnsi="Times New Roman"/>
          <w:b/>
          <w:sz w:val="28"/>
          <w:szCs w:val="28"/>
        </w:rPr>
        <w:t xml:space="preserve">1.1 </w:t>
      </w:r>
      <w:r>
        <w:rPr>
          <w:rFonts w:ascii="Times New Roman" w:cs="Times New Roman" w:hAnsi="Times New Roman"/>
          <w:b/>
          <w:sz w:val="28"/>
          <w:szCs w:val="28"/>
        </w:rPr>
        <w:t>Организационно-экономическая характеристика ПАО «МТС»</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Полное наименование организации –– Публичное акционерное общество «Мобильные </w:t>
      </w:r>
      <w:r>
        <w:rPr>
          <w:rFonts w:ascii="Times New Roman" w:cs="Times New Roman" w:hAnsi="Times New Roman"/>
          <w:sz w:val="28"/>
        </w:rPr>
        <w:t>ТелеСистем</w:t>
      </w:r>
      <w:r>
        <w:rPr>
          <w:rFonts w:ascii="Times New Roman" w:cs="Times New Roman" w:hAnsi="Times New Roman"/>
          <w:sz w:val="28"/>
        </w:rPr>
        <w:t>ы</w:t>
      </w:r>
      <w:r>
        <w:rPr>
          <w:rFonts w:ascii="Times New Roman" w:cs="Times New Roman" w:hAnsi="Times New Roman"/>
          <w:sz w:val="28"/>
        </w:rPr>
        <w:t>». Краткое наименование –– ПАО </w:t>
      </w:r>
      <w:r>
        <w:rPr>
          <w:rFonts w:ascii="Times New Roman" w:cs="Times New Roman" w:hAnsi="Times New Roman"/>
          <w:sz w:val="28"/>
        </w:rPr>
        <w:t>«МТС». Данная организация является крупнейшим оператором мобильной связи в России и странах СНГ и входит в десятку крупнейших сотовых операторов в мире по размеру абонентской базы и рыночной капитализации. ПАО «МТС» образована в октябре 1993 г. под названием ОАО «Московская городская телефонная сеть» (МГТС) как закрытое акционерное общество и расположена по адресу г. Москва, ул. Марксистская, д. 4. Имеет свои филиалы во в</w:t>
      </w:r>
      <w:r>
        <w:rPr>
          <w:rFonts w:ascii="Times New Roman" w:cs="Times New Roman" w:hAnsi="Times New Roman"/>
          <w:sz w:val="28"/>
        </w:rPr>
        <w:t>сех крупных регионах страны</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Стартовав в Московской лицензионной зоне в 1994 г., организация уже в 1997 г. получила лицензии и стала активно развиваться в Тверской области, Костроме и Республике Коми. В 1998 г. ПАО «МТС» купила «Русскую телефонную компанию» и вместе с ней приобрела лицензии на строительство сети в Смоленской, Псковской, Калужской, Тульской, Владим</w:t>
      </w:r>
      <w:r>
        <w:rPr>
          <w:rFonts w:ascii="Times New Roman" w:cs="Times New Roman" w:hAnsi="Times New Roman"/>
          <w:sz w:val="28"/>
        </w:rPr>
        <w:t>ирской и Рязанской областях</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В 2006 г. ПАО «МТС» осуществила реструктуризацию компании, в рамках которой были созданы следующие уровни управления: корпоративный центр, бизнес-единица, макрорегион, регион. Корпоративный центр определяет общую стратегию компании, единые стандарты, регламенты и процедуры управления. Бизнес-единицы отвечают за выполнение плановых показателей. Макрорегионы осуществляют оперативное управление деятельностью региональных филиалов. На сегодняшний день действуют девять </w:t>
      </w:r>
      <w:r>
        <w:rPr>
          <w:rFonts w:ascii="Times New Roman" w:cs="Times New Roman" w:hAnsi="Times New Roman"/>
          <w:sz w:val="28"/>
        </w:rPr>
        <w:t>макро-регионов</w:t>
      </w:r>
      <w:r>
        <w:rPr>
          <w:rFonts w:ascii="Times New Roman" w:cs="Times New Roman" w:hAnsi="Times New Roman"/>
          <w:sz w:val="28"/>
        </w:rPr>
        <w:t xml:space="preserve"> ПАО «МТС», каждый из которых объединяет региональные филиалы в </w:t>
      </w:r>
      <w:r>
        <w:rPr>
          <w:rFonts w:ascii="Times New Roman" w:cs="Times New Roman" w:hAnsi="Times New Roman"/>
          <w:sz w:val="28"/>
        </w:rPr>
        <w:t>нескольких субъектах России</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Экономическая деятельность ПАО «МТС» направлена на достижение следующих целей:</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разработка и улучшение процесса и технологии передачи данных, внедрение новых технологий и услуг на постоянной основе, что безусловно является сильной стороной организации (это позволит охватить широкий сектор клиентского опыта, затрагивающего все сферы человеческой деятельности в современном мире);</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 включение в сферу связи смежных направлений, таких как финансовые услуги, </w:t>
      </w:r>
      <w:r>
        <w:rPr>
          <w:rFonts w:ascii="Times New Roman" w:cs="Times New Roman" w:hAnsi="Times New Roman"/>
          <w:sz w:val="28"/>
        </w:rPr>
        <w:t>геолокационные</w:t>
      </w:r>
      <w:r>
        <w:rPr>
          <w:rFonts w:ascii="Times New Roman" w:cs="Times New Roman" w:hAnsi="Times New Roman"/>
          <w:sz w:val="28"/>
        </w:rPr>
        <w:t>, облачные сервисы, абонентское оборудование, телевидение, контент (создание таких дифференцирующих факторов поможет компании отличаться от конкурентов, транслировать особую ценность, предоставлять клиентам уникальный клиентский опыт, создавать новые виды продуктов и услуг);</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создание и поддержание стабильной доходности для акционеров (ведь самой важной частью процесса создания акционерной стоимости является постоянное и последовательное повышение эффективности бизнеса, основанное на использовании оптимальных технологических и организационных решений, контроле расходов, продуманной инвестиционной политике и совершен</w:t>
      </w:r>
      <w:r>
        <w:rPr>
          <w:rFonts w:ascii="Times New Roman" w:cs="Times New Roman" w:hAnsi="Times New Roman"/>
          <w:sz w:val="28"/>
        </w:rPr>
        <w:t>ствовании бизнес-процессов)</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Организационная структура управления –– это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Организационная структура управления может быть: линейной, функциональной, линейно-функциональной (линейно-штабной), </w:t>
      </w:r>
      <w:r>
        <w:rPr>
          <w:rFonts w:ascii="Times New Roman" w:cs="Times New Roman" w:hAnsi="Times New Roman"/>
          <w:sz w:val="28"/>
        </w:rPr>
        <w:t>дивизиональной</w:t>
      </w:r>
      <w:r>
        <w:rPr>
          <w:rFonts w:ascii="Times New Roman" w:cs="Times New Roman" w:hAnsi="Times New Roman"/>
          <w:sz w:val="28"/>
        </w:rPr>
        <w:t>, матричной, проектной</w:t>
      </w:r>
      <w:r>
        <w:rPr>
          <w:rFonts w:ascii="Times New Roman" w:cs="Times New Roman" w:hAnsi="Times New Roman"/>
          <w:sz w:val="28"/>
        </w:rPr>
        <w:t>. Организационная структура ПАО </w:t>
      </w:r>
      <w:r>
        <w:rPr>
          <w:rFonts w:ascii="Times New Roman" w:cs="Times New Roman" w:hAnsi="Times New Roman"/>
          <w:sz w:val="28"/>
        </w:rPr>
        <w:t>«МТС» пр</w:t>
      </w:r>
      <w:r>
        <w:rPr>
          <w:rFonts w:ascii="Times New Roman" w:cs="Times New Roman" w:hAnsi="Times New Roman"/>
          <w:sz w:val="28"/>
        </w:rPr>
        <w:t>едставлена на рисунке 1</w:t>
      </w:r>
      <w:r>
        <w:rPr>
          <w:rFonts w:ascii="Times New Roman" w:cs="Times New Roman" w:hAnsi="Times New Roman"/>
          <w:sz w:val="28"/>
        </w:rPr>
        <w:t>.1. Она является линейно-функциональной. Для неё характерно следующее: реализация принципов единоначалия, линейного построения структурных подразделений, распределения функций управления между ними, рационального сочетания цент</w:t>
      </w:r>
      <w:r>
        <w:rPr>
          <w:rFonts w:ascii="Times New Roman" w:cs="Times New Roman" w:hAnsi="Times New Roman"/>
          <w:sz w:val="28"/>
        </w:rPr>
        <w:t>рализации и децентрализации</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К органам управления ПАО «МТС» относят следующие: общее собрание акционеров, совет директоров, правление, президент. Общее собрание акционеров –– это высший орган управления ПАО «МТС». Порядок подготовки, созыва и проведения собрания определён Уставом и Положением об общем</w:t>
      </w:r>
      <w:r>
        <w:rPr>
          <w:rFonts w:ascii="Times New Roman" w:cs="Times New Roman" w:hAnsi="Times New Roman"/>
          <w:sz w:val="28"/>
        </w:rPr>
        <w:t xml:space="preserve"> собрании акционеров ПАО «МТС».</w:t>
      </w:r>
    </w:p>
    <w:p>
      <w:pPr>
        <w:pStyle w:val="style0"/>
        <w:spacing w:after="0" w:lineRule="auto" w:line="360"/>
        <w:ind w:right="-284" w:firstLine="709"/>
        <w:jc w:val="both"/>
        <w:rPr>
          <w:rFonts w:ascii="Times New Roman" w:cs="Times New Roman" w:hAnsi="Times New Roman"/>
          <w:sz w:val="28"/>
        </w:rPr>
      </w:pPr>
      <w:r>
        <w:rPr>
          <w:noProof/>
          <w:sz w:val="28"/>
          <w:szCs w:val="28"/>
          <w:lang w:eastAsia="ru-RU"/>
        </w:rPr>
        <w:drawing>
          <wp:inline distT="0" distB="0" distR="0" distL="0">
            <wp:extent cx="5314950" cy="2778760"/>
            <wp:effectExtent l="0" t="0" r="0" b="21590"/>
            <wp:docPr id="1026" name="Схема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style0"/>
        <w:spacing w:before="120" w:after="240" w:lineRule="auto" w:line="360"/>
        <w:ind w:right="-1" w:firstLine="709"/>
        <w:jc w:val="center"/>
        <w:rPr>
          <w:rFonts w:ascii="Times New Roman" w:cs="Times New Roman" w:hAnsi="Times New Roman"/>
          <w:sz w:val="28"/>
        </w:rPr>
      </w:pPr>
      <w:r>
        <w:rPr>
          <w:rFonts w:ascii="Times New Roman" w:cs="Times New Roman" w:hAnsi="Times New Roman"/>
          <w:sz w:val="28"/>
        </w:rPr>
        <w:t>Рисунок 1</w:t>
      </w:r>
      <w:r>
        <w:rPr>
          <w:rFonts w:ascii="Times New Roman" w:cs="Times New Roman" w:hAnsi="Times New Roman"/>
          <w:sz w:val="28"/>
        </w:rPr>
        <w:t>.1 –– Организационная структура управлен</w:t>
      </w:r>
      <w:r>
        <w:rPr>
          <w:rFonts w:ascii="Times New Roman" w:cs="Times New Roman" w:hAnsi="Times New Roman"/>
          <w:sz w:val="28"/>
        </w:rPr>
        <w:t>ия</w:t>
      </w:r>
      <w:r>
        <w:rPr>
          <w:rFonts w:ascii="Times New Roman" w:cs="Times New Roman" w:hAnsi="Times New Roman"/>
          <w:sz w:val="28"/>
        </w:rPr>
        <w:br/>
      </w:r>
      <w:r>
        <w:rPr>
          <w:rFonts w:ascii="Times New Roman" w:cs="Times New Roman" w:hAnsi="Times New Roman"/>
          <w:sz w:val="28"/>
        </w:rPr>
        <w:t>ПАО «МТС»</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Совет директоров осуществляет обще</w:t>
      </w:r>
      <w:r>
        <w:rPr>
          <w:rFonts w:ascii="Times New Roman" w:cs="Times New Roman" w:hAnsi="Times New Roman"/>
          <w:sz w:val="28"/>
        </w:rPr>
        <w:t>е руководство деятельностью ПАО </w:t>
      </w:r>
      <w:r>
        <w:rPr>
          <w:rFonts w:ascii="Times New Roman" w:cs="Times New Roman" w:hAnsi="Times New Roman"/>
          <w:sz w:val="28"/>
        </w:rPr>
        <w:t>«МТС». Он является ключевым элементом системы корпоративного управления, представляя интересы акционеров посредством эффективного управления. Процедура формирования, состав, цели, функции, задачи, полномочия, статус, порядок работы и взаимодействия с другими органами управления определены Уставом и Пол</w:t>
      </w:r>
      <w:r>
        <w:rPr>
          <w:rFonts w:ascii="Times New Roman" w:cs="Times New Roman" w:hAnsi="Times New Roman"/>
          <w:sz w:val="28"/>
        </w:rPr>
        <w:t>ожением о Совете директоров ПАО </w:t>
      </w:r>
      <w:r>
        <w:rPr>
          <w:rFonts w:ascii="Times New Roman" w:cs="Times New Roman" w:hAnsi="Times New Roman"/>
          <w:sz w:val="28"/>
        </w:rPr>
        <w:t xml:space="preserve">«МТС». </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Коллегиальным исполнительным органом ПАО «МТС» является Правление. Оно отвечает за организацию эффективного оперативного управления текущей деятельностью, в том числе обеспечивает реализацию решений Совета директоров в пределах существующих компетенций. Количественный и профессиональный состав Правления утверждается Советом директоров по предложения Президента. Председателем Правления </w:t>
      </w:r>
      <w:r>
        <w:rPr>
          <w:rFonts w:ascii="Times New Roman" w:cs="Times New Roman" w:hAnsi="Times New Roman"/>
          <w:sz w:val="28"/>
        </w:rPr>
        <w:t>является Президент ПАО «МТС». Деятельность правления регулируют Устав и Поло</w:t>
      </w:r>
      <w:r>
        <w:rPr>
          <w:rFonts w:ascii="Times New Roman" w:cs="Times New Roman" w:hAnsi="Times New Roman"/>
          <w:sz w:val="28"/>
        </w:rPr>
        <w:t>жение о Правлении ПАО «МТС»</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Президент –– единоличный исполнительный орган, который осуществляет оперативное управление текущей деятельностью компании. Его деятельность направлена на обеспечение прибыльности и конкурентоспособности компании, финансово-экономической устойчивости, обеспечение прав акционеров и социальных гарантий работников Компании. Президент руководствуется Уставом и Положением о Президенте ПАО «МТС». Независимый аудитор и Ревизионная комиссия осуществляют контроль финансово-хозяйственной деятельности организации.</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1.2</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Анализ ос</w:t>
      </w:r>
      <w:r>
        <w:rPr>
          <w:rFonts w:ascii="Times New Roman" w:cs="Times New Roman" w:eastAsia="Times New Roman" w:hAnsi="Times New Roman"/>
          <w:b/>
          <w:sz w:val="28"/>
          <w:szCs w:val="28"/>
          <w:lang w:eastAsia="ru-RU"/>
        </w:rPr>
        <w:t>новных финансовых показателей деятельности орга</w:t>
      </w:r>
      <w:r>
        <w:rPr>
          <w:rFonts w:ascii="Times New Roman" w:cs="Times New Roman" w:eastAsia="Times New Roman" w:hAnsi="Times New Roman"/>
          <w:b/>
          <w:sz w:val="28"/>
          <w:szCs w:val="28"/>
          <w:lang w:eastAsia="ru-RU"/>
        </w:rPr>
        <w:t>низации</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Анализ показателей деятельности организации необходимо проводить, используя бухгалтерский баланс, а также основные экономические показатели из отчета о финансовых результатах.</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Как свидетельствуют данные таб</w:t>
      </w:r>
      <w:r>
        <w:rPr>
          <w:rFonts w:ascii="Times New Roman" w:cs="Times New Roman" w:eastAsia="Times New Roman" w:hAnsi="Times New Roman"/>
          <w:sz w:val="28"/>
          <w:szCs w:val="28"/>
          <w:lang w:eastAsia="ru-RU"/>
        </w:rPr>
        <w:t>лицы 1</w:t>
      </w:r>
      <w:r>
        <w:rPr>
          <w:rFonts w:ascii="Times New Roman" w:cs="Times New Roman" w:eastAsia="Times New Roman" w:hAnsi="Times New Roman"/>
          <w:sz w:val="28"/>
          <w:szCs w:val="28"/>
          <w:lang w:eastAsia="ru-RU"/>
        </w:rPr>
        <w:t xml:space="preserve">.1, в организации преобладают </w:t>
      </w:r>
      <w:r>
        <w:rPr>
          <w:rFonts w:ascii="Times New Roman" w:cs="Times New Roman" w:eastAsia="Times New Roman" w:hAnsi="Times New Roman"/>
          <w:sz w:val="28"/>
          <w:szCs w:val="28"/>
          <w:lang w:eastAsia="ru-RU"/>
        </w:rPr>
        <w:t>внеоборотные</w:t>
      </w:r>
      <w:r>
        <w:rPr>
          <w:rFonts w:ascii="Times New Roman" w:cs="Times New Roman" w:eastAsia="Times New Roman" w:hAnsi="Times New Roman"/>
          <w:sz w:val="28"/>
          <w:szCs w:val="28"/>
          <w:lang w:eastAsia="ru-RU"/>
        </w:rPr>
        <w:t xml:space="preserve"> активы, что свидетельствует о «тяжелой» структуре баланса, что является отличительной чертой предприятий связи. Наблюдается рост доли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активов в структуре активов баланса с 79,9% до 81,6%. Соответственно снижается доля оборотных активов с 20,1% до 18,4%.</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 составе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активов компании важную долю занимают финансовые вложения, на их долю приходится 33,6%, в конце 2017 г. и 31,7% в конце 2019 г., но абсолютного снижения финансовых вложений не наблюдается, а снижение их в общей стоимости активов используется за счет роста остальных видов активов.</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Доля основных средств также занимает важную часть, на их долю приходится 32,0% в конце 2017 г. и 34,2% в конце 2019 г. Наблюдается рост </w:t>
      </w:r>
      <w:r>
        <w:rPr>
          <w:rFonts w:ascii="Times New Roman" w:cs="Times New Roman" w:eastAsia="Times New Roman" w:hAnsi="Times New Roman"/>
          <w:sz w:val="28"/>
          <w:szCs w:val="28"/>
          <w:lang w:eastAsia="ru-RU"/>
        </w:rPr>
        <w:t>доли значительных прав за применение программного обеспечения и прочих активов с 3,3% до 5,9%.</w:t>
      </w:r>
    </w:p>
    <w:p>
      <w:pPr>
        <w:pStyle w:val="style0"/>
        <w:spacing w:before="120" w:after="120" w:lineRule="auto" w:line="240"/>
        <w:ind w:left="1843" w:right="-1" w:hanging="1843"/>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Таблица 1</w:t>
      </w:r>
      <w:r>
        <w:rPr>
          <w:rFonts w:ascii="Times New Roman" w:cs="Times New Roman" w:eastAsia="Times New Roman" w:hAnsi="Times New Roman"/>
          <w:sz w:val="28"/>
          <w:szCs w:val="28"/>
          <w:lang w:eastAsia="ru-RU"/>
        </w:rPr>
        <w:t>.1 –– Динамика и структура активов ПАО «МТС».</w:t>
      </w:r>
    </w:p>
    <w:tbl>
      <w:tblPr>
        <w:tblW w:w="5158" w:type="pct"/>
        <w:tblInd w:w="-147" w:type="dxa"/>
        <w:tblLayout w:type="fixed"/>
        <w:tblLook w:val="00A0" w:firstRow="1" w:lastRow="0" w:firstColumn="1" w:lastColumn="0" w:noHBand="0" w:noVBand="0"/>
      </w:tblPr>
      <w:tblGrid>
        <w:gridCol w:w="1985"/>
        <w:gridCol w:w="852"/>
        <w:gridCol w:w="710"/>
        <w:gridCol w:w="848"/>
        <w:gridCol w:w="711"/>
        <w:gridCol w:w="848"/>
        <w:gridCol w:w="710"/>
        <w:gridCol w:w="710"/>
        <w:gridCol w:w="852"/>
        <w:gridCol w:w="708"/>
        <w:gridCol w:w="706"/>
      </w:tblGrid>
      <w:tr>
        <w:trPr>
          <w:trHeight w:val="600" w:hRule="atLeast"/>
        </w:trPr>
        <w:tc>
          <w:tcPr>
            <w:tcW w:w="1030" w:type="pct"/>
            <w:vMerge w:val="restart"/>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Показатели</w:t>
            </w:r>
          </w:p>
        </w:tc>
        <w:tc>
          <w:tcPr>
            <w:tcW w:w="810" w:type="pct"/>
            <w:gridSpan w:val="2"/>
            <w:tcBorders>
              <w:top w:val="single" w:sz="4" w:space="0" w:color="auto"/>
              <w:left w:val="nil"/>
              <w:bottom w:val="single" w:sz="4" w:space="0" w:color="auto"/>
              <w:right w:val="single" w:sz="4" w:space="0" w:color="000000"/>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2017 г.</w:t>
            </w:r>
          </w:p>
        </w:tc>
        <w:tc>
          <w:tcPr>
            <w:tcW w:w="809" w:type="pct"/>
            <w:gridSpan w:val="2"/>
            <w:tcBorders>
              <w:top w:val="single" w:sz="4" w:space="0" w:color="auto"/>
              <w:left w:val="nil"/>
              <w:bottom w:val="single" w:sz="4" w:space="0" w:color="auto"/>
              <w:right w:val="single" w:sz="4" w:space="0" w:color="000000"/>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w:t>
            </w:r>
          </w:p>
        </w:tc>
        <w:tc>
          <w:tcPr>
            <w:tcW w:w="808" w:type="pct"/>
            <w:gridSpan w:val="2"/>
            <w:tcBorders>
              <w:top w:val="single" w:sz="4" w:space="0" w:color="auto"/>
              <w:left w:val="nil"/>
              <w:bottom w:val="single" w:sz="4" w:space="0" w:color="auto"/>
              <w:right w:val="single" w:sz="4" w:space="0" w:color="000000"/>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w:t>
            </w:r>
          </w:p>
        </w:tc>
        <w:tc>
          <w:tcPr>
            <w:tcW w:w="810" w:type="pct"/>
            <w:gridSpan w:val="2"/>
            <w:tcBorders>
              <w:top w:val="single" w:sz="4" w:space="0" w:color="auto"/>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Изменение, млн. р. </w:t>
            </w:r>
          </w:p>
        </w:tc>
        <w:tc>
          <w:tcPr>
            <w:tcW w:w="735" w:type="pct"/>
            <w:gridSpan w:val="2"/>
            <w:tcBorders>
              <w:top w:val="single" w:sz="4" w:space="0" w:color="auto"/>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Темп роста, %</w:t>
            </w:r>
          </w:p>
        </w:tc>
      </w:tr>
      <w:tr>
        <w:tblPrEx/>
        <w:trPr>
          <w:trHeight w:val="549" w:hRule="atLeast"/>
        </w:trPr>
        <w:tc>
          <w:tcPr>
            <w:tcW w:w="1030" w:type="pct"/>
            <w:vMerge w:val="continue"/>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p>
        </w:tc>
        <w:tc>
          <w:tcPr>
            <w:tcW w:w="442"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367"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440"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368"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440"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367"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368"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 к 2017 г.</w:t>
            </w:r>
          </w:p>
        </w:tc>
        <w:tc>
          <w:tcPr>
            <w:tcW w:w="441"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c>
          <w:tcPr>
            <w:tcW w:w="367"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 к 2017 г.</w:t>
            </w:r>
          </w:p>
        </w:tc>
        <w:tc>
          <w:tcPr>
            <w:tcW w:w="368" w:type="pct"/>
            <w:tcBorders>
              <w:top w:val="nil"/>
              <w:left w:val="nil"/>
              <w:bottom w:val="single" w:sz="4" w:space="0" w:color="auto"/>
              <w:right w:val="single" w:sz="4" w:space="0" w:color="auto"/>
            </w:tcBorders>
            <w:vAlign w:val="center"/>
          </w:tcPr>
          <w:p>
            <w:pPr>
              <w:pStyle w:val="style0"/>
              <w:widowControl w:val="false"/>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r>
      <w:tr>
        <w:tblPrEx/>
        <w:trPr>
          <w:trHeight w:val="330"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 xml:space="preserve">1 I. </w:t>
            </w:r>
            <w:r>
              <w:rPr>
                <w:rFonts w:ascii="Times New Roman" w:cs="Times New Roman" w:eastAsia="Times New Roman" w:hAnsi="Times New Roman"/>
                <w:bCs/>
                <w:sz w:val="20"/>
                <w:szCs w:val="20"/>
                <w:lang w:eastAsia="ru-RU"/>
              </w:rPr>
              <w:t>Внеоборотные</w:t>
            </w:r>
            <w:r>
              <w:rPr>
                <w:rFonts w:ascii="Times New Roman" w:cs="Times New Roman" w:eastAsia="Times New Roman" w:hAnsi="Times New Roman"/>
                <w:bCs/>
                <w:sz w:val="20"/>
                <w:szCs w:val="20"/>
                <w:lang w:eastAsia="ru-RU"/>
              </w:rPr>
              <w:t xml:space="preserve">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353999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79,9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367037</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85,1</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401725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81,6</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13038</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34687</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103,7</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109,5</w:t>
            </w:r>
          </w:p>
        </w:tc>
      </w:tr>
      <w:tr>
        <w:tblPrEx/>
        <w:trPr>
          <w:trHeight w:val="330"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 Нематериальные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3703</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0,8</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4294</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5329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591</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116,0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124,1</w:t>
            </w:r>
          </w:p>
        </w:tc>
      </w:tr>
      <w:tr>
        <w:tblPrEx/>
        <w:trPr>
          <w:trHeight w:val="330" w:hRule="atLeast"/>
        </w:trPr>
        <w:tc>
          <w:tcPr>
            <w:tcW w:w="1030" w:type="pct"/>
            <w:tcBorders>
              <w:top w:val="nil"/>
              <w:left w:val="single" w:sz="4" w:space="0" w:color="auto"/>
              <w:bottom w:val="single" w:sz="4" w:space="0" w:color="auto"/>
              <w:right w:val="single" w:sz="4" w:space="0" w:color="auto"/>
            </w:tcBorders>
          </w:tcPr>
          <w:p>
            <w:pPr>
              <w:pStyle w:val="style0"/>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 Неисключительные права за использование программного обеспечения и прочих активов</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14639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3,3</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19348</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4,5</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29057</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5,9</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4709</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9709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132,2</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150,2</w:t>
            </w:r>
          </w:p>
        </w:tc>
      </w:tr>
      <w:tr>
        <w:tblPrEx/>
        <w:trPr>
          <w:trHeight w:val="90" w:hRule="atLeast"/>
        </w:trPr>
        <w:tc>
          <w:tcPr>
            <w:tcW w:w="1030" w:type="pct"/>
            <w:tcBorders>
              <w:top w:val="nil"/>
              <w:left w:val="single" w:sz="4" w:space="0" w:color="auto"/>
              <w:bottom w:val="single" w:sz="4" w:space="0" w:color="auto"/>
              <w:right w:val="single" w:sz="4" w:space="0" w:color="auto"/>
            </w:tcBorders>
          </w:tcPr>
          <w:p>
            <w:pPr>
              <w:pStyle w:val="style0"/>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4 Основные средства </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141870</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32,0</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150649</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34,9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168419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34,2</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8779</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17770</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106,2</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111,8</w:t>
            </w:r>
          </w:p>
        </w:tc>
      </w:tr>
      <w:tr>
        <w:tblPrEx/>
        <w:trPr>
          <w:trHeight w:val="315" w:hRule="atLeast"/>
        </w:trPr>
        <w:tc>
          <w:tcPr>
            <w:tcW w:w="1030" w:type="pct"/>
            <w:tcBorders>
              <w:top w:val="nil"/>
              <w:left w:val="single" w:sz="4" w:space="0" w:color="auto"/>
              <w:bottom w:val="single" w:sz="4" w:space="0" w:color="auto"/>
              <w:right w:val="single" w:sz="4" w:space="0" w:color="auto"/>
            </w:tcBorders>
          </w:tcPr>
          <w:p>
            <w:pPr>
              <w:pStyle w:val="style0"/>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 Незавершенные капитальные вложения</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34078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7,7</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32361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7,5</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32174</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6,5</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-1717</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-186</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95,0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99,4</w:t>
            </w:r>
          </w:p>
        </w:tc>
      </w:tr>
      <w:tr>
        <w:tblPrEx/>
        <w:trPr>
          <w:trHeight w:val="345"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 Финансовые вложения</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149043</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33,6</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150650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34,9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156302</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31,7</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1607</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5652</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101,1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103,8</w:t>
            </w:r>
          </w:p>
        </w:tc>
      </w:tr>
      <w:tr>
        <w:tblPrEx/>
        <w:trPr>
          <w:trHeight w:val="345"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 Отложенные налоговые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2504</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-2504</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r>
      <w:tr>
        <w:tblPrEx/>
        <w:trPr>
          <w:trHeight w:val="345" w:hRule="atLeast"/>
        </w:trPr>
        <w:tc>
          <w:tcPr>
            <w:tcW w:w="1030" w:type="pct"/>
            <w:tcBorders>
              <w:top w:val="nil"/>
              <w:left w:val="single" w:sz="4" w:space="0" w:color="auto"/>
              <w:bottom w:val="single" w:sz="4" w:space="0" w:color="auto"/>
              <w:right w:val="single" w:sz="4" w:space="0" w:color="auto"/>
            </w:tcBorders>
            <w:noWrap/>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8 Прочие </w:t>
            </w:r>
            <w:r>
              <w:rPr>
                <w:rFonts w:ascii="Times New Roman" w:cs="Times New Roman" w:eastAsia="Times New Roman" w:hAnsi="Times New Roman"/>
                <w:sz w:val="20"/>
                <w:szCs w:val="20"/>
                <w:lang w:eastAsia="ru-RU"/>
              </w:rPr>
              <w:t>внеоборотные</w:t>
            </w:r>
            <w:r>
              <w:rPr>
                <w:rFonts w:ascii="Times New Roman" w:cs="Times New Roman" w:eastAsia="Times New Roman" w:hAnsi="Times New Roman"/>
                <w:sz w:val="20"/>
                <w:szCs w:val="20"/>
                <w:lang w:eastAsia="ru-RU"/>
              </w:rPr>
              <w:t xml:space="preserve">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8162</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1,8</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9736</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2,3</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10443</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1574</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708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119,3</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107,3</w:t>
            </w:r>
          </w:p>
        </w:tc>
      </w:tr>
      <w:tr>
        <w:tblPrEx/>
        <w:trPr>
          <w:trHeight w:val="345"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9 II. Оборотные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89115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20,1</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64072</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14,9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90645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18,4</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-25043</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26573</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71,9</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141,5</w:t>
            </w:r>
          </w:p>
        </w:tc>
      </w:tr>
      <w:tr>
        <w:tblPrEx/>
        <w:trPr>
          <w:trHeight w:val="315"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 Запасы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965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0,2</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1220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0,3</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1308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0,3</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255</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126,5</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107,3</w:t>
            </w:r>
          </w:p>
        </w:tc>
      </w:tr>
      <w:tr>
        <w:tblPrEx/>
        <w:trPr>
          <w:trHeight w:val="375"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11 НДС по приобретенным ценностям </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4168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4212</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5011</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44</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798</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101,1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119,0</w:t>
            </w:r>
          </w:p>
        </w:tc>
      </w:tr>
      <w:tr>
        <w:tblPrEx/>
        <w:trPr>
          <w:trHeight w:val="360"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 Дебиторская задолженность</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49609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11,2</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35228</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8,2</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43137</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8,8</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-14381</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7909</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71,0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122,5</w:t>
            </w:r>
          </w:p>
        </w:tc>
      </w:tr>
      <w:tr>
        <w:tblPrEx/>
        <w:trPr>
          <w:trHeight w:val="360" w:hRule="atLeast"/>
        </w:trPr>
        <w:tc>
          <w:tcPr>
            <w:tcW w:w="1030"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13 Финансовые вложения </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21487</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4,8</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12240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2,8</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13735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2,8</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-9247</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1495</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57,0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112,2</w:t>
            </w:r>
          </w:p>
        </w:tc>
      </w:tr>
      <w:tr>
        <w:tblPrEx/>
        <w:trPr>
          <w:trHeight w:val="315" w:hRule="atLeast"/>
        </w:trPr>
        <w:tc>
          <w:tcPr>
            <w:tcW w:w="1030"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 Денежные средства</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12820</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10491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2,4</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27324</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5,5</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-2330</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16833</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81,8</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260,5</w:t>
            </w:r>
          </w:p>
        </w:tc>
      </w:tr>
      <w:tr>
        <w:tblPrEx/>
        <w:trPr>
          <w:trHeight w:val="315" w:hRule="atLeast"/>
        </w:trPr>
        <w:tc>
          <w:tcPr>
            <w:tcW w:w="1030"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 Прочие оборотные активы</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66</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681</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0,2</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130</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615</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-551</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1035,4</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19,1</w:t>
            </w:r>
          </w:p>
        </w:tc>
      </w:tr>
      <w:tr>
        <w:tblPrEx/>
        <w:trPr>
          <w:trHeight w:val="330" w:hRule="atLeast"/>
        </w:trPr>
        <w:tc>
          <w:tcPr>
            <w:tcW w:w="1030"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16 БАЛАНС</w:t>
            </w:r>
          </w:p>
        </w:tc>
        <w:tc>
          <w:tcPr>
            <w:tcW w:w="442"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443114</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100,0</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431109</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100,0</w:t>
            </w:r>
          </w:p>
        </w:tc>
        <w:tc>
          <w:tcPr>
            <w:tcW w:w="440"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492370</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100,0</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-12005</w:t>
            </w:r>
          </w:p>
        </w:tc>
        <w:tc>
          <w:tcPr>
            <w:tcW w:w="44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61261</w:t>
            </w:r>
          </w:p>
        </w:tc>
        <w:tc>
          <w:tcPr>
            <w:tcW w:w="36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97,3</w:t>
            </w:r>
          </w:p>
        </w:tc>
        <w:tc>
          <w:tcPr>
            <w:tcW w:w="36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114,2</w:t>
            </w:r>
          </w:p>
        </w:tc>
      </w:tr>
    </w:tbl>
    <w:p>
      <w:pPr>
        <w:pStyle w:val="style0"/>
        <w:spacing w:before="240"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Наблюдаются и значительные изменения в структуре оборотных активов. Если в конце 2017 г. на долю дебиторской задолженности </w:t>
      </w:r>
      <w:r>
        <w:rPr>
          <w:rFonts w:ascii="Times New Roman" w:cs="Times New Roman" w:eastAsia="Times New Roman" w:hAnsi="Times New Roman"/>
          <w:sz w:val="28"/>
          <w:szCs w:val="28"/>
          <w:lang w:eastAsia="ru-RU"/>
        </w:rPr>
        <w:t>приходилось 11,2%, то в конце 2019 г. их доля снизилась до 8,8%, что свидетельствует улучшению платежной дисциплины покупателей и заказчиков. Все же уровень денежных средств увеличился с 2,9% до 5,5%.</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 конце 2019 г. активы имеют значительную положительную динамику (14,2%), что также оценивается отрицательно, так как темпы роста активов превышают темпы роста выручки.</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 конце 2018 г., рост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активов преобладает тогда, как оборотные активы уменьшаются, что оказывается «плохим» признаком баланса. Рост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активов происходит за всех видов за исключением незавершенных капитальных вложений. Основное снижение оборотных активов осуществилось за счет снижения финансовых вложений (43,0%), дебиторской задолженности (29,0%) и снижения денежных средств на счетах компании (18,2%). </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В конце 2019 г. рост оборотных активов превышает рост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активов, что является хорошим признаком баланса. На значительный рост оборотных активов повлиял рост денежных средств в 2,6 раза, рост дебиторской задолженности на 22,5%, рост финансовых вложений на 12,2%. Во </w:t>
      </w:r>
      <w:r>
        <w:rPr>
          <w:rFonts w:ascii="Times New Roman" w:cs="Times New Roman" w:eastAsia="Times New Roman" w:hAnsi="Times New Roman"/>
          <w:sz w:val="28"/>
          <w:szCs w:val="28"/>
          <w:lang w:eastAsia="ru-RU"/>
        </w:rPr>
        <w:t>внеоборотных</w:t>
      </w:r>
      <w:r>
        <w:rPr>
          <w:rFonts w:ascii="Times New Roman" w:cs="Times New Roman" w:eastAsia="Times New Roman" w:hAnsi="Times New Roman"/>
          <w:sz w:val="28"/>
          <w:szCs w:val="28"/>
          <w:lang w:eastAsia="ru-RU"/>
        </w:rPr>
        <w:t xml:space="preserve"> активах рост происходит за счет роста стоимости неисключительных прав, за использование программного обеспечения и прочих активов (50,2%) и роста основных средств (11,8%).</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Как свидетельствуют данные таблицы </w:t>
      </w:r>
      <w:r>
        <w:rPr>
          <w:rFonts w:ascii="Times New Roman" w:cs="Times New Roman" w:eastAsia="Times New Roman" w:hAnsi="Times New Roman"/>
          <w:sz w:val="28"/>
          <w:szCs w:val="28"/>
          <w:lang w:eastAsia="ru-RU"/>
        </w:rPr>
        <w:t>1</w:t>
      </w:r>
      <w:r>
        <w:rPr>
          <w:rFonts w:ascii="Times New Roman" w:cs="Times New Roman" w:eastAsia="Times New Roman" w:hAnsi="Times New Roman"/>
          <w:sz w:val="28"/>
          <w:szCs w:val="28"/>
          <w:lang w:eastAsia="ru-RU"/>
        </w:rPr>
        <w:t xml:space="preserve">.2, результатом анализа структуры пассивов является высокий уровень финансовой зависимости от заемных источников финансирования, так как на долю капитала и резервов приходится 26,8% источников формирования </w:t>
      </w:r>
      <w:r>
        <w:rPr>
          <w:rFonts w:ascii="Times New Roman" w:cs="Times New Roman" w:eastAsia="Times New Roman" w:hAnsi="Times New Roman"/>
          <w:sz w:val="28"/>
          <w:szCs w:val="28"/>
          <w:lang w:eastAsia="ru-RU"/>
        </w:rPr>
        <w:t>активов в конце 2017 г. и 16,5% </w:t>
      </w:r>
      <w:r>
        <w:rPr>
          <w:rFonts w:ascii="Times New Roman" w:cs="Times New Roman" w:eastAsia="Times New Roman" w:hAnsi="Times New Roman"/>
          <w:sz w:val="28"/>
          <w:szCs w:val="28"/>
          <w:lang w:eastAsia="ru-RU"/>
        </w:rPr>
        <w:t xml:space="preserve">–– в конце 2019 г. Наблюдается рост финансовой зависимости компании от заемных источников финансирования, что является негативным фактором. Увеличение доли долгосрочных обязательств с 50,2% до 57,5% положительно характеризует управленческие финансовые технологии финансового менеджмента компании. </w:t>
      </w:r>
    </w:p>
    <w:p>
      <w:pPr>
        <w:pStyle w:val="style0"/>
        <w:spacing w:after="0" w:lineRule="auto" w:line="360"/>
        <w:ind w:right="-1" w:firstLine="709"/>
        <w:jc w:val="both"/>
        <w:rPr>
          <w:rFonts w:ascii="Times New Roman" w:cs="Times New Roman" w:eastAsia="Times New Roman" w:hAnsi="Times New Roman"/>
          <w:sz w:val="28"/>
          <w:szCs w:val="28"/>
          <w:lang w:eastAsia="ru-RU"/>
        </w:rPr>
      </w:pPr>
    </w:p>
    <w:p>
      <w:pPr>
        <w:pStyle w:val="style0"/>
        <w:widowControl w:val="false"/>
        <w:spacing w:before="120" w:after="120" w:lineRule="auto" w:line="240"/>
        <w:ind w:left="1843" w:right="-1" w:hanging="1843"/>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Таблица 1</w:t>
      </w:r>
      <w:r>
        <w:rPr>
          <w:rFonts w:ascii="Times New Roman" w:cs="Times New Roman" w:eastAsia="Times New Roman" w:hAnsi="Times New Roman"/>
          <w:sz w:val="28"/>
          <w:szCs w:val="28"/>
          <w:lang w:eastAsia="ru-RU"/>
        </w:rPr>
        <w:t>.2 –– Динамика и структура пассивов ПАО «МТС».</w:t>
      </w:r>
    </w:p>
    <w:tbl>
      <w:tblPr>
        <w:tblW w:w="9497" w:type="dxa"/>
        <w:tblInd w:w="-5" w:type="dxa"/>
        <w:tblLayout w:type="fixed"/>
        <w:tblLook w:val="00A0" w:firstRow="1" w:lastRow="0" w:firstColumn="1" w:lastColumn="0" w:noHBand="0" w:noVBand="0"/>
      </w:tblPr>
      <w:tblGrid>
        <w:gridCol w:w="1843"/>
        <w:gridCol w:w="850"/>
        <w:gridCol w:w="680"/>
        <w:gridCol w:w="851"/>
        <w:gridCol w:w="709"/>
        <w:gridCol w:w="850"/>
        <w:gridCol w:w="708"/>
        <w:gridCol w:w="880"/>
        <w:gridCol w:w="709"/>
        <w:gridCol w:w="709"/>
        <w:gridCol w:w="708"/>
      </w:tblGrid>
      <w:tr>
        <w:trPr>
          <w:trHeight w:val="300" w:hRule="atLeast"/>
        </w:trPr>
        <w:tc>
          <w:tcPr>
            <w:tcW w:w="1843" w:type="dxa"/>
            <w:vMerge w:val="restart"/>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Показатели</w:t>
            </w:r>
          </w:p>
        </w:tc>
        <w:tc>
          <w:tcPr>
            <w:tcW w:w="1530" w:type="dxa"/>
            <w:gridSpan w:val="2"/>
            <w:tcBorders>
              <w:top w:val="single" w:sz="4" w:space="0" w:color="auto"/>
              <w:left w:val="nil"/>
              <w:bottom w:val="single" w:sz="4" w:space="0" w:color="auto"/>
              <w:right w:val="single" w:sz="4" w:space="0" w:color="000000"/>
            </w:tcBorders>
          </w:tcPr>
          <w:p>
            <w:pPr>
              <w:pStyle w:val="style0"/>
              <w:widowControl w:val="false"/>
              <w:spacing w:after="0" w:lineRule="auto" w:line="240"/>
              <w:jc w:val="center"/>
              <w:rPr>
                <w:rFonts w:ascii="Times New Roman" w:cs="Times New Roman" w:eastAsia="Times New Roman" w:hAnsi="Times New Roman"/>
                <w:sz w:val="20"/>
                <w:szCs w:val="20"/>
                <w:lang w:eastAsia="ru-RU"/>
              </w:rPr>
            </w:pPr>
          </w:p>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2017 г.</w:t>
            </w:r>
          </w:p>
          <w:p>
            <w:pPr>
              <w:pStyle w:val="style0"/>
              <w:widowControl w:val="false"/>
              <w:spacing w:after="0" w:lineRule="auto" w:line="240"/>
              <w:jc w:val="both"/>
              <w:rPr>
                <w:rFonts w:ascii="Times New Roman" w:cs="Times New Roman" w:eastAsia="Times New Roman" w:hAnsi="Times New Roman"/>
                <w:sz w:val="20"/>
                <w:szCs w:val="20"/>
                <w:lang w:eastAsia="ru-RU"/>
              </w:rPr>
            </w:pPr>
          </w:p>
        </w:tc>
        <w:tc>
          <w:tcPr>
            <w:tcW w:w="1560" w:type="dxa"/>
            <w:gridSpan w:val="2"/>
            <w:tcBorders>
              <w:top w:val="single" w:sz="4" w:space="0" w:color="auto"/>
              <w:left w:val="nil"/>
              <w:bottom w:val="single" w:sz="4" w:space="0" w:color="auto"/>
              <w:right w:val="single" w:sz="4" w:space="0" w:color="000000"/>
            </w:tcBorders>
          </w:tcPr>
          <w:p>
            <w:pPr>
              <w:pStyle w:val="style0"/>
              <w:widowControl w:val="false"/>
              <w:spacing w:after="0" w:lineRule="auto" w:line="240"/>
              <w:jc w:val="center"/>
              <w:rPr>
                <w:rFonts w:ascii="Times New Roman" w:cs="Times New Roman" w:eastAsia="Times New Roman" w:hAnsi="Times New Roman"/>
                <w:sz w:val="20"/>
                <w:szCs w:val="20"/>
                <w:lang w:eastAsia="ru-RU"/>
              </w:rPr>
            </w:pPr>
          </w:p>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w:t>
            </w:r>
          </w:p>
        </w:tc>
        <w:tc>
          <w:tcPr>
            <w:tcW w:w="1558" w:type="dxa"/>
            <w:gridSpan w:val="2"/>
            <w:tcBorders>
              <w:top w:val="single" w:sz="4" w:space="0" w:color="auto"/>
              <w:left w:val="nil"/>
              <w:bottom w:val="single" w:sz="4" w:space="0" w:color="auto"/>
              <w:right w:val="single" w:sz="4" w:space="0" w:color="000000"/>
            </w:tcBorders>
          </w:tcPr>
          <w:p>
            <w:pPr>
              <w:pStyle w:val="style0"/>
              <w:widowControl w:val="false"/>
              <w:spacing w:after="0" w:lineRule="auto" w:line="240"/>
              <w:jc w:val="center"/>
              <w:rPr>
                <w:rFonts w:ascii="Times New Roman" w:cs="Times New Roman" w:eastAsia="Times New Roman" w:hAnsi="Times New Roman"/>
                <w:sz w:val="20"/>
                <w:szCs w:val="20"/>
                <w:lang w:eastAsia="ru-RU"/>
              </w:rPr>
            </w:pPr>
          </w:p>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w:t>
            </w:r>
          </w:p>
        </w:tc>
        <w:tc>
          <w:tcPr>
            <w:tcW w:w="1589" w:type="dxa"/>
            <w:gridSpan w:val="2"/>
            <w:tcBorders>
              <w:top w:val="single" w:sz="4" w:space="0" w:color="auto"/>
              <w:left w:val="nil"/>
              <w:bottom w:val="single" w:sz="4" w:space="0" w:color="auto"/>
              <w:right w:val="single" w:sz="4" w:space="0" w:color="auto"/>
            </w:tcBorders>
          </w:tcPr>
          <w:p>
            <w:pPr>
              <w:pStyle w:val="style0"/>
              <w:widowControl w:val="false"/>
              <w:spacing w:before="120"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Изменение, млн. р.</w:t>
            </w:r>
          </w:p>
        </w:tc>
        <w:tc>
          <w:tcPr>
            <w:tcW w:w="1417" w:type="dxa"/>
            <w:gridSpan w:val="2"/>
            <w:tcBorders>
              <w:top w:val="single" w:sz="4" w:space="0" w:color="auto"/>
              <w:left w:val="nil"/>
              <w:bottom w:val="single" w:sz="4" w:space="0" w:color="auto"/>
              <w:right w:val="single" w:sz="4" w:space="0" w:color="auto"/>
            </w:tcBorders>
          </w:tcPr>
          <w:p>
            <w:pPr>
              <w:pStyle w:val="style0"/>
              <w:widowControl w:val="false"/>
              <w:spacing w:before="120"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Темп роста, %</w:t>
            </w:r>
          </w:p>
        </w:tc>
      </w:tr>
      <w:tr>
        <w:tblPrEx/>
        <w:trPr>
          <w:trHeight w:val="715" w:hRule="atLeast"/>
        </w:trPr>
        <w:tc>
          <w:tcPr>
            <w:tcW w:w="184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680"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851"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709"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850"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млн. р.</w:t>
            </w:r>
          </w:p>
        </w:tc>
        <w:tc>
          <w:tcPr>
            <w:tcW w:w="708"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в % к итогу</w:t>
            </w:r>
          </w:p>
        </w:tc>
        <w:tc>
          <w:tcPr>
            <w:tcW w:w="880"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w:t>
            </w:r>
            <w:r>
              <w:rPr>
                <w:rFonts w:ascii="Times New Roman" w:cs="Times New Roman" w:eastAsia="Times New Roman" w:hAnsi="Times New Roman"/>
                <w:sz w:val="20"/>
                <w:szCs w:val="20"/>
                <w:lang w:eastAsia="ru-RU"/>
              </w:rPr>
              <w:t>г.</w:t>
            </w:r>
            <w:r>
              <w:rPr>
                <w:rFonts w:ascii="Times New Roman" w:cs="Times New Roman" w:eastAsia="Times New Roman" w:hAnsi="Times New Roman"/>
                <w:sz w:val="20"/>
                <w:szCs w:val="20"/>
                <w:lang w:eastAsia="ru-RU"/>
              </w:rPr>
              <w:t>к</w:t>
            </w:r>
            <w:r>
              <w:rPr>
                <w:rFonts w:ascii="Times New Roman" w:cs="Times New Roman" w:eastAsia="Times New Roman" w:hAnsi="Times New Roman"/>
                <w:sz w:val="20"/>
                <w:szCs w:val="20"/>
                <w:lang w:eastAsia="ru-RU"/>
              </w:rPr>
              <w:t xml:space="preserve"> </w:t>
            </w:r>
            <w:r>
              <w:rPr>
                <w:rFonts w:ascii="Times New Roman" w:cs="Times New Roman" w:eastAsia="Times New Roman" w:hAnsi="Times New Roman"/>
                <w:sz w:val="20"/>
                <w:szCs w:val="20"/>
                <w:lang w:eastAsia="ru-RU"/>
              </w:rPr>
              <w:t>2017 г.</w:t>
            </w:r>
          </w:p>
        </w:tc>
        <w:tc>
          <w:tcPr>
            <w:tcW w:w="709"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c>
          <w:tcPr>
            <w:tcW w:w="709"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 к 2017 г.</w:t>
            </w:r>
          </w:p>
        </w:tc>
        <w:tc>
          <w:tcPr>
            <w:tcW w:w="708" w:type="dxa"/>
            <w:tcBorders>
              <w:top w:val="nil"/>
              <w:left w:val="nil"/>
              <w:bottom w:val="single" w:sz="4" w:space="0" w:color="auto"/>
              <w:right w:val="single" w:sz="4" w:space="0" w:color="auto"/>
            </w:tcBorders>
            <w:vAlign w:val="center"/>
          </w:tcPr>
          <w:p>
            <w:pPr>
              <w:pStyle w:val="style0"/>
              <w:widowControl w:val="false"/>
              <w:spacing w:after="0" w:lineRule="auto" w:line="240"/>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r>
      <w:tr>
        <w:tblPrEx/>
        <w:trPr>
          <w:trHeight w:val="1019"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 III. Капитал и резервы</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118570</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26,8</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118310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27,4</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81134</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16,5</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-260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-37176</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99,8</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68,6</w:t>
            </w:r>
          </w:p>
        </w:tc>
      </w:tr>
      <w:tr>
        <w:tblPrEx/>
        <w:trPr>
          <w:trHeight w:val="315" w:hRule="atLeast"/>
        </w:trPr>
        <w:tc>
          <w:tcPr>
            <w:tcW w:w="1843" w:type="dxa"/>
            <w:tcBorders>
              <w:top w:val="single" w:sz="4" w:space="0" w:color="auto"/>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xml:space="preserve">2 Уставный капитал </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207</w:t>
            </w:r>
          </w:p>
        </w:tc>
        <w:tc>
          <w:tcPr>
            <w:tcW w:w="6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0,05</w:t>
            </w:r>
          </w:p>
        </w:tc>
        <w:tc>
          <w:tcPr>
            <w:tcW w:w="851"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207</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0,05</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207</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0,04</w:t>
            </w:r>
          </w:p>
        </w:tc>
        <w:tc>
          <w:tcPr>
            <w:tcW w:w="8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
            </w: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100,0</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100,0</w:t>
            </w:r>
          </w:p>
        </w:tc>
      </w:tr>
      <w:tr>
        <w:tblPrEx/>
        <w:trPr>
          <w:trHeight w:val="315"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 Добавочный капитал (без переоценки)</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7387</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7360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7363</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-27</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99,6</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100,0</w:t>
            </w:r>
          </w:p>
        </w:tc>
      </w:tr>
      <w:tr>
        <w:tblPrEx/>
        <w:trPr>
          <w:trHeight w:val="345"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 Резервный капитал</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31</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0,007</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31</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0,007</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31</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0,006</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100,0</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100,0</w:t>
            </w:r>
          </w:p>
        </w:tc>
      </w:tr>
      <w:tr>
        <w:tblPrEx/>
        <w:trPr>
          <w:trHeight w:val="581"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 Нераспределенная прибыль</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110946</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25,0</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110733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25,7</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73536</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14,9</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-371 97</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99,8</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66,4</w:t>
            </w:r>
          </w:p>
        </w:tc>
      </w:tr>
      <w:tr>
        <w:tblPrEx/>
        <w:trPr>
          <w:trHeight w:val="375"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 IV. Долгосрочные обязательства</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222659</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50,2</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217119</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50,4</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283139</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57,5</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-5540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66020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97,5</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130,4</w:t>
            </w:r>
          </w:p>
        </w:tc>
      </w:tr>
      <w:tr>
        <w:tblPrEx/>
        <w:trPr>
          <w:trHeight w:val="315" w:hRule="atLeast"/>
        </w:trPr>
        <w:tc>
          <w:tcPr>
            <w:tcW w:w="1843" w:type="dxa"/>
            <w:tcBorders>
              <w:top w:val="single" w:sz="4" w:space="0" w:color="auto"/>
              <w:left w:val="single" w:sz="4" w:space="0" w:color="auto"/>
              <w:bottom w:val="single" w:sz="4" w:space="0" w:color="auto"/>
              <w:right w:val="single" w:sz="4" w:space="0" w:color="auto"/>
            </w:tcBorders>
            <w:noWrap/>
            <w:vAlign w:val="bottom"/>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 Заемные средства</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217067</w:t>
            </w:r>
          </w:p>
        </w:tc>
        <w:tc>
          <w:tcPr>
            <w:tcW w:w="6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49,0</w:t>
            </w:r>
          </w:p>
        </w:tc>
        <w:tc>
          <w:tcPr>
            <w:tcW w:w="851"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206881</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48,0</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268045</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54,4</w:t>
            </w:r>
          </w:p>
        </w:tc>
        <w:tc>
          <w:tcPr>
            <w:tcW w:w="8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-10186</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61164</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95,3</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129,6</w:t>
            </w:r>
          </w:p>
        </w:tc>
      </w:tr>
      <w:tr>
        <w:tblPrEx/>
        <w:trPr>
          <w:trHeight w:val="315" w:hRule="atLeast"/>
        </w:trPr>
        <w:tc>
          <w:tcPr>
            <w:tcW w:w="1843" w:type="dxa"/>
            <w:tcBorders>
              <w:top w:val="single" w:sz="4" w:space="0" w:color="auto"/>
              <w:left w:val="single" w:sz="4" w:space="0" w:color="auto"/>
              <w:bottom w:val="single" w:sz="4" w:space="0" w:color="auto"/>
              <w:right w:val="single" w:sz="4" w:space="0" w:color="auto"/>
            </w:tcBorders>
            <w:noWrap/>
            <w:vAlign w:val="bottom"/>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 Отложенные налоговые обязательства</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6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851"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4830</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10694</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2,2</w:t>
            </w:r>
          </w:p>
        </w:tc>
        <w:tc>
          <w:tcPr>
            <w:tcW w:w="8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4830</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5864</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221,4</w:t>
            </w:r>
          </w:p>
        </w:tc>
      </w:tr>
      <w:tr>
        <w:tblPrEx/>
        <w:trPr>
          <w:trHeight w:val="315" w:hRule="atLeast"/>
        </w:trPr>
        <w:tc>
          <w:tcPr>
            <w:tcW w:w="1843" w:type="dxa"/>
            <w:tcBorders>
              <w:top w:val="nil"/>
              <w:left w:val="single" w:sz="4" w:space="0" w:color="auto"/>
              <w:bottom w:val="single" w:sz="4" w:space="0" w:color="auto"/>
              <w:right w:val="single" w:sz="4" w:space="0" w:color="auto"/>
            </w:tcBorders>
            <w:noWrap/>
            <w:vAlign w:val="bottom"/>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 Оценочные обязательства</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2378</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2470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1539</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0,3</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-931</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103,9</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62,3</w:t>
            </w:r>
          </w:p>
        </w:tc>
      </w:tr>
      <w:tr>
        <w:tblPrEx/>
        <w:trPr>
          <w:trHeight w:val="315" w:hRule="atLeast"/>
        </w:trPr>
        <w:tc>
          <w:tcPr>
            <w:tcW w:w="1843" w:type="dxa"/>
            <w:tcBorders>
              <w:top w:val="nil"/>
              <w:left w:val="single" w:sz="4" w:space="0" w:color="auto"/>
              <w:bottom w:val="single" w:sz="4" w:space="0" w:color="auto"/>
              <w:right w:val="single" w:sz="4" w:space="0" w:color="auto"/>
            </w:tcBorders>
            <w:noWrap/>
            <w:vAlign w:val="bottom"/>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 Прочие долгосрочные обязательства</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3215</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0,7</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2938</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0,7</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2861</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-277</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-77</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91,4</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97,4</w:t>
            </w:r>
          </w:p>
        </w:tc>
      </w:tr>
      <w:tr>
        <w:tblPrEx/>
        <w:trPr>
          <w:trHeight w:val="315"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11 V. Краткосрочные обязательства</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101885</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23,0</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95680</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22,2</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128097</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26,0</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-6205</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32417</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93,9</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133,9</w:t>
            </w:r>
          </w:p>
        </w:tc>
      </w:tr>
      <w:tr>
        <w:tblPrEx/>
        <w:trPr>
          <w:trHeight w:val="513" w:hRule="atLeast"/>
        </w:trPr>
        <w:tc>
          <w:tcPr>
            <w:tcW w:w="1843" w:type="dxa"/>
            <w:tcBorders>
              <w:top w:val="single" w:sz="4" w:space="0" w:color="auto"/>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 Заемные средства</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40969</w:t>
            </w:r>
          </w:p>
        </w:tc>
        <w:tc>
          <w:tcPr>
            <w:tcW w:w="6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9,2</w:t>
            </w:r>
          </w:p>
          <w:p>
            <w:pPr>
              <w:pStyle w:val="style0"/>
              <w:spacing w:after="0" w:lineRule="auto" w:line="240"/>
              <w:jc w:val="right"/>
              <w:rPr>
                <w:rFonts w:ascii="Times New Roman" w:cs="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33523</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7,8</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47088</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9,6</w:t>
            </w:r>
          </w:p>
        </w:tc>
        <w:tc>
          <w:tcPr>
            <w:tcW w:w="8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-7446</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13565</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81,8</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140,5</w:t>
            </w:r>
          </w:p>
        </w:tc>
      </w:tr>
      <w:tr>
        <w:tblPrEx/>
        <w:trPr>
          <w:trHeight w:val="330" w:hRule="atLeast"/>
        </w:trPr>
        <w:tc>
          <w:tcPr>
            <w:tcW w:w="1843" w:type="dxa"/>
            <w:tcBorders>
              <w:top w:val="single" w:sz="4" w:space="0" w:color="auto"/>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 Кредиторская задолженность</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45815</w:t>
            </w:r>
          </w:p>
        </w:tc>
        <w:tc>
          <w:tcPr>
            <w:tcW w:w="6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10,3</w:t>
            </w:r>
          </w:p>
        </w:tc>
        <w:tc>
          <w:tcPr>
            <w:tcW w:w="851"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48930</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11,3</w:t>
            </w:r>
          </w:p>
        </w:tc>
        <w:tc>
          <w:tcPr>
            <w:tcW w:w="85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70732</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14,4</w:t>
            </w:r>
          </w:p>
        </w:tc>
        <w:tc>
          <w:tcPr>
            <w:tcW w:w="880"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3115</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21801</w:t>
            </w:r>
          </w:p>
        </w:tc>
        <w:tc>
          <w:tcPr>
            <w:tcW w:w="709"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106,8</w:t>
            </w:r>
          </w:p>
        </w:tc>
        <w:tc>
          <w:tcPr>
            <w:tcW w:w="708" w:type="dxa"/>
            <w:tcBorders>
              <w:top w:val="single" w:sz="4" w:space="0" w:color="auto"/>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144,6</w:t>
            </w:r>
          </w:p>
        </w:tc>
      </w:tr>
      <w:tr>
        <w:tblPrEx/>
        <w:trPr>
          <w:trHeight w:val="330" w:hRule="atLeast"/>
        </w:trPr>
        <w:tc>
          <w:tcPr>
            <w:tcW w:w="1843"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 Доходы будущих периодов</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2242</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0,5</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2663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2642</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0,5</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421</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118,8</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99,2</w:t>
            </w:r>
          </w:p>
        </w:tc>
      </w:tr>
      <w:tr>
        <w:tblPrEx/>
        <w:trPr>
          <w:trHeight w:val="330" w:hRule="atLeast"/>
        </w:trPr>
        <w:tc>
          <w:tcPr>
            <w:tcW w:w="1843" w:type="dxa"/>
            <w:tcBorders>
              <w:top w:val="nil"/>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 Оценочные обязательства</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12859</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10563</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7635</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1,6</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-2296</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-2929</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82,1</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72,3</w:t>
            </w:r>
          </w:p>
        </w:tc>
      </w:tr>
      <w:tr>
        <w:tblPrEx/>
        <w:trPr>
          <w:trHeight w:val="345" w:hRule="atLeast"/>
        </w:trPr>
        <w:tc>
          <w:tcPr>
            <w:tcW w:w="1843" w:type="dxa"/>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16 БАЛАНС</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443114</w:t>
            </w:r>
          </w:p>
        </w:tc>
        <w:tc>
          <w:tcPr>
            <w:tcW w:w="6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w:t>
            </w:r>
          </w:p>
        </w:tc>
        <w:tc>
          <w:tcPr>
            <w:tcW w:w="851"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431109</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w:t>
            </w:r>
          </w:p>
        </w:tc>
        <w:tc>
          <w:tcPr>
            <w:tcW w:w="85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492370</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100</w:t>
            </w:r>
          </w:p>
        </w:tc>
        <w:tc>
          <w:tcPr>
            <w:tcW w:w="880"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-12005</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bCs/>
                <w:sz w:val="20"/>
                <w:szCs w:val="20"/>
                <w:lang w:eastAsia="ru-RU"/>
              </w:rPr>
            </w:pPr>
            <w:r>
              <w:rPr>
                <w:rFonts w:ascii="Times New Roman" w:cs="Times New Roman" w:eastAsia="Times New Roman" w:hAnsi="Times New Roman"/>
                <w:bCs/>
                <w:sz w:val="20"/>
                <w:szCs w:val="20"/>
                <w:lang w:eastAsia="ru-RU"/>
              </w:rPr>
              <w:t>61261</w:t>
            </w:r>
          </w:p>
        </w:tc>
        <w:tc>
          <w:tcPr>
            <w:tcW w:w="709"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97,3</w:t>
            </w:r>
          </w:p>
        </w:tc>
        <w:tc>
          <w:tcPr>
            <w:tcW w:w="708" w:type="dxa"/>
            <w:tcBorders>
              <w:top w:val="nil"/>
              <w:left w:val="nil"/>
              <w:bottom w:val="single" w:sz="4" w:space="0" w:color="auto"/>
              <w:right w:val="single" w:sz="4" w:space="0" w:color="auto"/>
            </w:tcBorders>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114,2</w:t>
            </w:r>
          </w:p>
        </w:tc>
      </w:tr>
    </w:tbl>
    <w:p>
      <w:pPr>
        <w:pStyle w:val="style0"/>
        <w:spacing w:before="240"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Долгосрочные заемные средства, как правило, выдаются под меньшие проценты. Притом компания применяет и краткосрочные заемные средства, на их долю приходится от 9,2% до 9,6% в составе источников формирования активов. В целом краткосрочные обязательства занимают более значительный удельный вес, в составе источников формирования активов, чем оборотные </w:t>
      </w:r>
      <w:r>
        <w:rPr>
          <w:rFonts w:ascii="Times New Roman" w:cs="Times New Roman" w:eastAsia="Times New Roman" w:hAnsi="Times New Roman"/>
          <w:sz w:val="28"/>
          <w:szCs w:val="28"/>
          <w:lang w:eastAsia="ru-RU"/>
        </w:rPr>
        <w:t>активы в составе активов. Такая тенденция наблюдается все три года, что оказывается свидетельством низкого уровня текущей ликвидности компании и свидетельствует о неудовлетворительной структуре баланса.</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Можно отметить снижение капитала и резервов незначительное в конце 2018 г. и существенное (31,4%) в конце 2019 г., что является негативным фактором и свидетельствует об увеличении финансовой зависимос</w:t>
      </w:r>
      <w:r>
        <w:rPr>
          <w:rFonts w:ascii="Times New Roman" w:cs="Times New Roman" w:eastAsia="Times New Roman" w:hAnsi="Times New Roman"/>
          <w:sz w:val="28"/>
          <w:szCs w:val="28"/>
          <w:lang w:eastAsia="ru-RU"/>
        </w:rPr>
        <w:t>ти ПАО </w:t>
      </w:r>
      <w:r>
        <w:rPr>
          <w:rFonts w:ascii="Times New Roman" w:cs="Times New Roman" w:eastAsia="Times New Roman" w:hAnsi="Times New Roman"/>
          <w:sz w:val="28"/>
          <w:szCs w:val="28"/>
          <w:lang w:eastAsia="ru-RU"/>
        </w:rPr>
        <w:t>«МТС» от заемных источников финансирования.</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При снижении капитала и резервов наблюдается рост долгосрочных обязательств на 30,4% и рост краткосрочных обязательств на 33,9%. Вместе с тем, рост долгосрочных заемных средств составил 29,6%, рост краткосрочных заемных средств –– 40,5%, что свидетельствует об отсутствии собственного оборотного капитала для финансирования текущей деятельности. В прочем, рост кредиторской задолженности составил 44,6%. Данное обстоятельство показывает низкий уровень платежеспособности компании.</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По данным таблицы 1.3 можно сделать вывод, что динамика основных финансово-экономических показателей ПАО «МТС» имеет в основном положительную тенденцию, несмотря на снижение некоторых показателей.</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Наблюдается снижение выручки в 2019 г., а превышение темпов роста себестоимости продаж над темпами роста выручки в 2019 г. составило 1,6%, тогда как в 2018 г. темпы роста себестоимости продаж превышали темпы роста выручки только на 1%. Соответственно, при росте выручки на 5,9% прибыль от продаж в 2019 г. выросла только на 1,2%, тогда как в 2018 г. –– на 4,7%. Однако, в связи с более значительным темпом роста выручки по сравнению с темпами роста прибыли от продаж наблюдается снижение рентабельности продаж с 25,9% до 24,1%, что также оценивается отрицательно.</w:t>
      </w:r>
    </w:p>
    <w:p>
      <w:pPr>
        <w:pStyle w:val="style0"/>
        <w:spacing w:after="0" w:lineRule="auto" w:line="360"/>
        <w:ind w:right="-1"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Финансовый результат от финансовой и инвестиционной деятельности по итогам 2018 г. позволил увеличить прибыль до налогообложения на 21,1%, а чистую прибыль –– на 30,4%. Тогда, как в 2019 г. финансовый результат от финансовой и инвестиционной деятельности предоставил отрицательное </w:t>
      </w:r>
      <w:r>
        <w:rPr>
          <w:rFonts w:ascii="Times New Roman" w:cs="Times New Roman" w:eastAsia="Times New Roman" w:hAnsi="Times New Roman"/>
          <w:sz w:val="28"/>
          <w:szCs w:val="28"/>
          <w:lang w:eastAsia="ru-RU"/>
        </w:rPr>
        <w:t>влияние на прибыль до налогообложения и чистую прибыль, которая снизилась в половину.</w:t>
      </w:r>
    </w:p>
    <w:p>
      <w:pPr>
        <w:pStyle w:val="style0"/>
        <w:spacing w:before="120" w:after="120" w:lineRule="auto" w:line="240"/>
        <w:ind w:left="1843" w:right="-1" w:hanging="1843"/>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Таблица 1</w:t>
      </w:r>
      <w:r>
        <w:rPr>
          <w:rFonts w:ascii="Times New Roman" w:cs="Times New Roman" w:eastAsia="Times New Roman" w:hAnsi="Times New Roman"/>
          <w:sz w:val="28"/>
          <w:szCs w:val="28"/>
          <w:lang w:eastAsia="ru-RU"/>
        </w:rPr>
        <w:t>.3 –– Динамика основных финансово-экономич</w:t>
      </w:r>
      <w:r>
        <w:rPr>
          <w:rFonts w:ascii="Times New Roman" w:cs="Times New Roman" w:eastAsia="Times New Roman" w:hAnsi="Times New Roman"/>
          <w:sz w:val="28"/>
          <w:szCs w:val="28"/>
          <w:lang w:eastAsia="ru-RU"/>
        </w:rPr>
        <w:t>еских показателей ПАО «МТС»</w:t>
      </w:r>
      <w:r>
        <w:rPr>
          <w:rFonts w:ascii="Times New Roman" w:cs="Times New Roman" w:eastAsia="Times New Roman" w:hAnsi="Times New Roman"/>
          <w:sz w:val="28"/>
          <w:szCs w:val="28"/>
          <w:lang w:eastAsia="ru-RU"/>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2"/>
        <w:gridCol w:w="964"/>
        <w:gridCol w:w="1020"/>
        <w:gridCol w:w="993"/>
        <w:gridCol w:w="992"/>
        <w:gridCol w:w="1021"/>
      </w:tblGrid>
      <w:tr>
        <w:trPr>
          <w:trHeight w:val="125" w:hRule="atLeast"/>
        </w:trPr>
        <w:tc>
          <w:tcPr>
            <w:tcW w:w="2268" w:type="dxa"/>
            <w:vMerge w:val="restart"/>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Наименование показателя</w:t>
            </w:r>
          </w:p>
        </w:tc>
        <w:tc>
          <w:tcPr>
            <w:tcW w:w="993" w:type="dxa"/>
            <w:vMerge w:val="restart"/>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2017 г.</w:t>
            </w:r>
          </w:p>
        </w:tc>
        <w:tc>
          <w:tcPr>
            <w:tcW w:w="992" w:type="dxa"/>
            <w:vMerge w:val="restart"/>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w:t>
            </w:r>
          </w:p>
        </w:tc>
        <w:tc>
          <w:tcPr>
            <w:tcW w:w="964" w:type="dxa"/>
            <w:vMerge w:val="restart"/>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w:t>
            </w:r>
          </w:p>
        </w:tc>
        <w:tc>
          <w:tcPr>
            <w:tcW w:w="2013" w:type="dxa"/>
            <w:gridSpan w:val="2"/>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Изменения</w:t>
            </w: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tc>
        <w:tc>
          <w:tcPr>
            <w:tcW w:w="2013" w:type="dxa"/>
            <w:gridSpan w:val="2"/>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Темпы роста, %</w:t>
            </w:r>
          </w:p>
        </w:tc>
      </w:tr>
      <w:tr>
        <w:tblPrEx/>
        <w:trPr>
          <w:trHeight w:val="200" w:hRule="atLeast"/>
        </w:trPr>
        <w:tc>
          <w:tcPr>
            <w:tcW w:w="2268" w:type="dxa"/>
            <w:vMerge w:val="continue"/>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tc>
        <w:tc>
          <w:tcPr>
            <w:tcW w:w="993" w:type="dxa"/>
            <w:vMerge w:val="continue"/>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tc>
        <w:tc>
          <w:tcPr>
            <w:tcW w:w="992" w:type="dxa"/>
            <w:vMerge w:val="continue"/>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tc>
        <w:tc>
          <w:tcPr>
            <w:tcW w:w="964" w:type="dxa"/>
            <w:vMerge w:val="continue"/>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p>
        </w:tc>
        <w:tc>
          <w:tcPr>
            <w:tcW w:w="1020" w:type="dxa"/>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 к 2017 г.</w:t>
            </w:r>
          </w:p>
        </w:tc>
        <w:tc>
          <w:tcPr>
            <w:tcW w:w="993" w:type="dxa"/>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c>
          <w:tcPr>
            <w:tcW w:w="992" w:type="dxa"/>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2018 г. к 2017 г.</w:t>
            </w:r>
          </w:p>
        </w:tc>
        <w:tc>
          <w:tcPr>
            <w:tcW w:w="1021" w:type="dxa"/>
            <w:tcBorders>
              <w:bottom w:val="single" w:sz="4" w:space="0" w:color="auto"/>
            </w:tcBorders>
            <w:shd w:val="clear" w:color="auto" w:fill="auto"/>
          </w:tcPr>
          <w:p>
            <w:pPr>
              <w:pStyle w:val="style0"/>
              <w:widowControl w:val="false"/>
              <w:tabs>
                <w:tab w:val="left" w:leader="none" w:pos="2268"/>
              </w:tabs>
              <w:spacing w:after="0" w:lineRule="atLeast" w:line="16"/>
              <w:jc w:val="center"/>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2019 г. к 2018 г.</w:t>
            </w:r>
          </w:p>
        </w:tc>
      </w:tr>
    </w:tbl>
    <w:p>
      <w:pPr>
        <w:pStyle w:val="style0"/>
        <w:spacing w:after="0" w:lineRule="atLeast" w:line="16"/>
        <w:rPr>
          <w:rFonts w:ascii="Calibri" w:cs="Times New Roman" w:eastAsia="Calibri" w:hAnsi="Calibri"/>
          <w:vanish/>
          <w:sz w:val="20"/>
          <w:szCs w:val="20"/>
        </w:rPr>
      </w:pPr>
    </w:p>
    <w:tbl>
      <w:tblPr>
        <w:tblW w:w="4945" w:type="pct"/>
        <w:tblInd w:w="108" w:type="dxa"/>
        <w:tblLayout w:type="fixed"/>
        <w:tblLook w:val="00A0" w:firstRow="1" w:lastRow="0" w:firstColumn="1" w:lastColumn="0" w:noHBand="0" w:noVBand="0"/>
      </w:tblPr>
      <w:tblGrid>
        <w:gridCol w:w="2301"/>
        <w:gridCol w:w="991"/>
        <w:gridCol w:w="991"/>
        <w:gridCol w:w="852"/>
        <w:gridCol w:w="1133"/>
        <w:gridCol w:w="993"/>
        <w:gridCol w:w="994"/>
        <w:gridCol w:w="987"/>
      </w:tblGrid>
      <w:tr>
        <w:trPr>
          <w:trHeight w:val="90" w:hRule="atLeast"/>
        </w:trPr>
        <w:tc>
          <w:tcPr>
            <w:tcW w:w="1245" w:type="pct"/>
            <w:tcBorders>
              <w:top w:val="single" w:sz="4" w:space="0" w:color="auto"/>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 Выручка, млн. руб.</w:t>
            </w:r>
          </w:p>
        </w:tc>
        <w:tc>
          <w:tcPr>
            <w:tcW w:w="536"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270829</w:t>
            </w:r>
          </w:p>
        </w:tc>
        <w:tc>
          <w:tcPr>
            <w:tcW w:w="536"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291825</w:t>
            </w:r>
          </w:p>
        </w:tc>
        <w:tc>
          <w:tcPr>
            <w:tcW w:w="461"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309160</w:t>
            </w:r>
          </w:p>
        </w:tc>
        <w:tc>
          <w:tcPr>
            <w:tcW w:w="613"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20997</w:t>
            </w:r>
          </w:p>
        </w:tc>
        <w:tc>
          <w:tcPr>
            <w:tcW w:w="537"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17335</w:t>
            </w:r>
          </w:p>
        </w:tc>
        <w:tc>
          <w:tcPr>
            <w:tcW w:w="538"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107,8</w:t>
            </w:r>
          </w:p>
        </w:tc>
        <w:tc>
          <w:tcPr>
            <w:tcW w:w="534"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105,9</w:t>
            </w:r>
          </w:p>
        </w:tc>
      </w:tr>
      <w:tr>
        <w:tblPrEx/>
        <w:trPr>
          <w:trHeight w:val="255"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 Себестоимость продаж, млн. руб.</w:t>
            </w:r>
          </w:p>
        </w:tc>
        <w:tc>
          <w:tcPr>
            <w:tcW w:w="536"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200638</w:t>
            </w:r>
          </w:p>
        </w:tc>
        <w:tc>
          <w:tcPr>
            <w:tcW w:w="536"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218347</w:t>
            </w:r>
          </w:p>
        </w:tc>
        <w:tc>
          <w:tcPr>
            <w:tcW w:w="461"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234782</w:t>
            </w:r>
          </w:p>
        </w:tc>
        <w:tc>
          <w:tcPr>
            <w:tcW w:w="613"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17709</w:t>
            </w:r>
          </w:p>
        </w:tc>
        <w:tc>
          <w:tcPr>
            <w:tcW w:w="537"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16435</w:t>
            </w:r>
          </w:p>
        </w:tc>
        <w:tc>
          <w:tcPr>
            <w:tcW w:w="538"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108,8</w:t>
            </w:r>
          </w:p>
        </w:tc>
        <w:tc>
          <w:tcPr>
            <w:tcW w:w="534" w:type="pct"/>
            <w:tcBorders>
              <w:top w:val="nil"/>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107,5</w:t>
            </w:r>
          </w:p>
        </w:tc>
      </w:tr>
      <w:tr>
        <w:tblPrEx/>
        <w:trPr>
          <w:trHeight w:val="285" w:hRule="atLeast"/>
        </w:trPr>
        <w:tc>
          <w:tcPr>
            <w:tcW w:w="1245" w:type="pct"/>
            <w:tcBorders>
              <w:top w:val="single" w:sz="4" w:space="0" w:color="auto"/>
              <w:left w:val="single" w:sz="4" w:space="0" w:color="auto"/>
              <w:bottom w:val="single" w:sz="4" w:space="0" w:color="auto"/>
              <w:right w:val="single" w:sz="4" w:space="0" w:color="auto"/>
            </w:tcBorders>
          </w:tcPr>
          <w:p>
            <w:pPr>
              <w:pStyle w:val="style0"/>
              <w:widowControl w:val="false"/>
              <w:spacing w:after="0" w:lineRule="atLeast" w:line="16"/>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 Прибыль от продаж, млн. руб.</w:t>
            </w:r>
          </w:p>
        </w:tc>
        <w:tc>
          <w:tcPr>
            <w:tcW w:w="536"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70191</w:t>
            </w:r>
          </w:p>
        </w:tc>
        <w:tc>
          <w:tcPr>
            <w:tcW w:w="536"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73478</w:t>
            </w:r>
          </w:p>
        </w:tc>
        <w:tc>
          <w:tcPr>
            <w:tcW w:w="461"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74378</w:t>
            </w:r>
          </w:p>
        </w:tc>
        <w:tc>
          <w:tcPr>
            <w:tcW w:w="613"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3287</w:t>
            </w:r>
          </w:p>
        </w:tc>
        <w:tc>
          <w:tcPr>
            <w:tcW w:w="537"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900</w:t>
            </w:r>
          </w:p>
        </w:tc>
        <w:tc>
          <w:tcPr>
            <w:tcW w:w="538"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104,7</w:t>
            </w:r>
          </w:p>
        </w:tc>
        <w:tc>
          <w:tcPr>
            <w:tcW w:w="534" w:type="pct"/>
            <w:tcBorders>
              <w:top w:val="single" w:sz="4" w:space="0" w:color="auto"/>
              <w:left w:val="nil"/>
              <w:bottom w:val="single" w:sz="4" w:space="0" w:color="auto"/>
              <w:right w:val="single" w:sz="4" w:space="0" w:color="auto"/>
            </w:tcBorders>
            <w:vAlign w:val="center"/>
          </w:tcPr>
          <w:p>
            <w:pPr>
              <w:pStyle w:val="style0"/>
              <w:spacing w:after="0" w:lineRule="atLeast" w:line="16"/>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101,2</w:t>
            </w:r>
          </w:p>
        </w:tc>
      </w:tr>
      <w:tr>
        <w:tblPrEx/>
        <w:trPr>
          <w:trHeight w:val="300" w:hRule="atLeast"/>
        </w:trPr>
        <w:tc>
          <w:tcPr>
            <w:tcW w:w="1245"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 Прибыль до налогообложения, млн. руб.</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56335</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68198</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35249</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11864</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-32949</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121,1</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51,7</w:t>
            </w:r>
          </w:p>
        </w:tc>
      </w:tr>
      <w:tr>
        <w:tblPrEx/>
        <w:trPr>
          <w:trHeight w:val="300" w:hRule="atLeast"/>
        </w:trPr>
        <w:tc>
          <w:tcPr>
            <w:tcW w:w="1245"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 Чистая прибыль, млн. руб.</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42949</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55999</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28373</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13050</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-27626</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130,4</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50,7</w:t>
            </w:r>
          </w:p>
        </w:tc>
      </w:tr>
      <w:tr>
        <w:tblPrEx/>
        <w:trPr>
          <w:trHeight w:val="540"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 Среднегодовая стоимость основных  фондов, млн. руб.</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134454</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146260</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159534</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11805</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13274</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108,8</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109,1</w:t>
            </w:r>
          </w:p>
        </w:tc>
      </w:tr>
      <w:tr>
        <w:tblPrEx/>
        <w:trPr>
          <w:trHeight w:val="540"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 Среднегодовая стоимость активов, млн. руб.</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459800</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437112</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461739</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-22688</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24628</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95,1</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105,6</w:t>
            </w:r>
          </w:p>
        </w:tc>
      </w:tr>
      <w:tr>
        <w:tblPrEx/>
        <w:trPr>
          <w:trHeight w:val="540"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 Среднегодовая стоимость собственного капитала, млн. руб.</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112291</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118440</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99722</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6149</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-18718</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105,5</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84,2</w:t>
            </w:r>
          </w:p>
        </w:tc>
      </w:tr>
      <w:tr>
        <w:tblPrEx/>
        <w:trPr>
          <w:trHeight w:val="90"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 Фондоотдача, руб./руб.</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2,01</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2,00</w:t>
            </w:r>
          </w:p>
        </w:tc>
        <w:tc>
          <w:tcPr>
            <w:tcW w:w="461"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1,94</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-0,02</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-0,06</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99,06</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97,13</w:t>
            </w:r>
          </w:p>
        </w:tc>
      </w:tr>
      <w:tr>
        <w:tblPrEx/>
        <w:trPr>
          <w:trHeight w:val="300" w:hRule="atLeast"/>
        </w:trPr>
        <w:tc>
          <w:tcPr>
            <w:tcW w:w="1245" w:type="pct"/>
            <w:tcBorders>
              <w:top w:val="nil"/>
              <w:left w:val="single" w:sz="4" w:space="0" w:color="auto"/>
              <w:bottom w:val="single" w:sz="4" w:space="0" w:color="auto"/>
              <w:right w:val="single" w:sz="4" w:space="0" w:color="auto"/>
            </w:tcBorders>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 Рентабельность продаж, %</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25,9</w:t>
            </w:r>
          </w:p>
        </w:tc>
        <w:tc>
          <w:tcPr>
            <w:tcW w:w="536"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25,2</w:t>
            </w:r>
          </w:p>
        </w:tc>
        <w:tc>
          <w:tcPr>
            <w:tcW w:w="461"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24,1</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-0,7</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w:t>
            </w:r>
          </w:p>
        </w:tc>
        <w:tc>
          <w:tcPr>
            <w:tcW w:w="538"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534"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r>
      <w:tr>
        <w:tblPrEx/>
        <w:trPr>
          <w:trHeight w:val="510" w:hRule="atLeast"/>
        </w:trPr>
        <w:tc>
          <w:tcPr>
            <w:tcW w:w="1245" w:type="pct"/>
            <w:tcBorders>
              <w:top w:val="nil"/>
              <w:left w:val="single" w:sz="4" w:space="0" w:color="auto"/>
              <w:bottom w:val="single" w:sz="4" w:space="0" w:color="auto"/>
              <w:right w:val="single" w:sz="4" w:space="0" w:color="auto"/>
            </w:tcBorders>
            <w:noWrap/>
            <w:vAlign w:val="bottom"/>
          </w:tcPr>
          <w:p>
            <w:pPr>
              <w:pStyle w:val="style0"/>
              <w:widowControl w:val="false"/>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 Рентабельность активов, %</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12,3</w:t>
            </w:r>
          </w:p>
        </w:tc>
        <w:tc>
          <w:tcPr>
            <w:tcW w:w="536"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15,6</w:t>
            </w:r>
          </w:p>
        </w:tc>
        <w:tc>
          <w:tcPr>
            <w:tcW w:w="461"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7,6</w:t>
            </w:r>
          </w:p>
        </w:tc>
        <w:tc>
          <w:tcPr>
            <w:tcW w:w="613"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3,4</w:t>
            </w:r>
          </w:p>
        </w:tc>
        <w:tc>
          <w:tcPr>
            <w:tcW w:w="537" w:type="pct"/>
            <w:tcBorders>
              <w:top w:val="nil"/>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-8,0</w:t>
            </w:r>
          </w:p>
        </w:tc>
        <w:tc>
          <w:tcPr>
            <w:tcW w:w="538"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534" w:type="pct"/>
            <w:tcBorders>
              <w:top w:val="nil"/>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r>
      <w:tr>
        <w:tblPrEx/>
        <w:trPr>
          <w:trHeight w:val="510" w:hRule="atLeast"/>
        </w:trPr>
        <w:tc>
          <w:tcPr>
            <w:tcW w:w="1245" w:type="pct"/>
            <w:tcBorders>
              <w:top w:val="single" w:sz="4" w:space="0" w:color="auto"/>
              <w:left w:val="single" w:sz="4" w:space="0" w:color="auto"/>
              <w:bottom w:val="single" w:sz="4" w:space="0" w:color="auto"/>
              <w:right w:val="single" w:sz="4" w:space="0" w:color="auto"/>
            </w:tcBorders>
            <w:noWrap/>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12 Рентабельность собственного капитала, %</w:t>
            </w:r>
          </w:p>
        </w:tc>
        <w:tc>
          <w:tcPr>
            <w:tcW w:w="536"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38,2</w:t>
            </w:r>
          </w:p>
        </w:tc>
        <w:tc>
          <w:tcPr>
            <w:tcW w:w="536"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47,3</w:t>
            </w:r>
          </w:p>
        </w:tc>
        <w:tc>
          <w:tcPr>
            <w:tcW w:w="461"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28,5</w:t>
            </w:r>
          </w:p>
        </w:tc>
        <w:tc>
          <w:tcPr>
            <w:tcW w:w="613" w:type="pct"/>
            <w:tcBorders>
              <w:top w:val="single" w:sz="4" w:space="0" w:color="auto"/>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9,0</w:t>
            </w:r>
          </w:p>
        </w:tc>
        <w:tc>
          <w:tcPr>
            <w:tcW w:w="537" w:type="pct"/>
            <w:tcBorders>
              <w:top w:val="single" w:sz="4" w:space="0" w:color="auto"/>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-18,8</w:t>
            </w:r>
          </w:p>
        </w:tc>
        <w:tc>
          <w:tcPr>
            <w:tcW w:w="538"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c>
          <w:tcPr>
            <w:tcW w:w="534"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w:t>
            </w:r>
            <w:r>
              <w:rPr>
                <w:rFonts w:ascii="Times New Roman" w:cs="Times New Roman" w:eastAsia="Times New Roman" w:hAnsi="Times New Roman"/>
                <w:sz w:val="20"/>
                <w:szCs w:val="20"/>
                <w:lang w:eastAsia="ru-RU"/>
              </w:rPr>
              <w:t>–</w:t>
            </w:r>
          </w:p>
        </w:tc>
      </w:tr>
      <w:tr>
        <w:tblPrEx/>
        <w:trPr>
          <w:trHeight w:val="510" w:hRule="atLeast"/>
        </w:trPr>
        <w:tc>
          <w:tcPr>
            <w:tcW w:w="1245" w:type="pct"/>
            <w:tcBorders>
              <w:top w:val="single" w:sz="4" w:space="0" w:color="auto"/>
              <w:left w:val="single" w:sz="4" w:space="0" w:color="auto"/>
              <w:bottom w:val="single" w:sz="4" w:space="0" w:color="auto"/>
              <w:right w:val="single" w:sz="4" w:space="0" w:color="auto"/>
            </w:tcBorders>
            <w:noWrap/>
          </w:tcPr>
          <w:p>
            <w:pPr>
              <w:pStyle w:val="style0"/>
              <w:spacing w:after="0" w:lineRule="auto" w:line="240"/>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13 Капиталоотдача, руб. /руб.</w:t>
            </w:r>
          </w:p>
        </w:tc>
        <w:tc>
          <w:tcPr>
            <w:tcW w:w="536"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0,59</w:t>
            </w:r>
          </w:p>
        </w:tc>
        <w:tc>
          <w:tcPr>
            <w:tcW w:w="536"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0,67</w:t>
            </w:r>
          </w:p>
        </w:tc>
        <w:tc>
          <w:tcPr>
            <w:tcW w:w="461"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0,67</w:t>
            </w:r>
          </w:p>
        </w:tc>
        <w:tc>
          <w:tcPr>
            <w:tcW w:w="613" w:type="pct"/>
            <w:tcBorders>
              <w:top w:val="single" w:sz="4" w:space="0" w:color="auto"/>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0,08</w:t>
            </w:r>
          </w:p>
        </w:tc>
        <w:tc>
          <w:tcPr>
            <w:tcW w:w="537" w:type="pct"/>
            <w:tcBorders>
              <w:top w:val="single" w:sz="4" w:space="0" w:color="auto"/>
              <w:left w:val="nil"/>
              <w:bottom w:val="single" w:sz="4" w:space="0" w:color="auto"/>
              <w:right w:val="single" w:sz="4" w:space="0" w:color="auto"/>
            </w:tcBorders>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0,00</w:t>
            </w:r>
          </w:p>
        </w:tc>
        <w:tc>
          <w:tcPr>
            <w:tcW w:w="538"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113,35</w:t>
            </w:r>
          </w:p>
        </w:tc>
        <w:tc>
          <w:tcPr>
            <w:tcW w:w="534" w:type="pct"/>
            <w:tcBorders>
              <w:top w:val="single" w:sz="4" w:space="0" w:color="auto"/>
              <w:left w:val="nil"/>
              <w:bottom w:val="single" w:sz="4" w:space="0" w:color="auto"/>
              <w:right w:val="single" w:sz="4" w:space="0" w:color="auto"/>
            </w:tcBorders>
            <w:noWrap/>
            <w:vAlign w:val="center"/>
          </w:tcPr>
          <w:p>
            <w:pPr>
              <w:pStyle w:val="style0"/>
              <w:spacing w:after="0" w:lineRule="auto" w:line="240"/>
              <w:jc w:val="right"/>
              <w:rPr>
                <w:rFonts w:ascii="Times New Roman" w:cs="Times New Roman" w:eastAsia="Times New Roman" w:hAnsi="Times New Roman"/>
                <w:sz w:val="20"/>
                <w:szCs w:val="20"/>
                <w:lang w:eastAsia="ru-RU"/>
              </w:rPr>
            </w:pPr>
            <w:r>
              <w:rPr>
                <w:rFonts w:ascii="Times New Roman" w:cs="Times New Roman" w:eastAsia="Times New Roman" w:hAnsi="Times New Roman"/>
                <w:sz w:val="20"/>
                <w:szCs w:val="20"/>
                <w:lang w:eastAsia="ru-RU"/>
              </w:rPr>
              <w:t>100,29</w:t>
            </w:r>
          </w:p>
        </w:tc>
      </w:tr>
    </w:tbl>
    <w:p>
      <w:pPr>
        <w:pStyle w:val="style0"/>
        <w:spacing w:before="240" w:after="12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Таким образом, в связи с более значительным ростом среднегодовой стоимости основных фондов (109,1%) наблюдается снижение эффективности их использования, что проявлено в снижение фондоотдачи, как в 2018 г., так и в 2019 г. Если в 2017 г. на каждый рубль основных фондов получено 2,01 р., то в 2018 г. только 2,0 р., а в 2019 г. только 1,94 р. По итогам 2018 г., среднегодовая стоимость активов снизилась на 4,9%. Наблюдается рост рентабельности активов на 3,4%, так как прибыль до налого</w:t>
      </w:r>
      <w:r>
        <w:rPr>
          <w:rFonts w:ascii="Times New Roman" w:cs="Times New Roman" w:eastAsia="Times New Roman" w:hAnsi="Times New Roman"/>
          <w:sz w:val="28"/>
          <w:szCs w:val="28"/>
          <w:lang w:eastAsia="ru-RU"/>
        </w:rPr>
        <w:t>обложения увеличилась на 21,1%.</w:t>
      </w:r>
    </w:p>
    <w:p>
      <w:pPr>
        <w:pStyle w:val="style0"/>
        <w:spacing w:before="360" w:after="360" w:lineRule="auto" w:line="360"/>
        <w:ind w:left="1134" w:right="-1" w:hanging="425"/>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1.3</w:t>
      </w:r>
      <w:r>
        <w:rPr>
          <w:rFonts w:ascii="Times New Roman" w:cs="Times New Roman" w:eastAsia="Times New Roman" w:hAnsi="Times New Roman"/>
          <w:b/>
          <w:sz w:val="28"/>
          <w:szCs w:val="28"/>
          <w:lang w:eastAsia="ru-RU"/>
        </w:rPr>
        <w:t xml:space="preserve"> </w:t>
      </w:r>
      <w:r>
        <w:rPr>
          <w:rFonts w:ascii="Times New Roman" w:cs="Times New Roman" w:eastAsia="Times New Roman" w:hAnsi="Times New Roman"/>
          <w:b/>
          <w:sz w:val="28"/>
          <w:szCs w:val="28"/>
          <w:lang w:eastAsia="ru-RU"/>
        </w:rPr>
        <w:t>Изучение и оценка систем бухгалтерского учета и внутреннего контроля</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Учет финансового состояния и анализ динамики развития предприятия, базирующиеся на учетной информации, в настоящие время являются основами процесса управления. В целях получения информации, необходимой для управления производственной и хозяйственной деятельностью, предприятие на базе современных информационных технологий создает систему автоматизированной обработки учетной информации, или бухгалтер</w:t>
      </w:r>
      <w:r>
        <w:rPr>
          <w:rFonts w:ascii="Times New Roman" w:cs="Times New Roman" w:eastAsia="Times New Roman" w:hAnsi="Times New Roman"/>
          <w:sz w:val="28"/>
          <w:szCs w:val="28"/>
          <w:lang w:eastAsia="ru-RU"/>
        </w:rPr>
        <w:t>скую информационную систему</w:t>
      </w:r>
      <w:r>
        <w:rPr>
          <w:rFonts w:ascii="Times New Roman" w:cs="Times New Roman" w:eastAsia="Times New Roman" w:hAnsi="Times New Roman"/>
          <w:sz w:val="28"/>
          <w:szCs w:val="28"/>
          <w:lang w:eastAsia="ru-RU"/>
        </w:rPr>
        <w:t>.</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Современные информационные технологии позволяют унифицировать и существенно облегчить трудоемкий процесс формирования учетной информации, обеспечить оперативность получения финансовой отчетности предприятия для принятия решений. В этой связи бухгалтерская информационная система рассматривается как существенный инструмент управления деятельностью предприятия в условиях рынка. Такая система служит связующим звеном между хозяйственной деятельностью и людьми, принимающими решения. В ней осуществляются сбор, регистрация данных о хозяйственной деятельности на предприятии в первичных документах, их обработка, накопление, формирование финансово-экономических показателей отчетов, передача информации пользователям для анализа и принятия решений. Таким образом, данные о хозяйственной деятельности являются входом в бухгалтерскую информационную систему, а полезная информация для лиц, принимающих решения, –– выходом из нее. Главная цель функционирования бухгалтерской информационной системы на предприятии –– обеспечить руководство предприятия финансовой информацией для принятия обоснованных решений при выборе альтернативных вариантов использо</w:t>
      </w:r>
      <w:r>
        <w:rPr>
          <w:rFonts w:ascii="Times New Roman" w:cs="Times New Roman" w:eastAsia="Times New Roman" w:hAnsi="Times New Roman"/>
          <w:sz w:val="28"/>
          <w:szCs w:val="28"/>
          <w:lang w:eastAsia="ru-RU"/>
        </w:rPr>
        <w:t>вания ограниченных ресурсов</w:t>
      </w:r>
      <w:r>
        <w:rPr>
          <w:rFonts w:ascii="Times New Roman" w:cs="Times New Roman" w:eastAsia="Times New Roman" w:hAnsi="Times New Roman"/>
          <w:sz w:val="28"/>
          <w:szCs w:val="28"/>
          <w:lang w:eastAsia="ru-RU"/>
        </w:rPr>
        <w:t>.</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Стоит отметить, что процесс ведения учета в ПАО «МТС» полностью автоматизирован и проводится с помощью программного пакета «OEBS» </w:t>
      </w:r>
      <w:r>
        <w:rPr>
          <w:rFonts w:ascii="Times New Roman" w:cs="Times New Roman" w:eastAsia="Times New Roman" w:hAnsi="Times New Roman"/>
          <w:sz w:val="28"/>
          <w:szCs w:val="28"/>
          <w:lang w:eastAsia="ru-RU"/>
        </w:rPr>
        <w:t>(пакет приложений электронного бизнеса), который обеспечивает как ввод и обработку первичной документации, так и накопление информации по операциям на каждом из счетов, используемых компанией, в хронологическом порядке. Данные положения отражены в восьмой главе учетной политики компании.</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Организация бухгалтерского учета в ПАО «МТС» раскрывается в одноименной главе №2 учетной политики компании. Следует отметить, что организационные аспекты учетной политики в международной практике не отражаются в составе учетной политики. Согласно положениям данной гл</w:t>
      </w:r>
      <w:r>
        <w:rPr>
          <w:rFonts w:ascii="Times New Roman" w:cs="Times New Roman" w:eastAsia="Times New Roman" w:hAnsi="Times New Roman"/>
          <w:sz w:val="28"/>
          <w:szCs w:val="28"/>
          <w:lang w:eastAsia="ru-RU"/>
        </w:rPr>
        <w:t>авы, можно составить таблицу 1</w:t>
      </w:r>
      <w:r>
        <w:rPr>
          <w:rFonts w:ascii="Times New Roman" w:cs="Times New Roman" w:eastAsia="Times New Roman" w:hAnsi="Times New Roman"/>
          <w:sz w:val="28"/>
          <w:szCs w:val="28"/>
          <w:lang w:eastAsia="ru-RU"/>
        </w:rPr>
        <w:t>.4, которая показывает ключевые позиции и сферу деятельности, подразделений в области организации бухгалтерского учета в ПАО «МТС» и установить порядок подчиненности структур бухгалтерского учета внутри компании. Стоит отметить, что для такой крупной компании как ПАО «МТС», с широкой географией присутствия особенно важно ввести чёткую иерархию подчиненности и определить ключевые обязанности и область ответственности каждого подразделения.</w:t>
      </w:r>
    </w:p>
    <w:p>
      <w:pPr>
        <w:pStyle w:val="style0"/>
        <w:spacing w:before="120" w:after="120" w:lineRule="auto" w:line="240"/>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Таблица 1.</w:t>
      </w:r>
      <w:r>
        <w:rPr>
          <w:rFonts w:ascii="Times New Roman" w:cs="Times New Roman" w:eastAsia="Times New Roman" w:hAnsi="Times New Roman"/>
          <w:sz w:val="28"/>
          <w:szCs w:val="28"/>
          <w:lang w:eastAsia="ru-RU"/>
        </w:rPr>
        <w:t>4 –– Организация бухга</w:t>
      </w:r>
      <w:r>
        <w:rPr>
          <w:rFonts w:ascii="Times New Roman" w:cs="Times New Roman" w:eastAsia="Times New Roman" w:hAnsi="Times New Roman"/>
          <w:sz w:val="28"/>
          <w:szCs w:val="28"/>
          <w:lang w:eastAsia="ru-RU"/>
        </w:rPr>
        <w:t>лтерского учета в ПАО «МТС»</w:t>
      </w:r>
      <w:r>
        <w:rPr>
          <w:rFonts w:ascii="Times New Roman" w:cs="Times New Roman" w:eastAsia="Times New Roman" w:hAnsi="Times New Roman"/>
          <w:sz w:val="28"/>
          <w:szCs w:val="28"/>
          <w:lang w:eastAsia="ru-RU"/>
        </w:rPr>
        <w:t>.</w:t>
      </w:r>
    </w:p>
    <w:tbl>
      <w:tblPr>
        <w:tblStyle w:val="style154"/>
        <w:tblW w:w="0" w:type="auto"/>
        <w:tblInd w:w="108" w:type="dxa"/>
        <w:tblLook w:val="04A0" w:firstRow="1" w:lastRow="0" w:firstColumn="1" w:lastColumn="0" w:noHBand="0" w:noVBand="1"/>
      </w:tblPr>
      <w:tblGrid>
        <w:gridCol w:w="4620"/>
        <w:gridCol w:w="4628"/>
      </w:tblGrid>
      <w:tr>
        <w:trPr/>
        <w:tc>
          <w:tcPr>
            <w:tcW w:w="4678" w:type="dxa"/>
            <w:tcBorders/>
          </w:tcPr>
          <w:p>
            <w:pPr>
              <w:pStyle w:val="style0"/>
              <w:spacing w:lineRule="auto" w:line="360"/>
              <w:jc w:val="center"/>
              <w:rPr>
                <w:rFonts w:ascii="Times New Roman" w:cs="Times New Roman" w:eastAsia="Times New Roman" w:hAnsi="Times New Roman"/>
                <w:lang w:eastAsia="ru-RU"/>
              </w:rPr>
            </w:pPr>
            <w:r>
              <w:rPr>
                <w:rFonts w:ascii="Times New Roman" w:cs="Times New Roman" w:eastAsia="Times New Roman" w:hAnsi="Times New Roman"/>
                <w:lang w:eastAsia="ru-RU"/>
              </w:rPr>
              <w:t>Структурное подразделение</w:t>
            </w:r>
          </w:p>
        </w:tc>
        <w:tc>
          <w:tcPr>
            <w:tcW w:w="4678" w:type="dxa"/>
            <w:tcBorders/>
          </w:tcPr>
          <w:p>
            <w:pPr>
              <w:pStyle w:val="style0"/>
              <w:spacing w:lineRule="auto" w:line="360"/>
              <w:jc w:val="center"/>
              <w:rPr>
                <w:rFonts w:ascii="Times New Roman" w:cs="Times New Roman" w:eastAsia="Times New Roman" w:hAnsi="Times New Roman"/>
                <w:lang w:eastAsia="ru-RU"/>
              </w:rPr>
            </w:pPr>
            <w:r>
              <w:rPr>
                <w:rFonts w:ascii="Times New Roman" w:cs="Times New Roman" w:eastAsia="Times New Roman" w:hAnsi="Times New Roman"/>
                <w:lang w:eastAsia="ru-RU"/>
              </w:rPr>
              <w:t>Область ответственности</w:t>
            </w:r>
          </w:p>
        </w:tc>
      </w:tr>
      <w:tr>
        <w:tblPrEx/>
        <w:trPr/>
        <w:tc>
          <w:tcPr>
            <w:tcW w:w="4678" w:type="dxa"/>
            <w:tcBorders/>
          </w:tcPr>
          <w:p>
            <w:pPr>
              <w:pStyle w:val="style0"/>
              <w:spacing w:lineRule="auto" w:line="360"/>
              <w:rPr>
                <w:rFonts w:ascii="Times New Roman" w:cs="Times New Roman" w:eastAsia="Times New Roman" w:hAnsi="Times New Roman"/>
                <w:lang w:eastAsia="ru-RU"/>
              </w:rPr>
            </w:pPr>
            <w:r>
              <w:rPr>
                <w:rFonts w:ascii="Times New Roman" w:cs="Times New Roman" w:eastAsia="Times New Roman" w:hAnsi="Times New Roman"/>
                <w:lang w:eastAsia="ru-RU"/>
              </w:rPr>
              <w:t>Президент компании</w:t>
            </w:r>
          </w:p>
        </w:tc>
        <w:tc>
          <w:tcPr>
            <w:tcW w:w="4678" w:type="dxa"/>
            <w:tcBorders/>
          </w:tcPr>
          <w:p>
            <w:pPr>
              <w:pStyle w:val="style0"/>
              <w:spacing w:lineRule="auto" w:line="288"/>
              <w:rPr>
                <w:rFonts w:ascii="Times New Roman" w:cs="Times New Roman" w:eastAsia="Times New Roman" w:hAnsi="Times New Roman"/>
                <w:lang w:eastAsia="ru-RU"/>
              </w:rPr>
            </w:pPr>
            <w:r>
              <w:rPr>
                <w:rFonts w:ascii="Times New Roman" w:cs="Times New Roman" w:eastAsia="Times New Roman" w:hAnsi="Times New Roman"/>
                <w:lang w:eastAsia="ru-RU"/>
              </w:rPr>
              <w:t>Организация ведения бухгалтерского учета</w:t>
            </w:r>
          </w:p>
        </w:tc>
      </w:tr>
      <w:tr>
        <w:tblPrEx/>
        <w:trPr/>
        <w:tc>
          <w:tcPr>
            <w:tcW w:w="4678" w:type="dxa"/>
            <w:tcBorders/>
          </w:tcPr>
          <w:p>
            <w:pPr>
              <w:pStyle w:val="style0"/>
              <w:spacing w:lineRule="auto" w:line="360"/>
              <w:rPr>
                <w:rFonts w:ascii="Times New Roman" w:cs="Times New Roman" w:eastAsia="Times New Roman" w:hAnsi="Times New Roman"/>
                <w:lang w:eastAsia="ru-RU"/>
              </w:rPr>
            </w:pPr>
            <w:r>
              <w:rPr>
                <w:rFonts w:ascii="Times New Roman" w:cs="Times New Roman" w:eastAsia="Times New Roman" w:hAnsi="Times New Roman"/>
                <w:lang w:eastAsia="ru-RU"/>
              </w:rPr>
              <w:t>Главный бухгалтер общества</w:t>
            </w:r>
          </w:p>
        </w:tc>
        <w:tc>
          <w:tcPr>
            <w:tcW w:w="4678" w:type="dxa"/>
            <w:tcBorders/>
          </w:tcPr>
          <w:p>
            <w:pPr>
              <w:pStyle w:val="style0"/>
              <w:spacing w:lineRule="auto" w:line="288"/>
              <w:rPr>
                <w:rFonts w:ascii="Times New Roman" w:cs="Times New Roman" w:eastAsia="Times New Roman" w:hAnsi="Times New Roman"/>
                <w:lang w:eastAsia="ru-RU"/>
              </w:rPr>
            </w:pPr>
            <w:r>
              <w:rPr>
                <w:rFonts w:ascii="Times New Roman" w:cs="Times New Roman" w:eastAsia="Times New Roman" w:hAnsi="Times New Roman"/>
                <w:lang w:eastAsia="ru-RU"/>
              </w:rPr>
              <w:t>Формирование Учетной политики, порядок ведения бухгалтерского учета</w:t>
            </w:r>
          </w:p>
        </w:tc>
      </w:tr>
      <w:tr>
        <w:tblPrEx/>
        <w:trPr/>
        <w:tc>
          <w:tcPr>
            <w:tcW w:w="4678" w:type="dxa"/>
            <w:tcBorders/>
          </w:tcPr>
          <w:p>
            <w:pPr>
              <w:pStyle w:val="style0"/>
              <w:spacing w:lineRule="auto" w:line="360"/>
              <w:rPr>
                <w:rFonts w:ascii="Times New Roman" w:cs="Times New Roman" w:eastAsia="Times New Roman" w:hAnsi="Times New Roman"/>
                <w:lang w:eastAsia="ru-RU"/>
              </w:rPr>
            </w:pPr>
            <w:r>
              <w:rPr>
                <w:rFonts w:ascii="Times New Roman" w:cs="Times New Roman" w:eastAsia="Times New Roman" w:hAnsi="Times New Roman"/>
                <w:lang w:eastAsia="ru-RU"/>
              </w:rPr>
              <w:t>Бухгалтерия общества</w:t>
            </w:r>
          </w:p>
        </w:tc>
        <w:tc>
          <w:tcPr>
            <w:tcW w:w="4678" w:type="dxa"/>
            <w:tcBorders/>
          </w:tcPr>
          <w:p>
            <w:pPr>
              <w:pStyle w:val="style0"/>
              <w:spacing w:lineRule="auto" w:line="288"/>
              <w:rPr>
                <w:rFonts w:ascii="Times New Roman" w:cs="Times New Roman" w:eastAsia="Times New Roman" w:hAnsi="Times New Roman"/>
                <w:lang w:eastAsia="ru-RU"/>
              </w:rPr>
            </w:pPr>
            <w:r>
              <w:rPr>
                <w:rFonts w:ascii="Times New Roman" w:cs="Times New Roman" w:eastAsia="Times New Roman" w:hAnsi="Times New Roman"/>
                <w:lang w:eastAsia="ru-RU"/>
              </w:rPr>
              <w:t>Формирование бухгалтерской отчетности общества, ведение налогового учета, обеспечение взаимодействия с регионами</w:t>
            </w:r>
          </w:p>
        </w:tc>
      </w:tr>
      <w:tr>
        <w:tblPrEx/>
        <w:trPr/>
        <w:tc>
          <w:tcPr>
            <w:tcW w:w="4678" w:type="dxa"/>
            <w:tcBorders/>
          </w:tcPr>
          <w:p>
            <w:pPr>
              <w:pStyle w:val="style0"/>
              <w:spacing w:lineRule="auto" w:line="360"/>
              <w:rPr>
                <w:rFonts w:ascii="Times New Roman" w:cs="Times New Roman" w:eastAsia="Times New Roman" w:hAnsi="Times New Roman"/>
                <w:lang w:eastAsia="ru-RU"/>
              </w:rPr>
            </w:pPr>
            <w:r>
              <w:rPr>
                <w:rFonts w:ascii="Times New Roman" w:cs="Times New Roman" w:eastAsia="Times New Roman" w:hAnsi="Times New Roman"/>
                <w:lang w:eastAsia="ru-RU"/>
              </w:rPr>
              <w:t>Единый центр обслуживания</w:t>
            </w:r>
          </w:p>
        </w:tc>
        <w:tc>
          <w:tcPr>
            <w:tcW w:w="4678" w:type="dxa"/>
            <w:tcBorders/>
          </w:tcPr>
          <w:p>
            <w:pPr>
              <w:pStyle w:val="style0"/>
              <w:spacing w:lineRule="auto" w:line="288"/>
              <w:rPr>
                <w:rFonts w:ascii="Times New Roman" w:cs="Times New Roman" w:eastAsia="Times New Roman" w:hAnsi="Times New Roman"/>
                <w:lang w:eastAsia="ru-RU"/>
              </w:rPr>
            </w:pPr>
            <w:r>
              <w:rPr>
                <w:rFonts w:ascii="Times New Roman" w:cs="Times New Roman" w:eastAsia="Times New Roman" w:hAnsi="Times New Roman"/>
                <w:lang w:eastAsia="ru-RU"/>
              </w:rPr>
              <w:t>Организация и ведение бухгалтерского и налогового учета и составление отчетности по всем макрорегионам</w:t>
            </w:r>
          </w:p>
        </w:tc>
      </w:tr>
      <w:tr>
        <w:tblPrEx/>
        <w:trPr/>
        <w:tc>
          <w:tcPr>
            <w:tcW w:w="4678" w:type="dxa"/>
            <w:tcBorders/>
          </w:tcPr>
          <w:p>
            <w:pPr>
              <w:pStyle w:val="style0"/>
              <w:spacing w:lineRule="auto" w:line="360"/>
              <w:rPr>
                <w:rFonts w:ascii="Times New Roman" w:cs="Times New Roman" w:eastAsia="Times New Roman" w:hAnsi="Times New Roman"/>
                <w:lang w:eastAsia="ru-RU"/>
              </w:rPr>
            </w:pPr>
            <w:r>
              <w:rPr>
                <w:rFonts w:ascii="Times New Roman" w:cs="Times New Roman" w:eastAsia="Times New Roman" w:hAnsi="Times New Roman"/>
                <w:lang w:eastAsia="ru-RU"/>
              </w:rPr>
              <w:t>Группы отдела и группы учета</w:t>
            </w:r>
          </w:p>
        </w:tc>
        <w:tc>
          <w:tcPr>
            <w:tcW w:w="4678" w:type="dxa"/>
            <w:tcBorders/>
          </w:tcPr>
          <w:p>
            <w:pPr>
              <w:pStyle w:val="style0"/>
              <w:spacing w:lineRule="auto" w:line="288"/>
              <w:rPr>
                <w:rFonts w:ascii="Times New Roman" w:cs="Times New Roman" w:eastAsia="Times New Roman" w:hAnsi="Times New Roman"/>
                <w:lang w:eastAsia="ru-RU"/>
              </w:rPr>
            </w:pPr>
            <w:r>
              <w:rPr>
                <w:rFonts w:ascii="Times New Roman" w:cs="Times New Roman" w:eastAsia="Times New Roman" w:hAnsi="Times New Roman"/>
                <w:lang w:eastAsia="ru-RU"/>
              </w:rPr>
              <w:t>Прием первичных учетных документов, их проверка, систематизация и передача единому центру обслуживания. Взаимодействие с местными государственными органами</w:t>
            </w:r>
          </w:p>
        </w:tc>
      </w:tr>
    </w:tbl>
    <w:p>
      <w:pPr>
        <w:pStyle w:val="style0"/>
        <w:spacing w:before="240"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Таким образом, основной структурой, занимающейся непосредственным учетом операций в компании является единый центр обслуживания. Стоит отметить, что единый центр обслуживания был создан в </w:t>
      </w:r>
      <w:r>
        <w:rPr>
          <w:rFonts w:ascii="Times New Roman" w:cs="Times New Roman" w:eastAsia="Times New Roman" w:hAnsi="Times New Roman"/>
          <w:sz w:val="28"/>
          <w:szCs w:val="28"/>
          <w:lang w:eastAsia="ru-RU"/>
        </w:rPr>
        <w:t>2011 г. и расположен в Нижнем Новгороде. Целью введения в структуру организации бухгалтерского учета единого центра обслуживания является упрощение ведения бухгалтерского учета на местах и непосредственной обработки хозяйственных операций, проводимых на территории всей Российской Федерации.</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Внедрение единого центра обслуживания в состав основных структур бухгалтерского учета значительно облегчило его ведение в ПАО «МТС», так как большинство однотипных операций, проводимых по всей России, теперь обрабатываю</w:t>
      </w:r>
      <w:r>
        <w:rPr>
          <w:rFonts w:ascii="Times New Roman" w:cs="Times New Roman" w:eastAsia="Times New Roman" w:hAnsi="Times New Roman"/>
          <w:sz w:val="28"/>
          <w:szCs w:val="28"/>
          <w:lang w:eastAsia="ru-RU"/>
        </w:rPr>
        <w:t>тся в рамках единого центра</w:t>
      </w:r>
      <w:r>
        <w:rPr>
          <w:rFonts w:ascii="Times New Roman" w:cs="Times New Roman" w:eastAsia="Times New Roman" w:hAnsi="Times New Roman"/>
          <w:sz w:val="28"/>
          <w:szCs w:val="28"/>
          <w:lang w:eastAsia="ru-RU"/>
        </w:rPr>
        <w:t>.</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Методические аспекты ведения бухгалтерского учета, применяемые в компании, также отражены в учетной политике ПАО «МТС» для целей бухгалтерского учета, которую предприятие ведет с точки зрения российских стандартов. Непосредственно выбранным компанией элементам учёта тех или иных фактов хозяйственной деятельности посвящена Глава №3 «Способы оценки активов и обязательств, способы ведения бухгалтерского учета хозяйственных операций».</w:t>
      </w:r>
    </w:p>
    <w:p>
      <w:pPr>
        <w:pStyle w:val="style0"/>
        <w:spacing w:after="0" w:lineRule="auto" w:line="360"/>
        <w:ind w:firstLine="708"/>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Проанализиров</w:t>
      </w:r>
      <w:r>
        <w:rPr>
          <w:rFonts w:ascii="Times New Roman" w:cs="Times New Roman" w:eastAsia="Times New Roman" w:hAnsi="Times New Roman"/>
          <w:sz w:val="28"/>
          <w:szCs w:val="28"/>
          <w:lang w:eastAsia="ru-RU"/>
        </w:rPr>
        <w:t>ав учетную политику ПАО «МТС»</w:t>
      </w:r>
      <w:r>
        <w:rPr>
          <w:rFonts w:ascii="Times New Roman" w:cs="Times New Roman" w:eastAsia="Times New Roman" w:hAnsi="Times New Roman"/>
          <w:sz w:val="28"/>
          <w:szCs w:val="28"/>
          <w:lang w:eastAsia="ru-RU"/>
        </w:rPr>
        <w:t xml:space="preserve"> на соответствие возможным вариантам учета по основным элементам, можно сделать следующие выводы. Учетная политика организации в области учета научно-исследовательских и опытно-конструкторских работ раскрыта не полностью, отсутствует информация о способе начисления амортизации на данные объекты, а также информация о сроке списания расходов на научно-исследовательские и опытно-конструкторские работы, хотя, согласно российским стандартам бухгалтерского учета (РСБУ), компания должна зафиксировать его самостоятельно.  Предельный срок списания указанных расходов –– 5 лет, и он не может превышать срок деятельности организации. Кроме того, порядок расчета величины оценочных обязательств, а также ключевые пункты учета по данному элементу не раскрыты. В учетной политике отсутствует информация о порядке определения ставки дисконтирования, а также не приводятся ссылки на внутреннюю </w:t>
      </w:r>
      <w:r>
        <w:rPr>
          <w:rFonts w:ascii="Times New Roman" w:cs="Times New Roman" w:eastAsia="Times New Roman" w:hAnsi="Times New Roman"/>
          <w:sz w:val="28"/>
          <w:szCs w:val="28"/>
          <w:lang w:eastAsia="ru-RU"/>
        </w:rPr>
        <w:t>документацию по данному вопросу. В области начисления резервов по сомнительным долгам компания указывает, что данные виды резервов начисляются ежемесячно, однако порядок их</w:t>
      </w:r>
      <w:r>
        <w:rPr>
          <w:rFonts w:ascii="Times New Roman" w:cs="Times New Roman" w:eastAsia="Times New Roman" w:hAnsi="Times New Roman"/>
          <w:sz w:val="28"/>
          <w:szCs w:val="28"/>
          <w:lang w:eastAsia="ru-RU"/>
        </w:rPr>
        <w:t xml:space="preserve"> формирования не отражается</w:t>
      </w:r>
      <w:r>
        <w:rPr>
          <w:rFonts w:ascii="Times New Roman" w:cs="Times New Roman" w:eastAsia="Times New Roman" w:hAnsi="Times New Roman"/>
          <w:sz w:val="28"/>
          <w:szCs w:val="28"/>
          <w:lang w:eastAsia="ru-RU"/>
        </w:rPr>
        <w:t>.</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Таким образом, учетная политика компании по ряду элементов не отражает конкретные принципы ведения учета и кроме того не дает ссылок на внутренние документы. Однако по основным элементам активов, таким как методы начисления амортизации, определение срока полезного использования основных средств, а также порядок оценки материально-производственных запасов при выбытии, информация удовлетворяет требованиям российског</w:t>
      </w:r>
      <w:r>
        <w:rPr>
          <w:rFonts w:ascii="Times New Roman" w:cs="Times New Roman" w:eastAsia="Times New Roman" w:hAnsi="Times New Roman"/>
          <w:sz w:val="28"/>
          <w:szCs w:val="28"/>
          <w:lang w:eastAsia="ru-RU"/>
        </w:rPr>
        <w:t>о законодательства</w:t>
      </w:r>
      <w:r>
        <w:rPr>
          <w:rFonts w:ascii="Times New Roman" w:cs="Times New Roman" w:eastAsia="Times New Roman" w:hAnsi="Times New Roman"/>
          <w:sz w:val="28"/>
          <w:szCs w:val="28"/>
          <w:lang w:eastAsia="ru-RU"/>
        </w:rPr>
        <w:t>.</w:t>
      </w:r>
    </w:p>
    <w:p>
      <w:pPr>
        <w:pStyle w:val="style0"/>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xml:space="preserve">Рассматривая учетную политику компании по нормам международных стандартов </w:t>
      </w:r>
      <w:r>
        <w:rPr>
          <w:rFonts w:ascii="Times New Roman" w:cs="Times New Roman" w:eastAsia="Times New Roman" w:hAnsi="Times New Roman"/>
          <w:sz w:val="28"/>
          <w:szCs w:val="28"/>
          <w:lang w:eastAsia="ru-RU"/>
        </w:rPr>
        <w:t xml:space="preserve">аудита </w:t>
      </w:r>
      <w:r>
        <w:rPr>
          <w:rFonts w:ascii="Times New Roman" w:cs="Times New Roman" w:eastAsia="Times New Roman" w:hAnsi="Times New Roman"/>
          <w:sz w:val="28"/>
          <w:szCs w:val="28"/>
          <w:lang w:eastAsia="ru-RU"/>
        </w:rPr>
        <w:t>(</w:t>
      </w:r>
      <w:r>
        <w:rPr>
          <w:rFonts w:ascii="Times New Roman" w:cs="Times New Roman" w:eastAsia="Times New Roman" w:hAnsi="Times New Roman"/>
          <w:sz w:val="28"/>
          <w:szCs w:val="28"/>
          <w:lang w:val="en-US" w:eastAsia="ru-RU"/>
        </w:rPr>
        <w:t>MCA</w:t>
      </w:r>
      <w:r>
        <w:rPr>
          <w:rFonts w:ascii="Times New Roman" w:cs="Times New Roman" w:eastAsia="Times New Roman" w:hAnsi="Times New Roman"/>
          <w:sz w:val="28"/>
          <w:szCs w:val="28"/>
          <w:lang w:eastAsia="ru-RU"/>
        </w:rPr>
        <w:t xml:space="preserve">), стоит отметить, что отдельного документа, в котором закреплены все выбранные компанией варианты учета по международным стандартам, не существует. ПАО «МТС» справляется с данной задачей так –– в учетной политике компании в целях бухгалтерского учета подробно расписаны практически все основные аспекты, которые должны </w:t>
      </w:r>
      <w:r>
        <w:rPr>
          <w:rFonts w:ascii="Times New Roman" w:cs="Times New Roman" w:eastAsia="Times New Roman" w:hAnsi="Times New Roman"/>
          <w:sz w:val="28"/>
          <w:szCs w:val="28"/>
          <w:lang w:eastAsia="ru-RU"/>
        </w:rPr>
        <w:t>быть отражены по нормам MCA</w:t>
      </w:r>
      <w:r>
        <w:rPr>
          <w:rFonts w:ascii="Times New Roman" w:cs="Times New Roman" w:eastAsia="Times New Roman" w:hAnsi="Times New Roman"/>
          <w:sz w:val="28"/>
          <w:szCs w:val="28"/>
          <w:lang w:eastAsia="ru-RU"/>
        </w:rPr>
        <w:t>, и при трансформации отчетности компания опирается именно на этот документ. В остальном элементы учетной политики, выбранные кампанией</w:t>
      </w:r>
      <w:r>
        <w:rPr>
          <w:rFonts w:ascii="Times New Roman" w:cs="Times New Roman" w:eastAsia="Times New Roman" w:hAnsi="Times New Roman"/>
          <w:sz w:val="28"/>
          <w:szCs w:val="28"/>
          <w:lang w:eastAsia="ru-RU"/>
        </w:rPr>
        <w:t xml:space="preserve"> в рамках </w:t>
      </w:r>
      <w:r>
        <w:rPr>
          <w:rFonts w:ascii="Times New Roman" w:cs="Times New Roman" w:eastAsia="Times New Roman" w:hAnsi="Times New Roman"/>
          <w:sz w:val="28"/>
          <w:szCs w:val="28"/>
          <w:lang w:val="en-US" w:eastAsia="ru-RU"/>
        </w:rPr>
        <w:t>MCA</w:t>
      </w:r>
      <w:r>
        <w:rPr>
          <w:rFonts w:ascii="Times New Roman" w:cs="Times New Roman" w:eastAsia="Times New Roman" w:hAnsi="Times New Roman"/>
          <w:sz w:val="28"/>
          <w:szCs w:val="28"/>
          <w:lang w:eastAsia="ru-RU"/>
        </w:rPr>
        <w:t xml:space="preserve"> идентичны выбранным для использования в российском бухгалтерском учете.</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Внутренний контроль в ПАО «МТС» ––</w:t>
      </w:r>
      <w:r>
        <w:rPr>
          <w:rFonts w:ascii="Times New Roman" w:cs="Times New Roman" w:hAnsi="Times New Roman"/>
          <w:sz w:val="28"/>
        </w:rPr>
        <w:t xml:space="preserve"> процесс, осуществляемый</w:t>
      </w:r>
      <w:r>
        <w:rPr>
          <w:rFonts w:ascii="Times New Roman" w:cs="Times New Roman" w:hAnsi="Times New Roman"/>
          <w:sz w:val="28"/>
        </w:rPr>
        <w:t xml:space="preserve"> субъектами системы внутреннего </w:t>
      </w:r>
      <w:r>
        <w:rPr>
          <w:rFonts w:ascii="Times New Roman" w:cs="Times New Roman" w:hAnsi="Times New Roman"/>
          <w:sz w:val="28"/>
        </w:rPr>
        <w:t>контроля (Советом директоров, комитетами Совета директоров, Ревизионной комиссией,</w:t>
      </w:r>
      <w:r>
        <w:rPr>
          <w:rFonts w:ascii="Times New Roman" w:cs="Times New Roman" w:hAnsi="Times New Roman"/>
          <w:sz w:val="28"/>
        </w:rPr>
        <w:t xml:space="preserve"> </w:t>
      </w:r>
      <w:r>
        <w:rPr>
          <w:rFonts w:ascii="Times New Roman" w:cs="Times New Roman" w:hAnsi="Times New Roman"/>
          <w:sz w:val="28"/>
        </w:rPr>
        <w:t>Исполнительными органами, структурными подразделениями и сотрудниками Компании)</w:t>
      </w:r>
      <w:r>
        <w:rPr>
          <w:rFonts w:ascii="Times New Roman" w:cs="Times New Roman" w:hAnsi="Times New Roman"/>
          <w:sz w:val="28"/>
        </w:rPr>
        <w:t xml:space="preserve"> </w:t>
      </w:r>
      <w:r>
        <w:rPr>
          <w:rFonts w:ascii="Times New Roman" w:cs="Times New Roman" w:hAnsi="Times New Roman"/>
          <w:sz w:val="28"/>
        </w:rPr>
        <w:t xml:space="preserve">в целях обеспечения разумной уверенности в достижении следующих целей </w:t>
      </w:r>
      <w:r>
        <w:rPr>
          <w:rFonts w:ascii="Times New Roman" w:cs="Times New Roman" w:hAnsi="Times New Roman"/>
          <w:sz w:val="28"/>
        </w:rPr>
        <w:t>организации</w:t>
      </w:r>
      <w:r>
        <w:rPr>
          <w:rFonts w:ascii="Times New Roman" w:cs="Times New Roman" w:hAnsi="Times New Roman"/>
          <w:sz w:val="28"/>
        </w:rPr>
        <w:t>:</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эффективность финансово-хозяйственной деятельности;</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достоверность финансовой и нефинансовой отчетности;</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соблюдение применимого законодательства и локальных нормативных документов.</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Ревизионная комиссия, действующая в соответствии с уставом ПАО «МТС», а также Положением о Ревизионной комиссии ПАО «МТС», является постоянн</w:t>
      </w:r>
      <w:r>
        <w:rPr>
          <w:rFonts w:ascii="Times New Roman" w:cs="Times New Roman" w:hAnsi="Times New Roman"/>
          <w:sz w:val="28"/>
        </w:rPr>
        <w:t>о действующим выборным органом о</w:t>
      </w:r>
      <w:r>
        <w:rPr>
          <w:rFonts w:ascii="Times New Roman" w:cs="Times New Roman" w:hAnsi="Times New Roman"/>
          <w:sz w:val="28"/>
        </w:rPr>
        <w:t>бщества и осуществляет периодический контроль за финансово-хозя</w:t>
      </w:r>
      <w:r>
        <w:rPr>
          <w:rFonts w:ascii="Times New Roman" w:cs="Times New Roman" w:hAnsi="Times New Roman"/>
          <w:sz w:val="28"/>
        </w:rPr>
        <w:t>йственной деятельностью компании, деятельностью ее</w:t>
      </w:r>
      <w:r>
        <w:rPr>
          <w:rFonts w:ascii="Times New Roman" w:cs="Times New Roman" w:hAnsi="Times New Roman"/>
          <w:sz w:val="28"/>
        </w:rPr>
        <w:t xml:space="preserve"> органов управления и </w:t>
      </w:r>
      <w:r>
        <w:rPr>
          <w:rFonts w:ascii="Times New Roman" w:cs="Times New Roman" w:hAnsi="Times New Roman"/>
          <w:sz w:val="28"/>
        </w:rPr>
        <w:t>должностных лиц (в том числе ее</w:t>
      </w:r>
      <w:r>
        <w:rPr>
          <w:rFonts w:ascii="Times New Roman" w:cs="Times New Roman" w:hAnsi="Times New Roman"/>
          <w:sz w:val="28"/>
        </w:rPr>
        <w:t xml:space="preserve"> обособленных подразделений, служб, филиалов и представительств) путем докумен</w:t>
      </w:r>
      <w:r>
        <w:rPr>
          <w:rFonts w:ascii="Times New Roman" w:cs="Times New Roman" w:hAnsi="Times New Roman"/>
          <w:sz w:val="28"/>
        </w:rPr>
        <w:t xml:space="preserve">тальных и фактических проверок. </w:t>
      </w:r>
      <w:r>
        <w:rPr>
          <w:rFonts w:ascii="Times New Roman" w:cs="Times New Roman" w:hAnsi="Times New Roman"/>
          <w:sz w:val="28"/>
        </w:rPr>
        <w:t>Ревизионная комиссия независима от должн</w:t>
      </w:r>
      <w:r>
        <w:rPr>
          <w:rFonts w:ascii="Times New Roman" w:cs="Times New Roman" w:hAnsi="Times New Roman"/>
          <w:sz w:val="28"/>
        </w:rPr>
        <w:t>остных лиц органов управления об</w:t>
      </w:r>
      <w:r>
        <w:rPr>
          <w:rFonts w:ascii="Times New Roman" w:cs="Times New Roman" w:hAnsi="Times New Roman"/>
          <w:sz w:val="28"/>
        </w:rPr>
        <w:t>щества и подотчетна тол</w:t>
      </w:r>
      <w:r>
        <w:rPr>
          <w:rFonts w:ascii="Times New Roman" w:cs="Times New Roman" w:hAnsi="Times New Roman"/>
          <w:sz w:val="28"/>
        </w:rPr>
        <w:t>ько Общему собранию акционеров о</w:t>
      </w:r>
      <w:r>
        <w:rPr>
          <w:rFonts w:ascii="Times New Roman" w:cs="Times New Roman" w:hAnsi="Times New Roman"/>
          <w:sz w:val="28"/>
        </w:rPr>
        <w:t>бщества.</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Комитет по аудиту является коллегиальным совещательным органом Совета директоров. Комитет создан в целях содействия эффективному выполнению функций Совета директоров в части контроля за финансово-хозяйс</w:t>
      </w:r>
      <w:r>
        <w:rPr>
          <w:rFonts w:ascii="Times New Roman" w:cs="Times New Roman" w:hAnsi="Times New Roman"/>
          <w:sz w:val="28"/>
        </w:rPr>
        <w:t>твенной деятельностью к</w:t>
      </w:r>
      <w:r>
        <w:rPr>
          <w:rFonts w:ascii="Times New Roman" w:cs="Times New Roman" w:hAnsi="Times New Roman"/>
          <w:sz w:val="28"/>
        </w:rPr>
        <w:t xml:space="preserve">омпании. </w:t>
      </w:r>
      <w:r>
        <w:rPr>
          <w:rFonts w:ascii="Times New Roman" w:cs="Times New Roman" w:hAnsi="Times New Roman"/>
          <w:sz w:val="28"/>
        </w:rPr>
        <w:t xml:space="preserve">Основной задачей Комитета является оказание содействия Совету директоров в обеспечении им защиты интересов акционеров посредством осуществления контроля полноты и достоверности финансовой и иной отчетности Общества, надежности и эффективности системы внутреннего контроля </w:t>
      </w:r>
      <w:r>
        <w:rPr>
          <w:rFonts w:ascii="Times New Roman" w:cs="Times New Roman" w:hAnsi="Times New Roman"/>
          <w:sz w:val="28"/>
        </w:rPr>
        <w:t>и управления рисками</w:t>
      </w:r>
      <w:r>
        <w:rPr>
          <w:rFonts w:ascii="Times New Roman" w:cs="Times New Roman" w:hAnsi="Times New Roman"/>
          <w:sz w:val="28"/>
        </w:rPr>
        <w:t>, внутреннего аудита и системы корпоративного управления.</w:t>
      </w:r>
      <w:r>
        <w:rPr>
          <w:rFonts w:ascii="Times New Roman" w:cs="Times New Roman" w:hAnsi="Times New Roman"/>
          <w:sz w:val="28"/>
        </w:rPr>
        <w:t xml:space="preserve"> </w:t>
      </w:r>
      <w:r>
        <w:rPr>
          <w:rFonts w:ascii="Times New Roman" w:cs="Times New Roman" w:hAnsi="Times New Roman"/>
          <w:sz w:val="28"/>
        </w:rPr>
        <w:t xml:space="preserve">Задачи и порядок взаимодействия Комитета </w:t>
      </w:r>
      <w:r>
        <w:rPr>
          <w:rFonts w:ascii="Times New Roman" w:cs="Times New Roman" w:hAnsi="Times New Roman"/>
          <w:sz w:val="28"/>
        </w:rPr>
        <w:t>по аудиту Совета директоров ПАО </w:t>
      </w:r>
      <w:r>
        <w:rPr>
          <w:rFonts w:ascii="Times New Roman" w:cs="Times New Roman" w:hAnsi="Times New Roman"/>
          <w:sz w:val="28"/>
        </w:rPr>
        <w:t xml:space="preserve">«МТС» установлены и регулируются Положением о Комитете </w:t>
      </w:r>
      <w:r>
        <w:rPr>
          <w:rFonts w:ascii="Times New Roman" w:cs="Times New Roman" w:hAnsi="Times New Roman"/>
          <w:sz w:val="28"/>
        </w:rPr>
        <w:t>по аудиту Совета директоров ПАО </w:t>
      </w:r>
      <w:r>
        <w:rPr>
          <w:rFonts w:ascii="Times New Roman" w:cs="Times New Roman" w:hAnsi="Times New Roman"/>
          <w:sz w:val="28"/>
        </w:rPr>
        <w:t>«МТС».</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Система внутр</w:t>
      </w:r>
      <w:r>
        <w:rPr>
          <w:rFonts w:ascii="Times New Roman" w:cs="Times New Roman" w:hAnsi="Times New Roman"/>
          <w:sz w:val="28"/>
        </w:rPr>
        <w:t>еннего контроля (СВК) ПАО «МТС» ––</w:t>
      </w:r>
      <w:r>
        <w:rPr>
          <w:rFonts w:ascii="Times New Roman" w:cs="Times New Roman" w:hAnsi="Times New Roman"/>
          <w:sz w:val="28"/>
        </w:rPr>
        <w:t xml:space="preserve"> </w:t>
      </w:r>
      <w:r>
        <w:rPr>
          <w:rFonts w:ascii="Times New Roman" w:cs="Times New Roman" w:hAnsi="Times New Roman"/>
          <w:sz w:val="28"/>
        </w:rPr>
        <w:t xml:space="preserve">представляет собой совокупность </w:t>
      </w:r>
      <w:r>
        <w:rPr>
          <w:rFonts w:ascii="Times New Roman" w:cs="Times New Roman" w:hAnsi="Times New Roman"/>
          <w:sz w:val="28"/>
        </w:rPr>
        <w:t>процессов внутреннего контроля, осуществляемых субъектами СВК на базе существующей</w:t>
      </w:r>
      <w:r>
        <w:rPr>
          <w:rFonts w:ascii="Times New Roman" w:cs="Times New Roman" w:hAnsi="Times New Roman"/>
          <w:sz w:val="28"/>
        </w:rPr>
        <w:t xml:space="preserve"> </w:t>
      </w:r>
      <w:r>
        <w:rPr>
          <w:rFonts w:ascii="Times New Roman" w:cs="Times New Roman" w:hAnsi="Times New Roman"/>
          <w:sz w:val="28"/>
        </w:rPr>
        <w:t>организационной структуры, внутренних политик и регламентов, процедур и методов</w:t>
      </w:r>
      <w:r>
        <w:rPr>
          <w:rFonts w:ascii="Times New Roman" w:cs="Times New Roman" w:hAnsi="Times New Roman"/>
          <w:sz w:val="28"/>
        </w:rPr>
        <w:t xml:space="preserve"> </w:t>
      </w:r>
      <w:r>
        <w:rPr>
          <w:rFonts w:ascii="Times New Roman" w:cs="Times New Roman" w:hAnsi="Times New Roman"/>
          <w:sz w:val="28"/>
        </w:rPr>
        <w:t xml:space="preserve">внутреннего контроля и управления рисками, </w:t>
      </w:r>
      <w:r>
        <w:rPr>
          <w:rFonts w:ascii="Times New Roman" w:cs="Times New Roman" w:hAnsi="Times New Roman"/>
          <w:sz w:val="28"/>
        </w:rPr>
        <w:t>применяемых в к</w:t>
      </w:r>
      <w:r>
        <w:rPr>
          <w:rFonts w:ascii="Times New Roman" w:cs="Times New Roman" w:hAnsi="Times New Roman"/>
          <w:sz w:val="28"/>
        </w:rPr>
        <w:t>омпании на всех уровнях</w:t>
      </w:r>
      <w:r>
        <w:rPr>
          <w:rFonts w:ascii="Times New Roman" w:cs="Times New Roman" w:hAnsi="Times New Roman"/>
          <w:sz w:val="28"/>
        </w:rPr>
        <w:t xml:space="preserve"> </w:t>
      </w:r>
      <w:r>
        <w:rPr>
          <w:rFonts w:ascii="Times New Roman" w:cs="Times New Roman" w:hAnsi="Times New Roman"/>
          <w:sz w:val="28"/>
        </w:rPr>
        <w:t>управления и в рамках всех функциональных направлений.</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Задачами системы внутреннего контроля являются:</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создание механизмов контроля, обеспечивающих функ</w:t>
      </w:r>
      <w:r>
        <w:rPr>
          <w:rFonts w:ascii="Times New Roman" w:cs="Times New Roman" w:hAnsi="Times New Roman"/>
          <w:sz w:val="28"/>
        </w:rPr>
        <w:t xml:space="preserve">ционирование бизнес-процессов и </w:t>
      </w:r>
      <w:r>
        <w:rPr>
          <w:rFonts w:ascii="Times New Roman" w:cs="Times New Roman" w:hAnsi="Times New Roman"/>
          <w:sz w:val="28"/>
        </w:rPr>
        <w:t>реализацию бизнес-целей Компании;</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обеспечение сохранности активов Компании и</w:t>
      </w:r>
      <w:r>
        <w:rPr>
          <w:rFonts w:ascii="Times New Roman" w:cs="Times New Roman" w:hAnsi="Times New Roman"/>
          <w:sz w:val="28"/>
        </w:rPr>
        <w:t xml:space="preserve"> эффективности использования её </w:t>
      </w:r>
      <w:r>
        <w:rPr>
          <w:rFonts w:ascii="Times New Roman" w:cs="Times New Roman" w:hAnsi="Times New Roman"/>
          <w:sz w:val="28"/>
        </w:rPr>
        <w:t>ресурсов;</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защита интересов акционеров Компании, а та</w:t>
      </w:r>
      <w:r>
        <w:rPr>
          <w:rFonts w:ascii="Times New Roman" w:cs="Times New Roman" w:hAnsi="Times New Roman"/>
          <w:sz w:val="28"/>
        </w:rPr>
        <w:t xml:space="preserve">кже предотвращение и устранение </w:t>
      </w:r>
      <w:r>
        <w:rPr>
          <w:rFonts w:ascii="Times New Roman" w:cs="Times New Roman" w:hAnsi="Times New Roman"/>
          <w:sz w:val="28"/>
        </w:rPr>
        <w:t>конфликтов интересов;</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создание условий для своевременной подго</w:t>
      </w:r>
      <w:r>
        <w:rPr>
          <w:rFonts w:ascii="Times New Roman" w:cs="Times New Roman" w:hAnsi="Times New Roman"/>
          <w:sz w:val="28"/>
        </w:rPr>
        <w:t xml:space="preserve">товки и предоставления полной и </w:t>
      </w:r>
      <w:r>
        <w:rPr>
          <w:rFonts w:ascii="Times New Roman" w:cs="Times New Roman" w:hAnsi="Times New Roman"/>
          <w:sz w:val="28"/>
        </w:rPr>
        <w:t>достоверной отчетности, а также иной информации, подлежащей раскрытию в</w:t>
      </w:r>
      <w:r>
        <w:rPr>
          <w:rFonts w:ascii="Times New Roman" w:cs="Times New Roman" w:hAnsi="Times New Roman"/>
          <w:sz w:val="28"/>
        </w:rPr>
        <w:t xml:space="preserve"> </w:t>
      </w:r>
      <w:r>
        <w:rPr>
          <w:rFonts w:ascii="Times New Roman" w:cs="Times New Roman" w:hAnsi="Times New Roman"/>
          <w:sz w:val="28"/>
        </w:rPr>
        <w:t>соответствии с применимым законодательством;</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обеспечение соблюдения Компанией применимого законодательства, </w:t>
      </w:r>
      <w:r>
        <w:rPr>
          <w:rFonts w:ascii="Times New Roman" w:cs="Times New Roman" w:hAnsi="Times New Roman"/>
          <w:sz w:val="28"/>
        </w:rPr>
        <w:t xml:space="preserve">требований </w:t>
      </w:r>
      <w:r>
        <w:rPr>
          <w:rFonts w:ascii="Times New Roman" w:cs="Times New Roman" w:hAnsi="Times New Roman"/>
          <w:sz w:val="28"/>
        </w:rPr>
        <w:t>регуляторов, а также внутренних политик, регламентов и процедур.</w:t>
      </w:r>
    </w:p>
    <w:p>
      <w:pPr>
        <w:pStyle w:val="style0"/>
        <w:spacing w:after="0" w:lineRule="auto" w:line="360"/>
        <w:ind w:right="-1" w:firstLine="709"/>
        <w:jc w:val="both"/>
        <w:rPr>
          <w:rFonts w:ascii="Times New Roman" w:cs="Times New Roman" w:hAnsi="Times New Roman"/>
          <w:sz w:val="28"/>
        </w:rPr>
      </w:pPr>
      <w:r>
        <w:rPr>
          <w:rFonts w:ascii="Times New Roman" w:cs="Times New Roman" w:hAnsi="Times New Roman"/>
          <w:sz w:val="28"/>
        </w:rPr>
        <w:t>Создание и эффективное функционирование системы вну</w:t>
      </w:r>
      <w:r>
        <w:rPr>
          <w:rFonts w:ascii="Times New Roman" w:cs="Times New Roman" w:hAnsi="Times New Roman"/>
          <w:sz w:val="28"/>
        </w:rPr>
        <w:t xml:space="preserve">треннего контроля направлено на </w:t>
      </w:r>
      <w:r>
        <w:rPr>
          <w:rFonts w:ascii="Times New Roman" w:cs="Times New Roman" w:hAnsi="Times New Roman"/>
          <w:sz w:val="28"/>
        </w:rPr>
        <w:t>обеспечение разумной уверенно</w:t>
      </w:r>
      <w:r>
        <w:rPr>
          <w:rFonts w:ascii="Times New Roman" w:cs="Times New Roman" w:hAnsi="Times New Roman"/>
          <w:sz w:val="28"/>
        </w:rPr>
        <w:t>сти в достижении стоящих перед к</w:t>
      </w:r>
      <w:r>
        <w:rPr>
          <w:rFonts w:ascii="Times New Roman" w:cs="Times New Roman" w:hAnsi="Times New Roman"/>
          <w:sz w:val="28"/>
        </w:rPr>
        <w:t>омпанией целей и</w:t>
      </w:r>
      <w:r>
        <w:rPr>
          <w:rFonts w:ascii="Times New Roman" w:cs="Times New Roman" w:hAnsi="Times New Roman"/>
          <w:sz w:val="28"/>
        </w:rPr>
        <w:t xml:space="preserve"> </w:t>
      </w:r>
      <w:r>
        <w:rPr>
          <w:rFonts w:ascii="Times New Roman" w:cs="Times New Roman" w:hAnsi="Times New Roman"/>
          <w:sz w:val="28"/>
        </w:rPr>
        <w:t xml:space="preserve">позволяет обеспечить надлежащее проведение аудита </w:t>
      </w:r>
      <w:r>
        <w:rPr>
          <w:rFonts w:ascii="Times New Roman" w:cs="Times New Roman" w:hAnsi="Times New Roman"/>
          <w:sz w:val="28"/>
        </w:rPr>
        <w:t>финансово-хозяйственной дея</w:t>
      </w:r>
      <w:r>
        <w:rPr>
          <w:rFonts w:ascii="Times New Roman" w:cs="Times New Roman" w:hAnsi="Times New Roman"/>
          <w:sz w:val="28"/>
        </w:rPr>
        <w:t>тельности</w:t>
      </w:r>
      <w:r>
        <w:rPr>
          <w:rFonts w:ascii="Times New Roman" w:cs="Times New Roman" w:hAnsi="Times New Roman"/>
          <w:sz w:val="28"/>
        </w:rPr>
        <w:t xml:space="preserve"> ПАО «МТС»</w:t>
      </w:r>
      <w:r>
        <w:rPr>
          <w:rFonts w:ascii="Times New Roman" w:cs="Times New Roman" w:hAnsi="Times New Roman"/>
          <w:sz w:val="28"/>
        </w:rPr>
        <w:t>, а также его</w:t>
      </w:r>
      <w:r>
        <w:rPr>
          <w:rFonts w:ascii="Times New Roman" w:cs="Times New Roman" w:hAnsi="Times New Roman"/>
          <w:sz w:val="28"/>
        </w:rPr>
        <w:t xml:space="preserve"> эффективность.</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Во время подготовки аудиторской проверки необходимо составить общий план аудита, в котором описываются предполагаемые объем и порядок проведения аудиторской проверки. Для начала очень важно оценить уровень существенности данных, отражаемых в финансовой отчетности.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Уровень существенности –– это верхнее</w:t>
      </w:r>
      <w:r>
        <w:rPr>
          <w:rFonts w:ascii="Times New Roman" w:cs="Times New Roman" w:hAnsi="Times New Roman"/>
          <w:sz w:val="28"/>
        </w:rPr>
        <w:t xml:space="preserve"> значение ошибки, начиная с которого квалифицированный пользователь отчетности не в состоянии делать на ее основе правильные выводы и принимать правильные решения. В ходе проведения аудиторских проверок </w:t>
      </w:r>
      <w:r>
        <w:rPr>
          <w:rFonts w:ascii="Times New Roman" w:cs="Times New Roman" w:hAnsi="Times New Roman"/>
          <w:sz w:val="28"/>
        </w:rPr>
        <w:t>необходимо определить</w:t>
      </w:r>
      <w:r>
        <w:rPr>
          <w:rFonts w:ascii="Times New Roman" w:cs="Times New Roman" w:hAnsi="Times New Roman"/>
          <w:sz w:val="28"/>
        </w:rPr>
        <w:t xml:space="preserve"> аудиторский риск, с которым связаны показатели, для чего </w:t>
      </w:r>
      <w:r>
        <w:rPr>
          <w:rFonts w:ascii="Times New Roman" w:cs="Times New Roman" w:hAnsi="Times New Roman"/>
          <w:sz w:val="28"/>
        </w:rPr>
        <w:t xml:space="preserve">и </w:t>
      </w:r>
      <w:r>
        <w:rPr>
          <w:rFonts w:ascii="Times New Roman" w:cs="Times New Roman" w:hAnsi="Times New Roman"/>
          <w:sz w:val="28"/>
        </w:rPr>
        <w:t>необходимо про</w:t>
      </w:r>
      <w:r>
        <w:rPr>
          <w:rFonts w:ascii="Times New Roman" w:cs="Times New Roman" w:hAnsi="Times New Roman"/>
          <w:sz w:val="28"/>
        </w:rPr>
        <w:t>вести расче</w:t>
      </w:r>
      <w:r>
        <w:rPr>
          <w:rFonts w:ascii="Times New Roman" w:cs="Times New Roman" w:hAnsi="Times New Roman"/>
          <w:sz w:val="28"/>
        </w:rPr>
        <w:t>т уровня существенности аудита. Рассчитаем абсолютное значение уровня существенности на основе базовых показателей бухгалтерской отчетности, характеризующих ее достоверность с учетом отра</w:t>
      </w:r>
      <w:r>
        <w:rPr>
          <w:rFonts w:ascii="Times New Roman" w:cs="Times New Roman" w:hAnsi="Times New Roman"/>
          <w:sz w:val="28"/>
        </w:rPr>
        <w:t>слевых особенностей (таблица 1.5</w:t>
      </w:r>
      <w:r>
        <w:rPr>
          <w:rFonts w:ascii="Times New Roman" w:cs="Times New Roman" w:hAnsi="Times New Roman"/>
          <w:sz w:val="28"/>
        </w:rPr>
        <w:t>).</w:t>
      </w:r>
    </w:p>
    <w:p>
      <w:pPr>
        <w:pStyle w:val="style0"/>
        <w:spacing w:before="240" w:after="0" w:lineRule="auto" w:line="360"/>
        <w:jc w:val="both"/>
        <w:rPr>
          <w:rFonts w:ascii="Times New Roman" w:cs="Times New Roman" w:hAnsi="Times New Roman"/>
          <w:sz w:val="28"/>
        </w:rPr>
      </w:pPr>
      <w:r>
        <w:rPr>
          <w:rFonts w:ascii="Times New Roman" w:cs="Times New Roman" w:hAnsi="Times New Roman"/>
          <w:sz w:val="28"/>
        </w:rPr>
        <w:t>Таблица 1.5</w:t>
      </w:r>
      <w:r>
        <w:rPr>
          <w:rFonts w:ascii="Times New Roman" w:cs="Times New Roman" w:hAnsi="Times New Roman"/>
          <w:sz w:val="28"/>
        </w:rPr>
        <w:t xml:space="preserve"> –– </w:t>
      </w:r>
      <w:r>
        <w:rPr>
          <w:rFonts w:ascii="Times New Roman" w:cs="Times New Roman" w:hAnsi="Times New Roman"/>
          <w:sz w:val="28"/>
        </w:rPr>
        <w:t>Базовые показатели для расчета уровня существенности</w:t>
      </w:r>
    </w:p>
    <w:tbl>
      <w:tblPr>
        <w:tblStyle w:val="style154"/>
        <w:tblW w:w="0" w:type="auto"/>
        <w:tblLook w:val="04A0" w:firstRow="1" w:lastRow="0" w:firstColumn="1" w:lastColumn="0" w:noHBand="0" w:noVBand="1"/>
      </w:tblPr>
      <w:tblGrid>
        <w:gridCol w:w="2830"/>
        <w:gridCol w:w="2127"/>
        <w:gridCol w:w="2051"/>
        <w:gridCol w:w="2337"/>
      </w:tblGrid>
      <w:tr>
        <w:trPr/>
        <w:tc>
          <w:tcPr>
            <w:tcW w:w="2830" w:type="dxa"/>
            <w:tcBorders/>
          </w:tcPr>
          <w:p>
            <w:pPr>
              <w:pStyle w:val="style0"/>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Показатель</w:t>
            </w:r>
          </w:p>
        </w:tc>
        <w:tc>
          <w:tcPr>
            <w:tcW w:w="2127" w:type="dxa"/>
            <w:tcBorders/>
          </w:tcPr>
          <w:p>
            <w:pPr>
              <w:pStyle w:val="style0"/>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Значение, млн</w:t>
            </w:r>
            <w:r>
              <w:rPr>
                <w:rFonts w:ascii="Times New Roman" w:cs="Times New Roman" w:hAnsi="Times New Roman"/>
                <w:sz w:val="20"/>
                <w:szCs w:val="20"/>
              </w:rPr>
              <w:t>. р.</w:t>
            </w:r>
          </w:p>
        </w:tc>
        <w:tc>
          <w:tcPr>
            <w:tcW w:w="2051" w:type="dxa"/>
            <w:tcBorders/>
          </w:tcPr>
          <w:p>
            <w:pPr>
              <w:pStyle w:val="style0"/>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Доля, %</w:t>
            </w:r>
          </w:p>
        </w:tc>
        <w:tc>
          <w:tcPr>
            <w:tcW w:w="2337" w:type="dxa"/>
            <w:tcBorders/>
          </w:tcPr>
          <w:p>
            <w:pPr>
              <w:pStyle w:val="style0"/>
              <w:jc w:val="center"/>
              <w:rPr>
                <w:rFonts w:ascii="Times New Roman" w:cs="Times New Roman" w:hAnsi="Times New Roman"/>
                <w:sz w:val="20"/>
                <w:szCs w:val="20"/>
              </w:rPr>
            </w:pPr>
            <w:r>
              <w:rPr>
                <w:rFonts w:ascii="Times New Roman" w:cs="Times New Roman" w:hAnsi="Times New Roman"/>
                <w:sz w:val="20"/>
                <w:szCs w:val="20"/>
              </w:rPr>
              <w:t>Значение, используемое для нахождения ур</w:t>
            </w:r>
            <w:r>
              <w:rPr>
                <w:rFonts w:ascii="Times New Roman" w:cs="Times New Roman" w:hAnsi="Times New Roman"/>
                <w:sz w:val="20"/>
                <w:szCs w:val="20"/>
              </w:rPr>
              <w:t>овня существенности, млн</w:t>
            </w:r>
            <w:r>
              <w:rPr>
                <w:rFonts w:ascii="Times New Roman" w:cs="Times New Roman" w:hAnsi="Times New Roman"/>
                <w:sz w:val="20"/>
                <w:szCs w:val="20"/>
              </w:rPr>
              <w:t>. р.</w:t>
            </w:r>
          </w:p>
        </w:tc>
      </w:tr>
      <w:tr>
        <w:tblPrEx/>
        <w:trPr/>
        <w:tc>
          <w:tcPr>
            <w:tcW w:w="2830" w:type="dxa"/>
            <w:tcBorders/>
          </w:tcPr>
          <w:p>
            <w:pPr>
              <w:pStyle w:val="style0"/>
              <w:spacing w:lineRule="auto" w:line="360"/>
              <w:rPr>
                <w:rFonts w:ascii="Times New Roman" w:cs="Times New Roman" w:hAnsi="Times New Roman"/>
                <w:sz w:val="20"/>
                <w:szCs w:val="20"/>
              </w:rPr>
            </w:pPr>
            <w:r>
              <w:rPr>
                <w:rFonts w:ascii="Times New Roman" w:cs="Times New Roman" w:hAnsi="Times New Roman"/>
                <w:sz w:val="20"/>
                <w:szCs w:val="20"/>
              </w:rPr>
              <w:t>Выручка от реализации</w:t>
            </w:r>
          </w:p>
        </w:tc>
        <w:tc>
          <w:tcPr>
            <w:tcW w:w="212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309160</w:t>
            </w:r>
          </w:p>
        </w:tc>
        <w:tc>
          <w:tcPr>
            <w:tcW w:w="2051"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3</w:t>
            </w:r>
          </w:p>
        </w:tc>
        <w:tc>
          <w:tcPr>
            <w:tcW w:w="233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9274,8</w:t>
            </w:r>
          </w:p>
        </w:tc>
      </w:tr>
      <w:tr>
        <w:tblPrEx/>
        <w:trPr/>
        <w:tc>
          <w:tcPr>
            <w:tcW w:w="2830" w:type="dxa"/>
            <w:tcBorders/>
          </w:tcPr>
          <w:p>
            <w:pPr>
              <w:pStyle w:val="style0"/>
              <w:spacing w:lineRule="auto" w:line="360"/>
              <w:rPr>
                <w:rFonts w:ascii="Times New Roman" w:cs="Times New Roman" w:hAnsi="Times New Roman"/>
                <w:sz w:val="20"/>
                <w:szCs w:val="20"/>
              </w:rPr>
            </w:pPr>
            <w:r>
              <w:rPr>
                <w:rFonts w:ascii="Times New Roman" w:cs="Times New Roman" w:hAnsi="Times New Roman"/>
                <w:sz w:val="20"/>
                <w:szCs w:val="20"/>
              </w:rPr>
              <w:t>Затраты</w:t>
            </w:r>
          </w:p>
        </w:tc>
        <w:tc>
          <w:tcPr>
            <w:tcW w:w="212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234782</w:t>
            </w:r>
          </w:p>
        </w:tc>
        <w:tc>
          <w:tcPr>
            <w:tcW w:w="2051"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2</w:t>
            </w:r>
          </w:p>
        </w:tc>
        <w:tc>
          <w:tcPr>
            <w:tcW w:w="233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4695,64</w:t>
            </w:r>
          </w:p>
        </w:tc>
      </w:tr>
      <w:tr>
        <w:tblPrEx/>
        <w:trPr/>
        <w:tc>
          <w:tcPr>
            <w:tcW w:w="2830" w:type="dxa"/>
            <w:tcBorders/>
          </w:tcPr>
          <w:p>
            <w:pPr>
              <w:pStyle w:val="style0"/>
              <w:spacing w:lineRule="auto" w:line="360"/>
              <w:rPr>
                <w:rFonts w:ascii="Times New Roman" w:cs="Times New Roman" w:hAnsi="Times New Roman"/>
                <w:sz w:val="20"/>
                <w:szCs w:val="20"/>
              </w:rPr>
            </w:pPr>
            <w:r>
              <w:rPr>
                <w:rFonts w:ascii="Times New Roman" w:cs="Times New Roman" w:hAnsi="Times New Roman"/>
                <w:sz w:val="20"/>
                <w:szCs w:val="20"/>
              </w:rPr>
              <w:t>Валюта баланса</w:t>
            </w:r>
          </w:p>
        </w:tc>
        <w:tc>
          <w:tcPr>
            <w:tcW w:w="212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492370</w:t>
            </w:r>
          </w:p>
        </w:tc>
        <w:tc>
          <w:tcPr>
            <w:tcW w:w="2051"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2</w:t>
            </w:r>
          </w:p>
        </w:tc>
        <w:tc>
          <w:tcPr>
            <w:tcW w:w="2337" w:type="dxa"/>
            <w:tcBorders/>
          </w:tcPr>
          <w:p>
            <w:pPr>
              <w:pStyle w:val="style0"/>
              <w:spacing w:lineRule="auto" w:line="360"/>
              <w:jc w:val="right"/>
              <w:rPr>
                <w:rFonts w:ascii="Times New Roman" w:cs="Times New Roman" w:hAnsi="Times New Roman"/>
                <w:sz w:val="20"/>
                <w:szCs w:val="20"/>
              </w:rPr>
            </w:pPr>
            <w:r>
              <w:rPr>
                <w:rFonts w:ascii="Times New Roman" w:cs="Times New Roman" w:hAnsi="Times New Roman"/>
                <w:sz w:val="20"/>
                <w:szCs w:val="20"/>
              </w:rPr>
              <w:t>9847,4</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 xml:space="preserve">Для ПАО «МТС» базовыми показателями являются выручка от реализации, затраты и валюта баланса. На их основе рассчитано среднее значение, равное </w:t>
      </w:r>
      <w:r>
        <w:rPr>
          <w:rFonts w:ascii="Times New Roman" w:cs="Times New Roman" w:hAnsi="Times New Roman"/>
          <w:sz w:val="28"/>
        </w:rPr>
        <w:t xml:space="preserve">7930,28 млн. р., </w:t>
      </w:r>
      <w:r>
        <w:rPr>
          <w:rFonts w:ascii="Times New Roman" w:cs="Times New Roman" w:hAnsi="Times New Roman"/>
          <w:sz w:val="28"/>
        </w:rPr>
        <w:t>которое и представляет собой единый показатель уровня существенности ПАО «МТС».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Так как существует вероятность </w:t>
      </w:r>
      <w:r>
        <w:rPr>
          <w:rFonts w:ascii="Times New Roman" w:cs="Times New Roman" w:hAnsi="Times New Roman"/>
          <w:sz w:val="28"/>
        </w:rPr>
        <w:t>выражения аудитором ненадлежащего аудиторского мнения в случае существенного искажения финансовой отчетности</w:t>
      </w:r>
      <w:r>
        <w:rPr>
          <w:rFonts w:ascii="Times New Roman" w:cs="Times New Roman" w:hAnsi="Times New Roman"/>
          <w:sz w:val="28"/>
        </w:rPr>
        <w:t>, необходимо рассчитать уровень аудиторского риска, то есть риска выразить ошибочное мнение о достоверности отчетности.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Аудиторский риск напрямую зависит от риска </w:t>
      </w:r>
      <w:r>
        <w:rPr>
          <w:rFonts w:ascii="Times New Roman" w:cs="Times New Roman" w:hAnsi="Times New Roman"/>
          <w:sz w:val="28"/>
        </w:rPr>
        <w:t>необнаружения</w:t>
      </w:r>
      <w:r>
        <w:rPr>
          <w:rFonts w:ascii="Times New Roman" w:cs="Times New Roman" w:hAnsi="Times New Roman"/>
          <w:sz w:val="28"/>
        </w:rPr>
        <w:t>, риска средс</w:t>
      </w:r>
      <w:r>
        <w:rPr>
          <w:rFonts w:ascii="Times New Roman" w:cs="Times New Roman" w:hAnsi="Times New Roman"/>
          <w:sz w:val="28"/>
        </w:rPr>
        <w:t>т</w:t>
      </w:r>
      <w:r>
        <w:rPr>
          <w:rFonts w:ascii="Times New Roman" w:cs="Times New Roman" w:hAnsi="Times New Roman"/>
          <w:sz w:val="28"/>
        </w:rPr>
        <w:t>в контроля и неотъемлемого риска.</w:t>
      </w:r>
      <w:r>
        <w:rPr>
          <w:rFonts w:ascii="Times New Roman" w:cs="Times New Roman" w:hAnsi="Times New Roman"/>
          <w:sz w:val="28"/>
        </w:rPr>
        <w:t xml:space="preserve"> Риск </w:t>
      </w:r>
      <w:r>
        <w:rPr>
          <w:rFonts w:ascii="Times New Roman" w:cs="Times New Roman" w:hAnsi="Times New Roman"/>
          <w:sz w:val="28"/>
        </w:rPr>
        <w:t>необнаружения</w:t>
      </w:r>
      <w:r>
        <w:rPr>
          <w:rFonts w:ascii="Times New Roman" w:cs="Times New Roman" w:hAnsi="Times New Roman"/>
          <w:sz w:val="28"/>
        </w:rPr>
        <w:t xml:space="preserve"> –– это риск не обнаружить существенные ошибки вследствие выборочного характера проверки, который показывает надежность работы аудиторской группы. Риск средств контроля </w:t>
      </w:r>
      <w:r>
        <w:rPr>
          <w:rFonts w:ascii="Times New Roman" w:cs="Times New Roman" w:hAnsi="Times New Roman"/>
          <w:sz w:val="28"/>
        </w:rPr>
        <w:t xml:space="preserve">представляет </w:t>
      </w:r>
      <w:r>
        <w:rPr>
          <w:rFonts w:ascii="Times New Roman" w:cs="Times New Roman" w:hAnsi="Times New Roman"/>
          <w:sz w:val="28"/>
        </w:rPr>
        <w:t>собой риск того, что искажение</w:t>
      </w:r>
      <w:r>
        <w:rPr>
          <w:rFonts w:ascii="Times New Roman" w:cs="Times New Roman" w:hAnsi="Times New Roman"/>
          <w:sz w:val="28"/>
        </w:rPr>
        <w:t>, которое может быть существенным по отдельности или в совокупности с другими искажениями, не будет своевременно выявлено и устранено системой внутреннего контроля.</w:t>
      </w:r>
      <w:r>
        <w:rPr>
          <w:rFonts w:ascii="Times New Roman" w:cs="Times New Roman" w:hAnsi="Times New Roman"/>
          <w:sz w:val="28"/>
        </w:rPr>
        <w:t xml:space="preserve"> Неотъемлемый риск включает в себя человеческий фактор и риск, связанный с деятельностью компании, то есть определяет качество работы бухгалтерии.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Ожидаемый уровень аудиторского риска рассчитывается по формуле (1.1):</w:t>
      </w:r>
    </w:p>
    <w:p>
      <w:pPr>
        <w:pStyle w:val="style0"/>
        <w:spacing w:after="0" w:lineRule="auto" w:line="360"/>
        <w:ind w:firstLine="709"/>
        <w:jc w:val="right"/>
        <w:rPr>
          <w:rFonts w:ascii="Times New Roman" w:cs="Times New Roman" w:hAnsi="Times New Roman"/>
          <w:sz w:val="28"/>
        </w:rPr>
      </w:pPr>
      <w:r>
        <w:rPr>
          <w:rFonts w:ascii="Times New Roman" w:cs="Times New Roman" w:hAnsi="Times New Roman"/>
          <w:sz w:val="28"/>
        </w:rPr>
        <w:t>АР = РВ х РК х РН</w:t>
      </w:r>
      <w:r>
        <w:rPr>
          <w:rFonts w:ascii="Times New Roman" w:cs="Times New Roman" w:hAnsi="Times New Roman"/>
          <w:sz w:val="28"/>
        </w:rPr>
        <w:t xml:space="preserve">                                             </w:t>
      </w:r>
      <w:r>
        <w:rPr>
          <w:rFonts w:ascii="Times New Roman" w:cs="Times New Roman" w:hAnsi="Times New Roman"/>
          <w:sz w:val="28"/>
        </w:rPr>
        <w:t xml:space="preserve">   (</w:t>
      </w:r>
      <w:r>
        <w:rPr>
          <w:rFonts w:ascii="Times New Roman" w:cs="Times New Roman" w:hAnsi="Times New Roman"/>
          <w:sz w:val="28"/>
        </w:rPr>
        <w:t>1.1)</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где</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АР –</w:t>
      </w:r>
      <w:r>
        <w:rPr>
          <w:rFonts w:ascii="Times New Roman" w:cs="Times New Roman" w:hAnsi="Times New Roman"/>
          <w:sz w:val="28"/>
        </w:rPr>
        <w:t>–</w:t>
      </w:r>
      <w:r>
        <w:rPr>
          <w:rFonts w:ascii="Times New Roman" w:cs="Times New Roman" w:hAnsi="Times New Roman"/>
          <w:sz w:val="28"/>
        </w:rPr>
        <w:t xml:space="preserve"> аудиторский </w:t>
      </w:r>
      <w:r>
        <w:rPr>
          <w:rFonts w:ascii="Times New Roman" w:cs="Times New Roman" w:hAnsi="Times New Roman"/>
          <w:sz w:val="28"/>
        </w:rPr>
        <w:t xml:space="preserve">риск аудиторской проверки, </w:t>
      </w:r>
      <w:r>
        <w:rPr>
          <w:rFonts w:ascii="Times New Roman" w:cs="Times New Roman" w:hAnsi="Times New Roman"/>
          <w:sz w:val="28"/>
        </w:rPr>
        <w:t>РВ –</w:t>
      </w:r>
      <w:r>
        <w:rPr>
          <w:rFonts w:ascii="Times New Roman" w:cs="Times New Roman" w:hAnsi="Times New Roman"/>
          <w:sz w:val="28"/>
        </w:rPr>
        <w:t>–</w:t>
      </w:r>
      <w:r>
        <w:rPr>
          <w:rFonts w:ascii="Times New Roman" w:cs="Times New Roman" w:hAnsi="Times New Roman"/>
          <w:sz w:val="28"/>
        </w:rPr>
        <w:t xml:space="preserve"> риск внутрихозяйственно</w:t>
      </w:r>
      <w:r>
        <w:rPr>
          <w:rFonts w:ascii="Times New Roman" w:cs="Times New Roman" w:hAnsi="Times New Roman"/>
          <w:sz w:val="28"/>
        </w:rPr>
        <w:t xml:space="preserve">го контроля (неотъемлемый риск), </w:t>
      </w:r>
      <w:r>
        <w:rPr>
          <w:rFonts w:ascii="Times New Roman" w:cs="Times New Roman" w:hAnsi="Times New Roman"/>
          <w:sz w:val="28"/>
        </w:rPr>
        <w:t>РК –</w:t>
      </w:r>
      <w:r>
        <w:rPr>
          <w:rFonts w:ascii="Times New Roman" w:cs="Times New Roman" w:hAnsi="Times New Roman"/>
          <w:sz w:val="28"/>
        </w:rPr>
        <w:t>– риск средств контроля,</w:t>
      </w:r>
      <w:r>
        <w:t xml:space="preserve"> </w:t>
      </w:r>
      <w:r>
        <w:rPr>
          <w:rFonts w:ascii="Times New Roman" w:cs="Times New Roman" w:hAnsi="Times New Roman"/>
          <w:sz w:val="28"/>
        </w:rPr>
        <w:t xml:space="preserve">РН – риск </w:t>
      </w:r>
      <w:r>
        <w:rPr>
          <w:rFonts w:ascii="Times New Roman" w:cs="Times New Roman" w:hAnsi="Times New Roman"/>
          <w:sz w:val="28"/>
        </w:rPr>
        <w:t>необнаружения</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На данном этапе были определены следующие значения данных рисков: неотъемлемый риск на уровне 30%, риск средств контроля на уровне 25%, риск </w:t>
      </w:r>
      <w:r>
        <w:rPr>
          <w:rFonts w:ascii="Times New Roman" w:cs="Times New Roman" w:hAnsi="Times New Roman"/>
          <w:sz w:val="28"/>
        </w:rPr>
        <w:t>необнаружения</w:t>
      </w:r>
      <w:r>
        <w:rPr>
          <w:rFonts w:ascii="Times New Roman" w:cs="Times New Roman" w:hAnsi="Times New Roman"/>
          <w:sz w:val="28"/>
        </w:rPr>
        <w:t xml:space="preserve"> на уровне 30%. На основе этих значений определен ожидаемый уровень аудиторского риска, который равен 2,25%. Таким образом, гарантия достоверности проверяемой отчетности ПАО «МТС» составляет минимум 97,75%.</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 учетом рассчитанных уровня существенности и аудиторских рисков в план общего аудита включены следующие значимые области финансового контроля: финансовый контроль бухгалтерского учета основных средств, финансовый контроль учета нематериальных активов, финансовый контроль учета запасов, финансовый контроль учета кредита и займов, финансовый контроль учета финансовых вложений, финансовый контроль учета резервов, финансовый контроль учета доходов и расходов. </w:t>
      </w:r>
    </w:p>
    <w:p>
      <w:pPr>
        <w:pStyle w:val="style0"/>
        <w:spacing w:after="0" w:lineRule="auto" w:line="360"/>
        <w:ind w:firstLine="709"/>
        <w:jc w:val="both"/>
        <w:rPr>
          <w:rFonts w:ascii="Times New Roman" w:cs="Times New Roman" w:hAnsi="Times New Roman"/>
          <w:sz w:val="28"/>
        </w:rPr>
      </w:pPr>
    </w:p>
    <w:p>
      <w:pPr>
        <w:pStyle w:val="style0"/>
        <w:rPr>
          <w:rFonts w:ascii="Times New Roman" w:cs="Times New Roman" w:hAnsi="Times New Roman"/>
          <w:sz w:val="28"/>
        </w:rPr>
      </w:pPr>
      <w:r>
        <w:rPr>
          <w:rFonts w:ascii="Times New Roman" w:cs="Times New Roman" w:hAnsi="Times New Roman"/>
          <w:sz w:val="28"/>
        </w:rPr>
        <w:br w:type="page"/>
      </w:r>
    </w:p>
    <w:p>
      <w:pPr>
        <w:pStyle w:val="style0"/>
        <w:spacing w:lineRule="auto" w:line="360"/>
        <w:ind w:left="993" w:hanging="284"/>
        <w:rPr>
          <w:rFonts w:ascii="Times New Roman" w:cs="Times New Roman" w:hAnsi="Times New Roman"/>
          <w:b/>
          <w:sz w:val="32"/>
          <w:szCs w:val="32"/>
        </w:rPr>
      </w:pPr>
      <w:r>
        <w:rPr>
          <w:rFonts w:ascii="Times New Roman" w:cs="Times New Roman" w:hAnsi="Times New Roman"/>
          <w:b/>
          <w:sz w:val="32"/>
          <w:szCs w:val="32"/>
        </w:rPr>
        <w:t xml:space="preserve">1 </w:t>
      </w:r>
      <w:r>
        <w:rPr>
          <w:rFonts w:ascii="Times New Roman" w:cs="Times New Roman" w:hAnsi="Times New Roman"/>
          <w:b/>
          <w:sz w:val="32"/>
          <w:szCs w:val="32"/>
        </w:rPr>
        <w:t>Индиви</w:t>
      </w:r>
      <w:r>
        <w:rPr>
          <w:rFonts w:ascii="Times New Roman" w:cs="Times New Roman" w:hAnsi="Times New Roman"/>
          <w:b/>
          <w:sz w:val="32"/>
          <w:szCs w:val="32"/>
        </w:rPr>
        <w:t xml:space="preserve">дуальное задание: организация и </w:t>
      </w:r>
      <w:r>
        <w:rPr>
          <w:rFonts w:ascii="Times New Roman" w:cs="Times New Roman" w:hAnsi="Times New Roman"/>
          <w:b/>
          <w:sz w:val="32"/>
          <w:szCs w:val="32"/>
        </w:rPr>
        <w:t>осуществление финансовог</w:t>
      </w:r>
      <w:r>
        <w:rPr>
          <w:rFonts w:ascii="Times New Roman" w:cs="Times New Roman" w:hAnsi="Times New Roman"/>
          <w:b/>
          <w:sz w:val="32"/>
          <w:szCs w:val="32"/>
        </w:rPr>
        <w:t xml:space="preserve">о контроля </w:t>
      </w:r>
      <w:r>
        <w:rPr>
          <w:rFonts w:ascii="Times New Roman" w:cs="Times New Roman" w:hAnsi="Times New Roman"/>
          <w:b/>
          <w:sz w:val="32"/>
          <w:szCs w:val="32"/>
        </w:rPr>
        <w:t>бухгалтерского уче</w:t>
      </w:r>
      <w:r>
        <w:rPr>
          <w:rFonts w:ascii="Times New Roman" w:cs="Times New Roman" w:hAnsi="Times New Roman"/>
          <w:b/>
          <w:sz w:val="32"/>
          <w:szCs w:val="32"/>
        </w:rPr>
        <w:t xml:space="preserve">та всех объектов бухгалтерского </w:t>
      </w:r>
      <w:r>
        <w:rPr>
          <w:rFonts w:ascii="Times New Roman" w:cs="Times New Roman" w:hAnsi="Times New Roman"/>
          <w:b/>
          <w:sz w:val="32"/>
          <w:szCs w:val="32"/>
        </w:rPr>
        <w:t>наблюдения и составления отчетности</w:t>
      </w:r>
    </w:p>
    <w:p>
      <w:pPr>
        <w:pStyle w:val="style0"/>
        <w:spacing w:before="120" w:after="360" w:lineRule="auto" w:line="360"/>
        <w:ind w:left="1276" w:hanging="567"/>
        <w:rPr>
          <w:rFonts w:ascii="Times New Roman" w:cs="Times New Roman" w:hAnsi="Times New Roman"/>
          <w:b/>
          <w:sz w:val="28"/>
          <w:szCs w:val="28"/>
        </w:rPr>
      </w:pPr>
      <w:r>
        <w:rPr>
          <w:rFonts w:ascii="Times New Roman" w:cs="Times New Roman" w:hAnsi="Times New Roman"/>
          <w:b/>
          <w:sz w:val="28"/>
          <w:szCs w:val="28"/>
        </w:rPr>
        <w:t xml:space="preserve">1.1 </w:t>
      </w:r>
      <w:r>
        <w:rPr>
          <w:rFonts w:ascii="Times New Roman" w:cs="Times New Roman" w:hAnsi="Times New Roman"/>
          <w:b/>
          <w:sz w:val="28"/>
          <w:szCs w:val="28"/>
        </w:rPr>
        <w:t>Финансовый контроль бухгалтерского учета основных средств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Цель финансового контроля бухгалтерского учета основных средств ПАО «МТС» –– подтверждение соответствия порядка отражения в бухгалтерском учете и отчетности учета основных средств действующим законодательным и нормативным актам, регулирующим их учет.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Основные средства </w:t>
      </w:r>
      <w:r>
        <w:rPr>
          <w:rFonts w:ascii="Times New Roman" w:cs="Times New Roman" w:hAnsi="Times New Roman"/>
          <w:sz w:val="28"/>
        </w:rPr>
        <w:t>организации</w:t>
      </w:r>
      <w:r>
        <w:rPr>
          <w:rFonts w:ascii="Times New Roman" w:cs="Times New Roman" w:hAnsi="Times New Roman"/>
          <w:sz w:val="28"/>
        </w:rPr>
        <w:t xml:space="preserve"> –– это материальные объекты, которые длительно используются организацией в процессе производства продукции (выполнения работ, оказания услуг) либо для управленческих нужд.</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соответствии с учетной политикой приобретаемые о</w:t>
      </w:r>
      <w:r>
        <w:rPr>
          <w:rFonts w:ascii="Times New Roman" w:cs="Times New Roman" w:hAnsi="Times New Roman"/>
          <w:sz w:val="28"/>
        </w:rPr>
        <w:t>бществом активы прини</w:t>
      </w:r>
      <w:r>
        <w:rPr>
          <w:rFonts w:ascii="Times New Roman" w:cs="Times New Roman" w:hAnsi="Times New Roman"/>
          <w:sz w:val="28"/>
        </w:rPr>
        <w:t>маются к бухгалтерскому учету в качестве основных средств</w:t>
      </w:r>
      <w:r>
        <w:rPr>
          <w:rFonts w:ascii="Times New Roman" w:cs="Times New Roman" w:hAnsi="Times New Roman"/>
          <w:sz w:val="28"/>
        </w:rPr>
        <w:t xml:space="preserve"> при единовременном выполнении условий, установленных</w:t>
      </w:r>
      <w:r>
        <w:rPr>
          <w:rFonts w:ascii="Times New Roman" w:cs="Times New Roman" w:hAnsi="Times New Roman"/>
          <w:sz w:val="28"/>
        </w:rPr>
        <w:t xml:space="preserve"> </w:t>
      </w:r>
      <w:r>
        <w:rPr>
          <w:rFonts w:ascii="Times New Roman" w:cs="Times New Roman" w:hAnsi="Times New Roman"/>
          <w:sz w:val="28"/>
        </w:rPr>
        <w:t>пунктом 4 ПБУ 6/01</w:t>
      </w:r>
      <w:r>
        <w:rPr>
          <w:rFonts w:ascii="Times New Roman" w:cs="Times New Roman" w:hAnsi="Times New Roman"/>
          <w:sz w:val="28"/>
        </w:rPr>
        <w:t xml:space="preserve"> «Учет основных средств»</w:t>
      </w:r>
      <w:r>
        <w:rPr>
          <w:rFonts w:ascii="Times New Roman" w:cs="Times New Roman" w:hAnsi="Times New Roman"/>
          <w:sz w:val="28"/>
        </w:rPr>
        <w:t xml:space="preserve"> в сумме фактических затрат на приобретение, сооружение и</w:t>
      </w:r>
      <w:r>
        <w:rPr>
          <w:rFonts w:ascii="Times New Roman" w:cs="Times New Roman" w:hAnsi="Times New Roman"/>
          <w:sz w:val="28"/>
        </w:rPr>
        <w:t xml:space="preserve"> </w:t>
      </w:r>
      <w:r>
        <w:rPr>
          <w:rFonts w:ascii="Times New Roman" w:cs="Times New Roman" w:hAnsi="Times New Roman"/>
          <w:sz w:val="28"/>
        </w:rPr>
        <w:t>изготовление, за исключением налога на добавленную стоимость и иных возмещаемых</w:t>
      </w:r>
      <w:r>
        <w:rPr>
          <w:rFonts w:ascii="Times New Roman" w:cs="Times New Roman" w:hAnsi="Times New Roman"/>
          <w:sz w:val="28"/>
        </w:rPr>
        <w:t xml:space="preserve"> </w:t>
      </w:r>
      <w:r>
        <w:rPr>
          <w:rFonts w:ascii="Times New Roman" w:cs="Times New Roman" w:hAnsi="Times New Roman"/>
          <w:sz w:val="28"/>
        </w:rPr>
        <w:t>налогов</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Основные средства ПАО «МТС» отражаются в бу</w:t>
      </w:r>
      <w:r>
        <w:rPr>
          <w:rFonts w:ascii="Times New Roman" w:cs="Times New Roman" w:hAnsi="Times New Roman"/>
          <w:sz w:val="28"/>
        </w:rPr>
        <w:t>хгалтерской отчетности по строкам</w:t>
      </w:r>
      <w:r>
        <w:rPr>
          <w:rFonts w:ascii="Times New Roman" w:cs="Times New Roman" w:hAnsi="Times New Roman"/>
          <w:sz w:val="28"/>
        </w:rPr>
        <w:t xml:space="preserve"> 1150 «Основные средства»</w:t>
      </w:r>
      <w:r>
        <w:rPr>
          <w:rFonts w:ascii="Times New Roman" w:cs="Times New Roman" w:hAnsi="Times New Roman"/>
          <w:sz w:val="28"/>
        </w:rPr>
        <w:t xml:space="preserve"> и 1160 «Доходные вложения в материальные ценности»</w:t>
      </w:r>
      <w:r>
        <w:rPr>
          <w:rFonts w:ascii="Times New Roman" w:cs="Times New Roman" w:hAnsi="Times New Roman"/>
          <w:sz w:val="28"/>
        </w:rPr>
        <w:t xml:space="preserve"> бухгалтерского баланса (таблица 2.1).</w:t>
      </w:r>
    </w:p>
    <w:p>
      <w:pPr>
        <w:pStyle w:val="style0"/>
        <w:spacing w:before="240" w:after="0" w:lineRule="auto" w:line="360"/>
        <w:rPr>
          <w:rFonts w:ascii="Times New Roman" w:cs="Times New Roman" w:hAnsi="Times New Roman"/>
          <w:sz w:val="28"/>
        </w:rPr>
      </w:pPr>
      <w:r>
        <w:rPr>
          <w:rFonts w:ascii="Times New Roman" w:cs="Times New Roman" w:hAnsi="Times New Roman"/>
          <w:sz w:val="28"/>
        </w:rPr>
        <w:t>Таблица 2.1 –– Основные средства ПАО «МТС», млн. р.</w:t>
      </w:r>
    </w:p>
    <w:tbl>
      <w:tblPr>
        <w:tblStyle w:val="style154"/>
        <w:tblW w:w="0" w:type="auto"/>
        <w:tblLook w:val="04A0" w:firstRow="1" w:lastRow="0" w:firstColumn="1" w:lastColumn="0" w:noHBand="0" w:noVBand="1"/>
      </w:tblPr>
      <w:tblGrid>
        <w:gridCol w:w="2336"/>
        <w:gridCol w:w="2336"/>
        <w:gridCol w:w="2336"/>
        <w:gridCol w:w="2337"/>
      </w:tblGrid>
      <w:tr>
        <w:trPr/>
        <w:tc>
          <w:tcPr>
            <w:tcW w:w="2336" w:type="dxa"/>
            <w:tcBorders/>
          </w:tcPr>
          <w:p>
            <w:pPr>
              <w:pStyle w:val="style0"/>
              <w:spacing w:lineRule="auto" w:line="360"/>
              <w:jc w:val="center"/>
              <w:rPr>
                <w:rFonts w:ascii="Times New Roman" w:cs="Times New Roman" w:hAnsi="Times New Roman"/>
                <w:sz w:val="20"/>
              </w:rPr>
            </w:pPr>
            <w:r>
              <w:rPr>
                <w:rFonts w:ascii="Times New Roman" w:cs="Times New Roman" w:hAnsi="Times New Roman"/>
                <w:sz w:val="20"/>
              </w:rPr>
              <w:t>Показатель</w:t>
            </w:r>
          </w:p>
        </w:tc>
        <w:tc>
          <w:tcPr>
            <w:tcW w:w="2336" w:type="dxa"/>
            <w:tcBorders/>
          </w:tcPr>
          <w:p>
            <w:pPr>
              <w:pStyle w:val="style0"/>
              <w:spacing w:lineRule="auto" w:line="360"/>
              <w:jc w:val="center"/>
              <w:rPr>
                <w:rFonts w:ascii="Times New Roman" w:cs="Times New Roman" w:hAnsi="Times New Roman"/>
                <w:sz w:val="20"/>
              </w:rPr>
            </w:pPr>
            <w:r>
              <w:rPr>
                <w:rFonts w:ascii="Times New Roman" w:cs="Times New Roman" w:hAnsi="Times New Roman"/>
                <w:sz w:val="20"/>
              </w:rPr>
              <w:t>Код</w:t>
            </w:r>
          </w:p>
        </w:tc>
        <w:tc>
          <w:tcPr>
            <w:tcW w:w="2336" w:type="dxa"/>
            <w:tcBorders/>
          </w:tcPr>
          <w:p>
            <w:pPr>
              <w:pStyle w:val="style0"/>
              <w:spacing w:lineRule="auto" w:line="360"/>
              <w:jc w:val="center"/>
              <w:rPr>
                <w:rFonts w:ascii="Times New Roman" w:cs="Times New Roman" w:hAnsi="Times New Roman"/>
                <w:sz w:val="20"/>
              </w:rPr>
            </w:pPr>
            <w:r>
              <w:rPr>
                <w:rFonts w:ascii="Times New Roman" w:cs="Times New Roman" w:hAnsi="Times New Roman"/>
                <w:sz w:val="20"/>
              </w:rPr>
              <w:t>2018 г.</w:t>
            </w:r>
          </w:p>
        </w:tc>
        <w:tc>
          <w:tcPr>
            <w:tcW w:w="2337" w:type="dxa"/>
            <w:tcBorders/>
          </w:tcPr>
          <w:p>
            <w:pPr>
              <w:pStyle w:val="style0"/>
              <w:spacing w:lineRule="auto" w:line="360"/>
              <w:jc w:val="center"/>
              <w:rPr>
                <w:rFonts w:ascii="Times New Roman" w:cs="Times New Roman" w:hAnsi="Times New Roman"/>
                <w:sz w:val="20"/>
              </w:rPr>
            </w:pPr>
            <w:r>
              <w:rPr>
                <w:rFonts w:ascii="Times New Roman" w:cs="Times New Roman" w:hAnsi="Times New Roman"/>
                <w:sz w:val="20"/>
              </w:rPr>
              <w:t>2019 г.</w:t>
            </w:r>
          </w:p>
        </w:tc>
      </w:tr>
      <w:tr>
        <w:tblPrEx/>
        <w:trPr/>
        <w:tc>
          <w:tcPr>
            <w:tcW w:w="2336" w:type="dxa"/>
            <w:tcBorders/>
          </w:tcPr>
          <w:p>
            <w:pPr>
              <w:pStyle w:val="style0"/>
              <w:spacing w:lineRule="auto" w:line="360"/>
              <w:rPr>
                <w:rFonts w:ascii="Times New Roman" w:cs="Times New Roman" w:hAnsi="Times New Roman"/>
                <w:sz w:val="20"/>
              </w:rPr>
            </w:pPr>
            <w:r>
              <w:rPr>
                <w:rFonts w:ascii="Times New Roman" w:cs="Times New Roman" w:hAnsi="Times New Roman"/>
                <w:sz w:val="20"/>
              </w:rPr>
              <w:t>Основные средства</w:t>
            </w:r>
          </w:p>
        </w:tc>
        <w:tc>
          <w:tcPr>
            <w:tcW w:w="2336"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1150</w:t>
            </w:r>
          </w:p>
        </w:tc>
        <w:tc>
          <w:tcPr>
            <w:tcW w:w="2336"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150649</w:t>
            </w:r>
          </w:p>
        </w:tc>
        <w:tc>
          <w:tcPr>
            <w:tcW w:w="2337"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168419</w:t>
            </w:r>
          </w:p>
        </w:tc>
      </w:tr>
      <w:tr>
        <w:tblPrEx/>
        <w:trPr/>
        <w:tc>
          <w:tcPr>
            <w:tcW w:w="2336" w:type="dxa"/>
            <w:tcBorders/>
          </w:tcPr>
          <w:p>
            <w:pPr>
              <w:pStyle w:val="style0"/>
              <w:spacing w:lineRule="auto" w:line="360"/>
              <w:rPr>
                <w:rFonts w:ascii="Times New Roman" w:cs="Times New Roman" w:hAnsi="Times New Roman"/>
                <w:sz w:val="20"/>
              </w:rPr>
            </w:pPr>
            <w:r>
              <w:rPr>
                <w:rFonts w:ascii="Times New Roman" w:cs="Times New Roman" w:hAnsi="Times New Roman"/>
                <w:sz w:val="20"/>
              </w:rPr>
              <w:t>Доходные вложения в материальные ценности</w:t>
            </w:r>
          </w:p>
        </w:tc>
        <w:tc>
          <w:tcPr>
            <w:tcW w:w="2336"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1160</w:t>
            </w:r>
          </w:p>
        </w:tc>
        <w:tc>
          <w:tcPr>
            <w:tcW w:w="2336"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w:t>
            </w:r>
          </w:p>
        </w:tc>
        <w:tc>
          <w:tcPr>
            <w:tcW w:w="2337" w:type="dxa"/>
            <w:tcBorders/>
          </w:tcPr>
          <w:p>
            <w:pPr>
              <w:pStyle w:val="style0"/>
              <w:spacing w:lineRule="auto" w:line="360"/>
              <w:jc w:val="right"/>
              <w:rPr>
                <w:rFonts w:ascii="Times New Roman" w:cs="Times New Roman" w:hAnsi="Times New Roman"/>
                <w:sz w:val="20"/>
              </w:rPr>
            </w:pPr>
            <w:r>
              <w:rPr>
                <w:rFonts w:ascii="Times New Roman" w:cs="Times New Roman" w:hAnsi="Times New Roman"/>
                <w:sz w:val="20"/>
              </w:rPr>
              <w:t>––</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 xml:space="preserve">Основные средства принимаются организацией к учету по первоначальной стоимости, то есть по сумме всех фактических затрат на их создание или приобретение.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первоначальную стоимость основных средств включаются: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покупная цена (в том числе импортные пошлины и невозмещаемые налоги на покупку за вычетом торговых скидок);</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все прямые затраты на доставку актива и приведение его в состояние, необходимое для использования в соответствии с намерениями руководства;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оценка будущих затрат на демонтаж актива и восстановление площадки, на которой он располагался;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затраты по займам, подлежащие капитализации.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Для о</w:t>
      </w:r>
      <w:r>
        <w:rPr>
          <w:rFonts w:ascii="Times New Roman" w:cs="Times New Roman" w:hAnsi="Times New Roman"/>
          <w:sz w:val="28"/>
        </w:rPr>
        <w:t>сновны</w:t>
      </w:r>
      <w:r>
        <w:rPr>
          <w:rFonts w:ascii="Times New Roman" w:cs="Times New Roman" w:hAnsi="Times New Roman"/>
          <w:sz w:val="28"/>
        </w:rPr>
        <w:t>х средств, приобретенных</w:t>
      </w:r>
      <w:r>
        <w:rPr>
          <w:rFonts w:ascii="Times New Roman" w:cs="Times New Roman" w:hAnsi="Times New Roman"/>
          <w:sz w:val="28"/>
        </w:rPr>
        <w:t xml:space="preserve"> за плату у други</w:t>
      </w:r>
      <w:r>
        <w:rPr>
          <w:rFonts w:ascii="Times New Roman" w:cs="Times New Roman" w:hAnsi="Times New Roman"/>
          <w:sz w:val="28"/>
        </w:rPr>
        <w:t>х предприятий и лиц, возведенных</w:t>
      </w:r>
      <w:r>
        <w:rPr>
          <w:rFonts w:ascii="Times New Roman" w:cs="Times New Roman" w:hAnsi="Times New Roman"/>
          <w:sz w:val="28"/>
        </w:rPr>
        <w:t xml:space="preserve"> хоз</w:t>
      </w:r>
      <w:r>
        <w:rPr>
          <w:rFonts w:ascii="Times New Roman" w:cs="Times New Roman" w:hAnsi="Times New Roman"/>
          <w:sz w:val="28"/>
        </w:rPr>
        <w:t>яйственным способом, внесенных</w:t>
      </w:r>
      <w:r>
        <w:rPr>
          <w:rFonts w:ascii="Times New Roman" w:cs="Times New Roman" w:hAnsi="Times New Roman"/>
          <w:sz w:val="28"/>
        </w:rPr>
        <w:t xml:space="preserve"> учредителями в счет их вкладов в уста</w:t>
      </w:r>
      <w:r>
        <w:rPr>
          <w:rFonts w:ascii="Times New Roman" w:cs="Times New Roman" w:hAnsi="Times New Roman"/>
          <w:sz w:val="28"/>
        </w:rPr>
        <w:t>вный капитал, а также полученных</w:t>
      </w:r>
      <w:r>
        <w:rPr>
          <w:rFonts w:ascii="Times New Roman" w:cs="Times New Roman" w:hAnsi="Times New Roman"/>
          <w:sz w:val="28"/>
        </w:rPr>
        <w:t xml:space="preserve"> по договору дарения и в случаях безвозмездного получения </w:t>
      </w:r>
      <w:r>
        <w:rPr>
          <w:rFonts w:ascii="Times New Roman" w:cs="Times New Roman" w:hAnsi="Times New Roman"/>
          <w:sz w:val="28"/>
        </w:rPr>
        <w:t>компания использует</w:t>
      </w:r>
      <w:r>
        <w:rPr>
          <w:rFonts w:ascii="Times New Roman" w:cs="Times New Roman" w:hAnsi="Times New Roman"/>
          <w:sz w:val="28"/>
        </w:rPr>
        <w:t xml:space="preserve"> дебет</w:t>
      </w:r>
      <w:r>
        <w:rPr>
          <w:rFonts w:ascii="Times New Roman" w:cs="Times New Roman" w:hAnsi="Times New Roman"/>
          <w:sz w:val="28"/>
        </w:rPr>
        <w:t xml:space="preserve"> счета 01 </w:t>
      </w:r>
      <w:r>
        <w:rPr>
          <w:rFonts w:ascii="Times New Roman" w:cs="Times New Roman" w:hAnsi="Times New Roman"/>
          <w:sz w:val="28"/>
        </w:rPr>
        <w:t>«Основные средства» и кредит</w:t>
      </w:r>
      <w:r>
        <w:rPr>
          <w:rFonts w:ascii="Times New Roman" w:cs="Times New Roman" w:hAnsi="Times New Roman"/>
          <w:sz w:val="28"/>
        </w:rPr>
        <w:t xml:space="preserve"> счета 08 «Вложения во </w:t>
      </w:r>
      <w:r>
        <w:rPr>
          <w:rFonts w:ascii="Times New Roman" w:cs="Times New Roman" w:hAnsi="Times New Roman"/>
          <w:sz w:val="28"/>
        </w:rPr>
        <w:t>внеоборотные</w:t>
      </w:r>
      <w:r>
        <w:rPr>
          <w:rFonts w:ascii="Times New Roman" w:cs="Times New Roman" w:hAnsi="Times New Roman"/>
          <w:sz w:val="28"/>
        </w:rPr>
        <w:t xml:space="preserve"> активы».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Необходимо, чтобы данные бухгалтерского баланса об основных средствах соответствовали остаточной стоимости основных средств, отражаемых на</w:t>
      </w:r>
      <w:r>
        <w:rPr>
          <w:rFonts w:ascii="Times New Roman" w:cs="Times New Roman" w:hAnsi="Times New Roman"/>
          <w:sz w:val="28"/>
        </w:rPr>
        <w:t xml:space="preserve"> счетах бухгалтерского баланса (таблица 2.2.).</w:t>
      </w:r>
    </w:p>
    <w:p>
      <w:pPr>
        <w:pStyle w:val="style0"/>
        <w:spacing w:before="240" w:after="0" w:lineRule="auto" w:line="360"/>
        <w:rPr>
          <w:rFonts w:ascii="Times New Roman" w:cs="Times New Roman" w:hAnsi="Times New Roman"/>
          <w:sz w:val="28"/>
        </w:rPr>
      </w:pPr>
      <w:r>
        <w:rPr>
          <w:rFonts w:ascii="Times New Roman" w:cs="Times New Roman" w:hAnsi="Times New Roman"/>
          <w:sz w:val="28"/>
        </w:rPr>
        <w:t xml:space="preserve">Таблица 2.2 –– </w:t>
      </w:r>
      <w:r>
        <w:rPr>
          <w:rFonts w:ascii="Times New Roman" w:cs="Times New Roman" w:hAnsi="Times New Roman"/>
          <w:sz w:val="28"/>
        </w:rPr>
        <w:t>Группы объектов</w:t>
      </w:r>
      <w:r>
        <w:rPr>
          <w:rFonts w:ascii="Times New Roman" w:cs="Times New Roman" w:hAnsi="Times New Roman"/>
          <w:sz w:val="28"/>
        </w:rPr>
        <w:t xml:space="preserve"> основных средств ПАО «МТС»</w:t>
      </w:r>
    </w:p>
    <w:tbl>
      <w:tblPr>
        <w:tblStyle w:val="style154"/>
        <w:tblW w:w="0" w:type="auto"/>
        <w:tblLook w:val="04A0" w:firstRow="1" w:lastRow="0" w:firstColumn="1" w:lastColumn="0" w:noHBand="0" w:noVBand="1"/>
      </w:tblPr>
      <w:tblGrid>
        <w:gridCol w:w="2689"/>
        <w:gridCol w:w="3402"/>
        <w:gridCol w:w="3254"/>
      </w:tblGrid>
      <w:tr>
        <w:trPr>
          <w:trHeight w:val="470" w:hRule="atLeast"/>
        </w:trPr>
        <w:tc>
          <w:tcPr>
            <w:tcW w:w="2689" w:type="dxa"/>
            <w:tcBorders/>
          </w:tcPr>
          <w:p>
            <w:pPr>
              <w:pStyle w:val="style0"/>
              <w:jc w:val="center"/>
              <w:rPr>
                <w:rFonts w:ascii="Times New Roman" w:cs="Times New Roman" w:hAnsi="Times New Roman"/>
                <w:sz w:val="20"/>
                <w:szCs w:val="20"/>
              </w:rPr>
            </w:pPr>
            <w:r>
              <w:rPr>
                <w:rFonts w:ascii="Times New Roman" w:cs="Times New Roman" w:hAnsi="Times New Roman"/>
                <w:sz w:val="20"/>
                <w:szCs w:val="20"/>
              </w:rPr>
              <w:t>Показатели</w:t>
            </w:r>
          </w:p>
        </w:tc>
        <w:tc>
          <w:tcPr>
            <w:tcW w:w="3402" w:type="dxa"/>
            <w:tcBorders/>
          </w:tcPr>
          <w:p>
            <w:pPr>
              <w:pStyle w:val="style0"/>
              <w:jc w:val="center"/>
              <w:rPr>
                <w:rFonts w:ascii="Times New Roman" w:cs="Times New Roman" w:hAnsi="Times New Roman"/>
                <w:sz w:val="20"/>
                <w:szCs w:val="20"/>
              </w:rPr>
            </w:pPr>
            <w:r>
              <w:rPr>
                <w:rFonts w:ascii="Times New Roman" w:cs="Times New Roman" w:hAnsi="Times New Roman"/>
                <w:sz w:val="20"/>
                <w:szCs w:val="20"/>
              </w:rPr>
              <w:t>Остаточная стоимость на конец 2018 г., млн. р.</w:t>
            </w:r>
          </w:p>
        </w:tc>
        <w:tc>
          <w:tcPr>
            <w:tcW w:w="3254" w:type="dxa"/>
            <w:tcBorders/>
          </w:tcPr>
          <w:p>
            <w:pPr>
              <w:pStyle w:val="style0"/>
              <w:jc w:val="center"/>
              <w:rPr>
                <w:rFonts w:ascii="Times New Roman" w:cs="Times New Roman" w:hAnsi="Times New Roman"/>
                <w:sz w:val="20"/>
                <w:szCs w:val="20"/>
              </w:rPr>
            </w:pPr>
            <w:r>
              <w:rPr>
                <w:rFonts w:ascii="Times New Roman" w:cs="Times New Roman" w:hAnsi="Times New Roman"/>
                <w:sz w:val="20"/>
                <w:szCs w:val="20"/>
              </w:rPr>
              <w:t>Остаточная стоимость на конец 2019 г., млн. р.</w:t>
            </w:r>
          </w:p>
          <w:p>
            <w:pPr>
              <w:pStyle w:val="style0"/>
              <w:jc w:val="center"/>
              <w:rPr>
                <w:rFonts w:ascii="Times New Roman" w:cs="Times New Roman" w:hAnsi="Times New Roman"/>
                <w:sz w:val="20"/>
                <w:szCs w:val="20"/>
              </w:rPr>
            </w:pP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Здания</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8836</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91</w:t>
            </w:r>
            <w:r>
              <w:rPr>
                <w:rFonts w:ascii="Times New Roman" w:cs="Times New Roman" w:hAnsi="Times New Roman"/>
                <w:sz w:val="20"/>
                <w:szCs w:val="20"/>
              </w:rPr>
              <w:t>75</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Сооружения и придаточные устройства</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2</w:t>
            </w:r>
            <w:r>
              <w:rPr>
                <w:rFonts w:ascii="Times New Roman" w:cs="Times New Roman" w:hAnsi="Times New Roman"/>
                <w:sz w:val="20"/>
                <w:szCs w:val="20"/>
              </w:rPr>
              <w:t>3414</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25</w:t>
            </w:r>
            <w:r>
              <w:rPr>
                <w:rFonts w:ascii="Times New Roman" w:cs="Times New Roman" w:hAnsi="Times New Roman"/>
                <w:sz w:val="20"/>
                <w:szCs w:val="20"/>
              </w:rPr>
              <w:t>646</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Машины и оборудование</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10</w:t>
            </w:r>
            <w:r>
              <w:rPr>
                <w:rFonts w:ascii="Times New Roman" w:cs="Times New Roman" w:hAnsi="Times New Roman"/>
                <w:sz w:val="20"/>
                <w:szCs w:val="20"/>
              </w:rPr>
              <w:t>7249</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105</w:t>
            </w:r>
            <w:r>
              <w:rPr>
                <w:rFonts w:ascii="Times New Roman" w:cs="Times New Roman" w:hAnsi="Times New Roman"/>
                <w:sz w:val="20"/>
                <w:szCs w:val="20"/>
              </w:rPr>
              <w:t>028</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Транспортные средства</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493</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562</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Производственный инвентарь</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9</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27</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Земельные участки</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735</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768</w:t>
            </w:r>
          </w:p>
        </w:tc>
      </w:tr>
      <w:tr>
        <w:tblPrEx/>
        <w:trPr/>
        <w:tc>
          <w:tcPr>
            <w:tcW w:w="2689"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Итого основных средств</w:t>
            </w:r>
          </w:p>
        </w:tc>
        <w:tc>
          <w:tcPr>
            <w:tcW w:w="3402"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150649</w:t>
            </w:r>
          </w:p>
        </w:tc>
        <w:tc>
          <w:tcPr>
            <w:tcW w:w="3254" w:type="dxa"/>
            <w:tcBorders/>
          </w:tcPr>
          <w:p>
            <w:pPr>
              <w:pStyle w:val="style0"/>
              <w:jc w:val="right"/>
              <w:rPr>
                <w:rFonts w:ascii="Times New Roman" w:cs="Times New Roman" w:hAnsi="Times New Roman"/>
                <w:sz w:val="20"/>
                <w:szCs w:val="20"/>
              </w:rPr>
            </w:pPr>
            <w:r>
              <w:rPr>
                <w:rFonts w:ascii="Times New Roman" w:cs="Times New Roman" w:hAnsi="Times New Roman"/>
                <w:sz w:val="20"/>
                <w:szCs w:val="20"/>
              </w:rPr>
              <w:t>168419</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Проведя проверку, можно сделать вывод о том, что данное соответс</w:t>
      </w:r>
      <w:r>
        <w:rPr>
          <w:rFonts w:ascii="Times New Roman" w:cs="Times New Roman" w:hAnsi="Times New Roman"/>
          <w:sz w:val="28"/>
        </w:rPr>
        <w:t>т</w:t>
      </w:r>
      <w:r>
        <w:rPr>
          <w:rFonts w:ascii="Times New Roman" w:cs="Times New Roman" w:hAnsi="Times New Roman"/>
          <w:sz w:val="28"/>
        </w:rPr>
        <w:t xml:space="preserve">вие соблюдается. </w:t>
      </w:r>
      <w:r>
        <w:rPr>
          <w:rFonts w:ascii="Times New Roman" w:cs="Times New Roman" w:hAnsi="Times New Roman"/>
          <w:sz w:val="28"/>
        </w:rPr>
        <w:t>Стоим</w:t>
      </w:r>
      <w:r>
        <w:rPr>
          <w:rFonts w:ascii="Times New Roman" w:cs="Times New Roman" w:hAnsi="Times New Roman"/>
          <w:sz w:val="28"/>
        </w:rPr>
        <w:t xml:space="preserve">ость объектов основных средств </w:t>
      </w:r>
      <w:r>
        <w:rPr>
          <w:rFonts w:ascii="Times New Roman" w:cs="Times New Roman" w:hAnsi="Times New Roman"/>
          <w:sz w:val="28"/>
        </w:rPr>
        <w:t xml:space="preserve">погашается посредством начисления амортизации, информация о которой обобщается на счете 02 </w:t>
      </w:r>
      <w:r>
        <w:rPr>
          <w:rFonts w:ascii="Times New Roman" w:cs="Times New Roman" w:hAnsi="Times New Roman"/>
          <w:sz w:val="28"/>
        </w:rPr>
        <w:t>«Амортизация основных средств». Амортизация начисляется на объекты основных средств, находящихся в организации на праве собственн</w:t>
      </w:r>
      <w:r>
        <w:rPr>
          <w:rFonts w:ascii="Times New Roman" w:cs="Times New Roman" w:hAnsi="Times New Roman"/>
          <w:sz w:val="28"/>
        </w:rPr>
        <w:t>ости, хозяйственного ведения и</w:t>
      </w:r>
      <w:r>
        <w:rPr>
          <w:rFonts w:ascii="Times New Roman" w:cs="Times New Roman" w:hAnsi="Times New Roman"/>
          <w:sz w:val="28"/>
        </w:rPr>
        <w:t xml:space="preserve"> оперативного управления.</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Амортизация </w:t>
      </w:r>
      <w:r>
        <w:rPr>
          <w:rFonts w:ascii="Times New Roman" w:cs="Times New Roman" w:hAnsi="Times New Roman"/>
          <w:sz w:val="28"/>
        </w:rPr>
        <w:t xml:space="preserve">в ПАО «МТС» </w:t>
      </w:r>
      <w:r>
        <w:rPr>
          <w:rFonts w:ascii="Times New Roman" w:cs="Times New Roman" w:hAnsi="Times New Roman"/>
          <w:sz w:val="28"/>
        </w:rPr>
        <w:t>начисляется линейным способом в течение предполагаемого срока полезного использования независимо от того, используется ли такой актив в течение этого времени или простаивает. Не подлежат амортизации объекты основных средств, потребительские свойства которых с течением времени не изменяются.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По основным средствам, принимаемы</w:t>
      </w:r>
      <w:r>
        <w:rPr>
          <w:rFonts w:ascii="Times New Roman" w:cs="Times New Roman" w:hAnsi="Times New Roman"/>
          <w:sz w:val="28"/>
        </w:rPr>
        <w:t>м</w:t>
      </w:r>
      <w:r>
        <w:rPr>
          <w:rFonts w:ascii="Times New Roman" w:cs="Times New Roman" w:hAnsi="Times New Roman"/>
          <w:sz w:val="28"/>
        </w:rPr>
        <w:t xml:space="preserve"> к учету, при вводе в эксплуатацию определение срока полезного использования осуществляется исходя из сроков полезного использования амортизируемого имущества в соответствии с классификатором основных средств ПАО «МТС». Исходя из этого, по основным группам основным средств сроки полезного использования составляют: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здания от 20 до 150 лет;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сооружения от 5 до 44 лет;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машины и оборудование от 2 до 20 лет;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транспортные средства от 2 до 10 лет;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производственный инвентарь от 3 до 20 лет.</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Начисление амортизации по объектам основных средств прекращается с первого числа месяца, следующего за месяцем выбытия объекта из состава основных средств. Выбытие объекта основных средств имеет</w:t>
      </w:r>
      <w:r>
        <w:rPr>
          <w:rFonts w:ascii="Times New Roman" w:cs="Times New Roman" w:hAnsi="Times New Roman"/>
          <w:sz w:val="28"/>
        </w:rPr>
        <w:t xml:space="preserve"> место в случаях:</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продажи;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списания в случае морального и физического износа;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w:t>
      </w:r>
      <w:r>
        <w:rPr>
          <w:rFonts w:ascii="Times New Roman" w:cs="Times New Roman" w:hAnsi="Times New Roman"/>
          <w:sz w:val="28"/>
        </w:rPr>
        <w:t>ликвидации при авариях и иных чрезвычайных ситуациях;</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передачи в виде вклада в уставный капитал других организаций;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передачи по договорам мены, дарения;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передачи дочернему (зависимому) об</w:t>
      </w:r>
      <w:r>
        <w:rPr>
          <w:rFonts w:ascii="Times New Roman" w:cs="Times New Roman" w:hAnsi="Times New Roman"/>
          <w:sz w:val="28"/>
        </w:rPr>
        <w:t>ществу от головной организации;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w:t>
      </w:r>
      <w:r>
        <w:rPr>
          <w:rFonts w:ascii="Times New Roman" w:cs="Times New Roman" w:hAnsi="Times New Roman"/>
          <w:sz w:val="28"/>
        </w:rPr>
        <w:t xml:space="preserve"> недостачи и порчи, выявленных при инвентаризации;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частичной ликвидации.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Для учета выбытия объектов основных средств ПАО «МТС» использует </w:t>
      </w:r>
      <w:r>
        <w:rPr>
          <w:rFonts w:ascii="Times New Roman" w:cs="Times New Roman" w:hAnsi="Times New Roman"/>
          <w:sz w:val="28"/>
        </w:rPr>
        <w:t>субсчет</w:t>
      </w:r>
      <w:r>
        <w:rPr>
          <w:rFonts w:ascii="Times New Roman" w:cs="Times New Roman" w:hAnsi="Times New Roman"/>
          <w:sz w:val="28"/>
        </w:rPr>
        <w:t xml:space="preserve"> «Выбытие основных средств», который открывается к счету 01 «Основные средства».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При проведении аудита бухгалтерского учета основных средств установлено, что все условия, определенные нормативными и законодательными документами, для их учета соблюдаются.</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2.2</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Финансовый контроль бухгалтерского учета</w:t>
      </w:r>
      <w:r>
        <w:rPr>
          <w:rFonts w:ascii="Times New Roman" w:cs="Times New Roman" w:eastAsia="Times New Roman" w:hAnsi="Times New Roman"/>
          <w:b/>
          <w:sz w:val="28"/>
          <w:szCs w:val="28"/>
          <w:lang w:eastAsia="ru-RU"/>
        </w:rPr>
        <w:br/>
      </w:r>
      <w:r>
        <w:rPr>
          <w:rFonts w:ascii="Times New Roman" w:cs="Times New Roman" w:eastAsia="Times New Roman" w:hAnsi="Times New Roman"/>
          <w:b/>
          <w:sz w:val="28"/>
          <w:szCs w:val="28"/>
          <w:lang w:eastAsia="ru-RU"/>
        </w:rPr>
        <w:t>нематериальных активов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процессе проверки установлено, что порядок ведения бухгалтерского учета нематериальных активов в ПАО «МТС» регламентируется положением по бухгалтерскому учету 14/07 «Учет нематериальных активов»</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соответствии с учетной политикой организации </w:t>
      </w:r>
      <w:r>
        <w:rPr>
          <w:rFonts w:ascii="Times New Roman" w:cs="Times New Roman" w:hAnsi="Times New Roman"/>
          <w:sz w:val="28"/>
        </w:rPr>
        <w:t xml:space="preserve">активы принимаются к </w:t>
      </w:r>
      <w:r>
        <w:rPr>
          <w:rFonts w:ascii="Times New Roman" w:cs="Times New Roman" w:hAnsi="Times New Roman"/>
          <w:sz w:val="28"/>
        </w:rPr>
        <w:t>бухгалтерскому учету в качестве нематериальных активов</w:t>
      </w:r>
      <w:r>
        <w:rPr>
          <w:rFonts w:ascii="Times New Roman" w:cs="Times New Roman" w:hAnsi="Times New Roman"/>
          <w:sz w:val="28"/>
        </w:rPr>
        <w:t xml:space="preserve"> при единовременном выполнении условий,</w:t>
      </w:r>
      <w:r>
        <w:rPr>
          <w:rFonts w:ascii="Times New Roman" w:cs="Times New Roman" w:hAnsi="Times New Roman"/>
          <w:sz w:val="28"/>
        </w:rPr>
        <w:t xml:space="preserve"> </w:t>
      </w:r>
      <w:r>
        <w:rPr>
          <w:rFonts w:ascii="Times New Roman" w:cs="Times New Roman" w:hAnsi="Times New Roman"/>
          <w:sz w:val="28"/>
        </w:rPr>
        <w:t>у</w:t>
      </w:r>
      <w:r>
        <w:rPr>
          <w:rFonts w:ascii="Times New Roman" w:cs="Times New Roman" w:hAnsi="Times New Roman"/>
          <w:sz w:val="28"/>
        </w:rPr>
        <w:t>становленных пунктом 3 положения по бухгалтерскому учету 14/07 «Учет нематериальных активов».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Так, к</w:t>
      </w:r>
      <w:r>
        <w:rPr>
          <w:rFonts w:ascii="Times New Roman" w:cs="Times New Roman" w:hAnsi="Times New Roman"/>
          <w:sz w:val="28"/>
        </w:rPr>
        <w:t xml:space="preserve"> основным видам </w:t>
      </w:r>
      <w:r>
        <w:rPr>
          <w:rFonts w:ascii="Times New Roman" w:cs="Times New Roman" w:hAnsi="Times New Roman"/>
          <w:sz w:val="28"/>
        </w:rPr>
        <w:t>нематериальных активов ПАО «МТС»</w:t>
      </w:r>
      <w:r>
        <w:rPr>
          <w:rFonts w:ascii="Times New Roman" w:cs="Times New Roman" w:hAnsi="Times New Roman"/>
          <w:sz w:val="28"/>
        </w:rPr>
        <w:t xml:space="preserve"> относятся: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исключительные права на программы для ЭВМ, базы данных;</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исключительные права на товарные знаки, знаки обслуживания;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исключительные права на изобретения, промышленные образцы, полезные модели;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исключительные права на электронные цифровые карты;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права пользования номерной емкости связи;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лицензии на право осуществления определенных видов деятельности;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права на использование радиочастот и/или радиочас</w:t>
      </w:r>
      <w:r>
        <w:rPr>
          <w:rFonts w:ascii="Times New Roman" w:cs="Times New Roman" w:hAnsi="Times New Roman"/>
          <w:sz w:val="28"/>
        </w:rPr>
        <w:t>тотных каналов;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прочие нематериальные активы.</w:t>
      </w:r>
      <w:r>
        <w:rPr>
          <w:rFonts w:ascii="Times New Roman" w:cs="Times New Roman" w:hAnsi="Times New Roman"/>
          <w:sz w:val="28"/>
        </w:rPr>
        <w:cr/>
      </w:r>
      <w:r>
        <w:rPr>
          <w:rFonts w:ascii="Times New Roman" w:cs="Times New Roman" w:hAnsi="Times New Roman"/>
          <w:sz w:val="28"/>
        </w:rPr>
        <w:t xml:space="preserve">Фактическая (первоначальная) стоимость </w:t>
      </w:r>
      <w:r>
        <w:rPr>
          <w:rFonts w:ascii="Times New Roman" w:cs="Times New Roman" w:hAnsi="Times New Roman"/>
          <w:sz w:val="28"/>
        </w:rPr>
        <w:t>нематериальных активов при их приобретении или создании, определяется в соответствии с разделом 2 ПБУ 14/07 «Учет нематериальных активов».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Выявлено, что начисление амортизации по нематериальным активам</w:t>
      </w:r>
      <w:r>
        <w:rPr>
          <w:rFonts w:ascii="Times New Roman" w:cs="Times New Roman" w:hAnsi="Times New Roman"/>
          <w:sz w:val="28"/>
        </w:rPr>
        <w:t xml:space="preserve"> с определенным</w:t>
      </w:r>
      <w:r>
        <w:rPr>
          <w:rFonts w:ascii="Times New Roman" w:cs="Times New Roman" w:hAnsi="Times New Roman"/>
          <w:sz w:val="28"/>
        </w:rPr>
        <w:t xml:space="preserve"> сроком полезного использования </w:t>
      </w:r>
      <w:r>
        <w:rPr>
          <w:rFonts w:ascii="Times New Roman" w:cs="Times New Roman" w:hAnsi="Times New Roman"/>
          <w:sz w:val="28"/>
        </w:rPr>
        <w:t>производится линейным способом в течение этого срока.</w:t>
      </w:r>
      <w:r>
        <w:rPr>
          <w:rFonts w:ascii="Times New Roman" w:cs="Times New Roman" w:hAnsi="Times New Roman"/>
          <w:sz w:val="28"/>
        </w:rPr>
        <w:t xml:space="preserve"> </w:t>
      </w:r>
      <w:r>
        <w:rPr>
          <w:rFonts w:ascii="Times New Roman" w:cs="Times New Roman" w:hAnsi="Times New Roman"/>
          <w:sz w:val="28"/>
        </w:rPr>
        <w:t>Срок полезного использования нематериальных активов</w:t>
      </w:r>
      <w:r>
        <w:rPr>
          <w:rFonts w:ascii="Times New Roman" w:cs="Times New Roman" w:hAnsi="Times New Roman"/>
          <w:sz w:val="28"/>
        </w:rPr>
        <w:t xml:space="preserve"> определяется при пр</w:t>
      </w:r>
      <w:r>
        <w:rPr>
          <w:rFonts w:ascii="Times New Roman" w:cs="Times New Roman" w:hAnsi="Times New Roman"/>
          <w:sz w:val="28"/>
        </w:rPr>
        <w:t xml:space="preserve">инятии объекта к бухгалтерскому </w:t>
      </w:r>
      <w:r>
        <w:rPr>
          <w:rFonts w:ascii="Times New Roman" w:cs="Times New Roman" w:hAnsi="Times New Roman"/>
          <w:sz w:val="28"/>
        </w:rPr>
        <w:t>учету. Опр</w:t>
      </w:r>
      <w:r>
        <w:rPr>
          <w:rFonts w:ascii="Times New Roman" w:cs="Times New Roman" w:hAnsi="Times New Roman"/>
          <w:sz w:val="28"/>
        </w:rPr>
        <w:t>еделение срока использования нематериальных активов</w:t>
      </w:r>
      <w:r>
        <w:rPr>
          <w:rFonts w:ascii="Times New Roman" w:cs="Times New Roman" w:hAnsi="Times New Roman"/>
          <w:sz w:val="28"/>
        </w:rPr>
        <w:t xml:space="preserve"> производится исходя из:</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срока </w:t>
      </w:r>
      <w:r>
        <w:rPr>
          <w:rFonts w:ascii="Times New Roman" w:cs="Times New Roman" w:hAnsi="Times New Roman"/>
          <w:sz w:val="28"/>
        </w:rPr>
        <w:t>действия прав о</w:t>
      </w:r>
      <w:r>
        <w:rPr>
          <w:rFonts w:ascii="Times New Roman" w:cs="Times New Roman" w:hAnsi="Times New Roman"/>
          <w:sz w:val="28"/>
        </w:rPr>
        <w:t>бщества на результат ин</w:t>
      </w:r>
      <w:r>
        <w:rPr>
          <w:rFonts w:ascii="Times New Roman" w:cs="Times New Roman" w:hAnsi="Times New Roman"/>
          <w:sz w:val="28"/>
        </w:rPr>
        <w:t xml:space="preserve">теллектуальной деятельности или </w:t>
      </w:r>
      <w:r>
        <w:rPr>
          <w:rFonts w:ascii="Times New Roman" w:cs="Times New Roman" w:hAnsi="Times New Roman"/>
          <w:sz w:val="28"/>
        </w:rPr>
        <w:t>средство индивидуализации и периода контроля над активом (срока действия патента,</w:t>
      </w:r>
      <w:r>
        <w:rPr>
          <w:rFonts w:ascii="Times New Roman" w:cs="Times New Roman" w:hAnsi="Times New Roman"/>
          <w:sz w:val="28"/>
        </w:rPr>
        <w:t xml:space="preserve"> </w:t>
      </w:r>
      <w:r>
        <w:rPr>
          <w:rFonts w:ascii="Times New Roman" w:cs="Times New Roman" w:hAnsi="Times New Roman"/>
          <w:sz w:val="28"/>
        </w:rPr>
        <w:t>свидетельства и других ограничений срока использования объектов интеллектуальной</w:t>
      </w:r>
      <w:r>
        <w:rPr>
          <w:rFonts w:ascii="Times New Roman" w:cs="Times New Roman" w:hAnsi="Times New Roman"/>
          <w:sz w:val="28"/>
        </w:rPr>
        <w:t xml:space="preserve"> </w:t>
      </w:r>
      <w:r>
        <w:rPr>
          <w:rFonts w:ascii="Times New Roman" w:cs="Times New Roman" w:hAnsi="Times New Roman"/>
          <w:sz w:val="28"/>
        </w:rPr>
        <w:t>собственности в соответствии с законодательством РФ);</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ожидаемого срока использова</w:t>
      </w:r>
      <w:r>
        <w:rPr>
          <w:rFonts w:ascii="Times New Roman" w:cs="Times New Roman" w:hAnsi="Times New Roman"/>
          <w:sz w:val="28"/>
        </w:rPr>
        <w:t>ния актива, в течение которого общество предполагает получать экономические выгоды.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При отсутствии заключения специалистов и</w:t>
      </w:r>
      <w:r>
        <w:rPr>
          <w:rFonts w:ascii="Times New Roman" w:cs="Times New Roman" w:hAnsi="Times New Roman"/>
          <w:sz w:val="28"/>
        </w:rPr>
        <w:t xml:space="preserve">ли информации о сроке полезного </w:t>
      </w:r>
      <w:r>
        <w:rPr>
          <w:rFonts w:ascii="Times New Roman" w:cs="Times New Roman" w:hAnsi="Times New Roman"/>
          <w:sz w:val="28"/>
        </w:rPr>
        <w:t>использования в документах на приобрете</w:t>
      </w:r>
      <w:r>
        <w:rPr>
          <w:rFonts w:ascii="Times New Roman" w:cs="Times New Roman" w:hAnsi="Times New Roman"/>
          <w:sz w:val="28"/>
        </w:rPr>
        <w:t>ние актива применяются</w:t>
      </w:r>
      <w:r>
        <w:rPr>
          <w:rFonts w:ascii="Times New Roman" w:cs="Times New Roman" w:hAnsi="Times New Roman"/>
          <w:sz w:val="28"/>
        </w:rPr>
        <w:t xml:space="preserve"> общие</w:t>
      </w:r>
      <w:r>
        <w:rPr>
          <w:rFonts w:ascii="Times New Roman" w:cs="Times New Roman" w:hAnsi="Times New Roman"/>
          <w:sz w:val="28"/>
        </w:rPr>
        <w:t xml:space="preserve"> </w:t>
      </w:r>
      <w:r>
        <w:rPr>
          <w:rFonts w:ascii="Times New Roman" w:cs="Times New Roman" w:hAnsi="Times New Roman"/>
          <w:sz w:val="28"/>
        </w:rPr>
        <w:t>сроки амортизации</w:t>
      </w:r>
      <w:r>
        <w:rPr>
          <w:rFonts w:ascii="Times New Roman" w:cs="Times New Roman" w:hAnsi="Times New Roman"/>
          <w:sz w:val="28"/>
        </w:rPr>
        <w:t>, указанные в таблице 2.3.</w:t>
      </w:r>
      <w:r>
        <w:rPr>
          <w:rFonts w:ascii="Times New Roman" w:cs="Times New Roman" w:hAnsi="Times New Roman"/>
          <w:sz w:val="28"/>
        </w:rPr>
        <w:t xml:space="preserve"> (при условии, что актив не имеет неопределенного срока полезного</w:t>
      </w:r>
      <w:r>
        <w:rPr>
          <w:rFonts w:ascii="Times New Roman" w:cs="Times New Roman" w:hAnsi="Times New Roman"/>
          <w:sz w:val="28"/>
        </w:rPr>
        <w:t xml:space="preserve"> и</w:t>
      </w:r>
      <w:r>
        <w:rPr>
          <w:rFonts w:ascii="Times New Roman" w:cs="Times New Roman" w:hAnsi="Times New Roman"/>
          <w:sz w:val="28"/>
        </w:rPr>
        <w:t>спользовани</w:t>
      </w:r>
      <w:r>
        <w:rPr>
          <w:rFonts w:ascii="Times New Roman" w:cs="Times New Roman" w:hAnsi="Times New Roman"/>
          <w:sz w:val="28"/>
        </w:rPr>
        <w:t>я).</w:t>
      </w:r>
    </w:p>
    <w:p>
      <w:pPr>
        <w:pStyle w:val="style0"/>
        <w:spacing w:before="240" w:after="0" w:lineRule="auto" w:line="360"/>
        <w:rPr>
          <w:rFonts w:ascii="Times New Roman" w:cs="Times New Roman" w:hAnsi="Times New Roman"/>
          <w:sz w:val="28"/>
        </w:rPr>
      </w:pPr>
      <w:r>
        <w:rPr>
          <w:rFonts w:ascii="Times New Roman" w:cs="Times New Roman" w:hAnsi="Times New Roman"/>
          <w:sz w:val="28"/>
        </w:rPr>
        <w:t>Таблица 2.3 –– Сроки аморт</w:t>
      </w:r>
      <w:r>
        <w:rPr>
          <w:rFonts w:ascii="Times New Roman" w:cs="Times New Roman" w:hAnsi="Times New Roman"/>
          <w:sz w:val="28"/>
        </w:rPr>
        <w:t xml:space="preserve">изации нематериальных активов </w:t>
      </w:r>
      <w:r>
        <w:rPr>
          <w:rFonts w:ascii="Times New Roman" w:cs="Times New Roman" w:hAnsi="Times New Roman"/>
          <w:sz w:val="28"/>
        </w:rPr>
        <w:t>ПАО «МТС»</w:t>
      </w:r>
    </w:p>
    <w:tbl>
      <w:tblPr>
        <w:tblStyle w:val="style154"/>
        <w:tblW w:w="0" w:type="auto"/>
        <w:tblLook w:val="04A0" w:firstRow="1" w:lastRow="0" w:firstColumn="1" w:lastColumn="0" w:noHBand="0" w:noVBand="1"/>
      </w:tblPr>
      <w:tblGrid>
        <w:gridCol w:w="4672"/>
        <w:gridCol w:w="4673"/>
      </w:tblGrid>
      <w:tr>
        <w:trPr/>
        <w:tc>
          <w:tcPr>
            <w:tcW w:w="4672" w:type="dxa"/>
            <w:tcBorders/>
          </w:tcPr>
          <w:p>
            <w:pPr>
              <w:pStyle w:val="style0"/>
              <w:jc w:val="center"/>
              <w:rPr>
                <w:rFonts w:ascii="Times New Roman" w:cs="Times New Roman" w:hAnsi="Times New Roman"/>
                <w:sz w:val="20"/>
              </w:rPr>
            </w:pPr>
            <w:r>
              <w:rPr>
                <w:rFonts w:ascii="Times New Roman" w:cs="Times New Roman" w:hAnsi="Times New Roman"/>
                <w:sz w:val="20"/>
              </w:rPr>
              <w:t>Нематериальный актив</w:t>
            </w:r>
          </w:p>
        </w:tc>
        <w:tc>
          <w:tcPr>
            <w:tcW w:w="4673" w:type="dxa"/>
            <w:tcBorders/>
          </w:tcPr>
          <w:p>
            <w:pPr>
              <w:pStyle w:val="style0"/>
              <w:jc w:val="center"/>
              <w:rPr>
                <w:rFonts w:ascii="Times New Roman" w:cs="Times New Roman" w:hAnsi="Times New Roman"/>
                <w:sz w:val="20"/>
              </w:rPr>
            </w:pPr>
            <w:r>
              <w:rPr>
                <w:rFonts w:ascii="Times New Roman" w:cs="Times New Roman" w:hAnsi="Times New Roman"/>
                <w:sz w:val="20"/>
              </w:rPr>
              <w:t>Срок амортизации, г.</w:t>
            </w:r>
          </w:p>
        </w:tc>
      </w:tr>
      <w:tr>
        <w:tblPrEx/>
        <w:trPr/>
        <w:tc>
          <w:tcPr>
            <w:tcW w:w="4672" w:type="dxa"/>
            <w:tcBorders/>
          </w:tcPr>
          <w:p>
            <w:pPr>
              <w:pStyle w:val="style0"/>
              <w:rPr>
                <w:rFonts w:ascii="Times New Roman" w:cs="Times New Roman" w:hAnsi="Times New Roman"/>
                <w:sz w:val="20"/>
              </w:rPr>
            </w:pPr>
            <w:r>
              <w:rPr>
                <w:rFonts w:ascii="Times New Roman" w:cs="Times New Roman" w:hAnsi="Times New Roman"/>
                <w:sz w:val="20"/>
              </w:rPr>
              <w:t>Программное обеспечение и прочие нематериальные активы</w:t>
            </w:r>
          </w:p>
        </w:tc>
        <w:tc>
          <w:tcPr>
            <w:tcW w:w="4673" w:type="dxa"/>
            <w:tcBorders/>
          </w:tcPr>
          <w:p>
            <w:pPr>
              <w:pStyle w:val="style0"/>
              <w:jc w:val="right"/>
              <w:rPr>
                <w:rFonts w:ascii="Times New Roman" w:cs="Times New Roman" w:hAnsi="Times New Roman"/>
                <w:sz w:val="20"/>
              </w:rPr>
            </w:pPr>
            <w:r>
              <w:rPr>
                <w:rFonts w:ascii="Times New Roman" w:cs="Times New Roman" w:hAnsi="Times New Roman"/>
                <w:sz w:val="20"/>
              </w:rPr>
              <w:t>4</w:t>
            </w:r>
          </w:p>
        </w:tc>
      </w:tr>
      <w:tr>
        <w:tblPrEx/>
        <w:trPr/>
        <w:tc>
          <w:tcPr>
            <w:tcW w:w="4672" w:type="dxa"/>
            <w:tcBorders/>
          </w:tcPr>
          <w:p>
            <w:pPr>
              <w:pStyle w:val="style0"/>
              <w:rPr>
                <w:rFonts w:ascii="Times New Roman" w:cs="Times New Roman" w:hAnsi="Times New Roman"/>
                <w:sz w:val="20"/>
              </w:rPr>
            </w:pPr>
            <w:r>
              <w:rPr>
                <w:rFonts w:ascii="Times New Roman" w:cs="Times New Roman" w:hAnsi="Times New Roman"/>
                <w:sz w:val="20"/>
              </w:rPr>
              <w:t>Права на товарные знаки</w:t>
            </w:r>
          </w:p>
        </w:tc>
        <w:tc>
          <w:tcPr>
            <w:tcW w:w="4673" w:type="dxa"/>
            <w:tcBorders/>
          </w:tcPr>
          <w:p>
            <w:pPr>
              <w:pStyle w:val="style0"/>
              <w:jc w:val="right"/>
              <w:rPr>
                <w:rFonts w:ascii="Times New Roman" w:cs="Times New Roman" w:hAnsi="Times New Roman"/>
                <w:sz w:val="20"/>
              </w:rPr>
            </w:pPr>
            <w:r>
              <w:rPr>
                <w:rFonts w:ascii="Times New Roman" w:cs="Times New Roman" w:hAnsi="Times New Roman"/>
                <w:sz w:val="20"/>
              </w:rPr>
              <w:t>10</w:t>
            </w:r>
          </w:p>
        </w:tc>
      </w:tr>
      <w:tr>
        <w:tblPrEx/>
        <w:trPr/>
        <w:tc>
          <w:tcPr>
            <w:tcW w:w="4672" w:type="dxa"/>
            <w:tcBorders/>
          </w:tcPr>
          <w:p>
            <w:pPr>
              <w:pStyle w:val="style0"/>
              <w:rPr>
                <w:rFonts w:ascii="Times New Roman" w:cs="Times New Roman" w:hAnsi="Times New Roman"/>
                <w:sz w:val="20"/>
              </w:rPr>
            </w:pPr>
            <w:r>
              <w:rPr>
                <w:rFonts w:ascii="Times New Roman" w:cs="Times New Roman" w:hAnsi="Times New Roman"/>
                <w:sz w:val="20"/>
              </w:rPr>
              <w:t>Права на пользования номерной емкостью</w:t>
            </w:r>
          </w:p>
        </w:tc>
        <w:tc>
          <w:tcPr>
            <w:tcW w:w="4673" w:type="dxa"/>
            <w:tcBorders/>
          </w:tcPr>
          <w:p>
            <w:pPr>
              <w:pStyle w:val="style0"/>
              <w:jc w:val="right"/>
              <w:rPr>
                <w:rFonts w:ascii="Times New Roman" w:cs="Times New Roman" w:hAnsi="Times New Roman"/>
                <w:sz w:val="20"/>
              </w:rPr>
            </w:pPr>
            <w:r>
              <w:rPr>
                <w:rFonts w:ascii="Times New Roman" w:cs="Times New Roman" w:hAnsi="Times New Roman"/>
                <w:sz w:val="20"/>
              </w:rPr>
              <w:t>10</w:t>
            </w:r>
          </w:p>
        </w:tc>
      </w:tr>
      <w:tr>
        <w:tblPrEx/>
        <w:trPr/>
        <w:tc>
          <w:tcPr>
            <w:tcW w:w="4672" w:type="dxa"/>
            <w:tcBorders/>
          </w:tcPr>
          <w:p>
            <w:pPr>
              <w:pStyle w:val="style0"/>
              <w:rPr>
                <w:rFonts w:ascii="Times New Roman" w:cs="Times New Roman" w:hAnsi="Times New Roman"/>
                <w:sz w:val="20"/>
              </w:rPr>
            </w:pPr>
            <w:r>
              <w:rPr>
                <w:rFonts w:ascii="Times New Roman" w:cs="Times New Roman" w:hAnsi="Times New Roman"/>
                <w:sz w:val="20"/>
              </w:rPr>
              <w:t>Права на пользование радиочастот/каналов</w:t>
            </w:r>
          </w:p>
        </w:tc>
        <w:tc>
          <w:tcPr>
            <w:tcW w:w="4673" w:type="dxa"/>
            <w:tcBorders/>
          </w:tcPr>
          <w:p>
            <w:pPr>
              <w:pStyle w:val="style0"/>
              <w:jc w:val="right"/>
              <w:rPr>
                <w:rFonts w:ascii="Times New Roman" w:cs="Times New Roman" w:hAnsi="Times New Roman"/>
                <w:sz w:val="20"/>
              </w:rPr>
            </w:pPr>
            <w:r>
              <w:rPr>
                <w:rFonts w:ascii="Times New Roman" w:cs="Times New Roman" w:hAnsi="Times New Roman"/>
                <w:sz w:val="20"/>
              </w:rPr>
              <w:t>7</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 xml:space="preserve">ПАО «МТС» </w:t>
      </w:r>
      <w:r>
        <w:rPr>
          <w:rFonts w:ascii="Times New Roman" w:cs="Times New Roman" w:hAnsi="Times New Roman"/>
          <w:sz w:val="28"/>
        </w:rPr>
        <w:t xml:space="preserve">регулярно проверяет срок </w:t>
      </w:r>
      <w:r>
        <w:rPr>
          <w:rFonts w:ascii="Times New Roman" w:cs="Times New Roman" w:hAnsi="Times New Roman"/>
          <w:sz w:val="28"/>
        </w:rPr>
        <w:t>полезного использования</w:t>
      </w:r>
      <w:r>
        <w:rPr>
          <w:rFonts w:ascii="Times New Roman" w:cs="Times New Roman" w:hAnsi="Times New Roman"/>
          <w:sz w:val="28"/>
        </w:rPr>
        <w:t xml:space="preserve"> объектов</w:t>
      </w:r>
      <w:r>
        <w:rPr>
          <w:rFonts w:ascii="Times New Roman" w:cs="Times New Roman" w:hAnsi="Times New Roman"/>
          <w:sz w:val="28"/>
        </w:rPr>
        <w:t xml:space="preserve"> нематериальных активов</w:t>
      </w:r>
      <w:r>
        <w:rPr>
          <w:rFonts w:ascii="Times New Roman" w:cs="Times New Roman" w:hAnsi="Times New Roman"/>
          <w:sz w:val="28"/>
        </w:rPr>
        <w:t>. В случае, если оценка срока службы отличается от предыдущих расчетов, срок</w:t>
      </w:r>
      <w:r>
        <w:rPr>
          <w:rFonts w:ascii="Times New Roman" w:cs="Times New Roman" w:hAnsi="Times New Roman"/>
          <w:sz w:val="28"/>
        </w:rPr>
        <w:t xml:space="preserve"> </w:t>
      </w:r>
      <w:r>
        <w:rPr>
          <w:rFonts w:ascii="Times New Roman" w:cs="Times New Roman" w:hAnsi="Times New Roman"/>
          <w:sz w:val="28"/>
        </w:rPr>
        <w:t>службы и амортизационные отчислен</w:t>
      </w:r>
      <w:r>
        <w:rPr>
          <w:rFonts w:ascii="Times New Roman" w:cs="Times New Roman" w:hAnsi="Times New Roman"/>
          <w:sz w:val="28"/>
        </w:rPr>
        <w:t xml:space="preserve">ия корректируются перспективно.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Минимально возможный срок, до которого возможен пересмотр, составляет 3 месяца.</w:t>
      </w:r>
      <w:r>
        <w:rPr>
          <w:rFonts w:ascii="Times New Roman" w:cs="Times New Roman" w:hAnsi="Times New Roman"/>
          <w:sz w:val="28"/>
        </w:rPr>
        <w:t xml:space="preserve"> </w:t>
      </w:r>
      <w:r>
        <w:rPr>
          <w:rFonts w:ascii="Times New Roman" w:cs="Times New Roman" w:hAnsi="Times New Roman"/>
          <w:sz w:val="28"/>
        </w:rPr>
        <w:t>Возникшие в связи с этим корректировки отражаются в бухгалтерском учете и</w:t>
      </w:r>
      <w:r>
        <w:rPr>
          <w:rFonts w:ascii="Times New Roman" w:cs="Times New Roman" w:hAnsi="Times New Roman"/>
          <w:sz w:val="28"/>
        </w:rPr>
        <w:t xml:space="preserve"> </w:t>
      </w:r>
      <w:r>
        <w:rPr>
          <w:rFonts w:ascii="Times New Roman" w:cs="Times New Roman" w:hAnsi="Times New Roman"/>
          <w:sz w:val="28"/>
        </w:rPr>
        <w:t>бухгалтерской (финансовой) отчетности как и</w:t>
      </w:r>
      <w:r>
        <w:rPr>
          <w:rFonts w:ascii="Times New Roman" w:cs="Times New Roman" w:hAnsi="Times New Roman"/>
          <w:sz w:val="28"/>
        </w:rPr>
        <w:t>зменения в оценочных значениях. Нарушений в бухгалтерском учете нематериальных активов не выявлено.</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2.3</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Финансовый контроль бухгалтерского учета запасов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Бухгалтерский учет материально-производственных запасов в ПАО «МТС» осуществляется в соответствии с положением по бухгалтерскому учету 5/01 «Учет материально-производственных запасов». Запасы отражаются по строке 1210 </w:t>
      </w:r>
      <w:r>
        <w:rPr>
          <w:rFonts w:ascii="Times New Roman" w:cs="Times New Roman" w:hAnsi="Times New Roman"/>
          <w:sz w:val="28"/>
        </w:rPr>
        <w:t>«Запасы» бухгалтерского баланса.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соответствии с учетной политикой ПАО «МТС» запасы принимаются к бухгалтерскому учету по фактической себестоимости. </w:t>
      </w:r>
      <w:r>
        <w:rPr>
          <w:rFonts w:ascii="Times New Roman" w:cs="Times New Roman" w:hAnsi="Times New Roman"/>
          <w:sz w:val="28"/>
        </w:rPr>
        <w:t>В</w:t>
      </w:r>
      <w:r>
        <w:rPr>
          <w:rFonts w:ascii="Times New Roman" w:cs="Times New Roman" w:hAnsi="Times New Roman"/>
          <w:sz w:val="28"/>
        </w:rPr>
        <w:t xml:space="preserve"> качестве материально</w:t>
      </w:r>
      <w:r>
        <w:rPr>
          <w:rFonts w:ascii="Times New Roman" w:cs="Times New Roman" w:hAnsi="Times New Roman"/>
          <w:sz w:val="28"/>
        </w:rPr>
        <w:t>-производственных запасов</w:t>
      </w:r>
      <w:r>
        <w:rPr>
          <w:rFonts w:ascii="Times New Roman" w:cs="Times New Roman" w:hAnsi="Times New Roman"/>
          <w:sz w:val="28"/>
        </w:rPr>
        <w:t xml:space="preserve"> </w:t>
      </w:r>
      <w:r>
        <w:rPr>
          <w:rFonts w:ascii="Times New Roman" w:cs="Times New Roman" w:hAnsi="Times New Roman"/>
          <w:sz w:val="28"/>
        </w:rPr>
        <w:t xml:space="preserve">к </w:t>
      </w:r>
      <w:r>
        <w:rPr>
          <w:rFonts w:ascii="Times New Roman" w:cs="Times New Roman" w:hAnsi="Times New Roman"/>
          <w:sz w:val="28"/>
        </w:rPr>
        <w:t>бухгалтерскому учету принимаются активы при наличии усло</w:t>
      </w:r>
      <w:r>
        <w:rPr>
          <w:rFonts w:ascii="Times New Roman" w:cs="Times New Roman" w:hAnsi="Times New Roman"/>
          <w:sz w:val="28"/>
        </w:rPr>
        <w:t>вий, установленных пунктом 2 положения по бухгалтерскому учету</w:t>
      </w:r>
      <w:r>
        <w:rPr>
          <w:rFonts w:ascii="Times New Roman" w:cs="Times New Roman" w:hAnsi="Times New Roman"/>
          <w:sz w:val="28"/>
        </w:rPr>
        <w:t xml:space="preserve"> 5/0</w:t>
      </w:r>
      <w:r>
        <w:rPr>
          <w:rFonts w:ascii="Times New Roman" w:cs="Times New Roman" w:hAnsi="Times New Roman"/>
          <w:sz w:val="28"/>
        </w:rPr>
        <w:t>1 «Учет материально-производственных запасов»: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товары;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сырье и материалы;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готовая продукция.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Е</w:t>
      </w:r>
      <w:r>
        <w:rPr>
          <w:rFonts w:ascii="Times New Roman" w:cs="Times New Roman" w:hAnsi="Times New Roman"/>
          <w:sz w:val="28"/>
        </w:rPr>
        <w:t>диницей бухгалтерского учета материально-производственных запасов</w:t>
      </w:r>
      <w:r>
        <w:rPr>
          <w:rFonts w:ascii="Times New Roman" w:cs="Times New Roman" w:hAnsi="Times New Roman"/>
          <w:sz w:val="28"/>
        </w:rPr>
        <w:t xml:space="preserve"> является номенклатурный номер.</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Выявлено, что п</w:t>
      </w:r>
      <w:r>
        <w:rPr>
          <w:rFonts w:ascii="Times New Roman" w:cs="Times New Roman" w:hAnsi="Times New Roman"/>
          <w:sz w:val="28"/>
        </w:rPr>
        <w:t xml:space="preserve">редметы со сроком полезного использования не более </w:t>
      </w:r>
      <w:r>
        <w:rPr>
          <w:rFonts w:ascii="Times New Roman" w:cs="Times New Roman" w:hAnsi="Times New Roman"/>
          <w:sz w:val="28"/>
        </w:rPr>
        <w:t xml:space="preserve">12 месяцев, а также спецодежда, </w:t>
      </w:r>
      <w:r>
        <w:rPr>
          <w:rFonts w:ascii="Times New Roman" w:cs="Times New Roman" w:hAnsi="Times New Roman"/>
          <w:sz w:val="28"/>
        </w:rPr>
        <w:t>спецобувь</w:t>
      </w:r>
      <w:r>
        <w:rPr>
          <w:rFonts w:ascii="Times New Roman" w:cs="Times New Roman" w:hAnsi="Times New Roman"/>
          <w:sz w:val="28"/>
        </w:rPr>
        <w:t>, другие средства индивидуальной защиты в бухгалтерском учете отражаются как</w:t>
      </w:r>
      <w:r>
        <w:rPr>
          <w:rFonts w:ascii="Times New Roman" w:cs="Times New Roman" w:hAnsi="Times New Roman"/>
          <w:sz w:val="28"/>
        </w:rPr>
        <w:t xml:space="preserve"> средства в обороте на счете 10 </w:t>
      </w:r>
      <w:r>
        <w:rPr>
          <w:rFonts w:ascii="Times New Roman" w:cs="Times New Roman" w:hAnsi="Times New Roman"/>
          <w:sz w:val="28"/>
        </w:rPr>
        <w:t xml:space="preserve">«Материалы» на соответствующих </w:t>
      </w:r>
      <w:r>
        <w:rPr>
          <w:rFonts w:ascii="Times New Roman" w:cs="Times New Roman" w:hAnsi="Times New Roman"/>
          <w:sz w:val="28"/>
        </w:rPr>
        <w:t>субсчетах</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Порядок отражения в бухгалтерском учете проце</w:t>
      </w:r>
      <w:r>
        <w:rPr>
          <w:rFonts w:ascii="Times New Roman" w:cs="Times New Roman" w:hAnsi="Times New Roman"/>
          <w:sz w:val="28"/>
        </w:rPr>
        <w:t xml:space="preserve">сса приобретения и заготовления </w:t>
      </w:r>
      <w:r>
        <w:rPr>
          <w:rFonts w:ascii="Times New Roman" w:cs="Times New Roman" w:hAnsi="Times New Roman"/>
          <w:sz w:val="28"/>
        </w:rPr>
        <w:t>оборудования, материалов и товаров предусматривает применени</w:t>
      </w:r>
      <w:r>
        <w:rPr>
          <w:rFonts w:ascii="Times New Roman" w:cs="Times New Roman" w:hAnsi="Times New Roman"/>
          <w:sz w:val="28"/>
        </w:rPr>
        <w:t xml:space="preserve">е </w:t>
      </w:r>
      <w:r>
        <w:rPr>
          <w:rFonts w:ascii="Times New Roman" w:cs="Times New Roman" w:hAnsi="Times New Roman"/>
          <w:sz w:val="28"/>
        </w:rPr>
        <w:t>счетов 15 «Заготовление</w:t>
      </w:r>
      <w:r>
        <w:rPr>
          <w:rFonts w:ascii="Times New Roman" w:cs="Times New Roman" w:hAnsi="Times New Roman"/>
          <w:sz w:val="28"/>
        </w:rPr>
        <w:t xml:space="preserve"> </w:t>
      </w:r>
      <w:r>
        <w:rPr>
          <w:rFonts w:ascii="Times New Roman" w:cs="Times New Roman" w:hAnsi="Times New Roman"/>
          <w:sz w:val="28"/>
        </w:rPr>
        <w:t>и приобретение материальных ценностей» и 16 «Отклонение в стоимости материальных</w:t>
      </w:r>
      <w:r>
        <w:rPr>
          <w:rFonts w:ascii="Times New Roman" w:cs="Times New Roman" w:hAnsi="Times New Roman"/>
          <w:sz w:val="28"/>
        </w:rPr>
        <w:t xml:space="preserve"> </w:t>
      </w:r>
      <w:r>
        <w:rPr>
          <w:rFonts w:ascii="Times New Roman" w:cs="Times New Roman" w:hAnsi="Times New Roman"/>
          <w:sz w:val="28"/>
        </w:rPr>
        <w:t>ценностей».</w:t>
      </w:r>
      <w:r>
        <w:rPr>
          <w:rFonts w:ascii="Times New Roman" w:cs="Times New Roman" w:hAnsi="Times New Roman"/>
          <w:sz w:val="28"/>
        </w:rPr>
        <w:t xml:space="preserve"> Снижение стоимости материально-производственных запасов</w:t>
      </w:r>
      <w:r>
        <w:rPr>
          <w:rFonts w:ascii="Times New Roman" w:cs="Times New Roman" w:hAnsi="Times New Roman"/>
          <w:sz w:val="28"/>
        </w:rPr>
        <w:t xml:space="preserve"> отражается в бухгалтерском учете в виде начисления резерва под снижение</w:t>
      </w:r>
      <w:r>
        <w:rPr>
          <w:rFonts w:ascii="Times New Roman" w:cs="Times New Roman" w:hAnsi="Times New Roman"/>
          <w:sz w:val="28"/>
        </w:rPr>
        <w:t xml:space="preserve"> </w:t>
      </w:r>
      <w:r>
        <w:rPr>
          <w:rFonts w:ascii="Times New Roman" w:cs="Times New Roman" w:hAnsi="Times New Roman"/>
          <w:sz w:val="28"/>
        </w:rPr>
        <w:t>стоимости материальных ценностей с использованием</w:t>
      </w:r>
      <w:r>
        <w:rPr>
          <w:rFonts w:ascii="Times New Roman" w:cs="Times New Roman" w:hAnsi="Times New Roman"/>
          <w:sz w:val="28"/>
        </w:rPr>
        <w:t xml:space="preserve"> счета 14 «Резервы под снижение </w:t>
      </w:r>
      <w:r>
        <w:rPr>
          <w:rFonts w:ascii="Times New Roman" w:cs="Times New Roman" w:hAnsi="Times New Roman"/>
          <w:sz w:val="28"/>
        </w:rPr>
        <w:t>стоимости материальных ценностей»</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Готовая продукция отражается в бухгалтер</w:t>
      </w:r>
      <w:r>
        <w:rPr>
          <w:rFonts w:ascii="Times New Roman" w:cs="Times New Roman" w:hAnsi="Times New Roman"/>
          <w:sz w:val="28"/>
        </w:rPr>
        <w:t xml:space="preserve">ском учете на счете 43 «Готовая </w:t>
      </w:r>
      <w:r>
        <w:rPr>
          <w:rFonts w:ascii="Times New Roman" w:cs="Times New Roman" w:hAnsi="Times New Roman"/>
          <w:sz w:val="28"/>
        </w:rPr>
        <w:t>продукция» по фактической производственной себестоимости без применения счета 40</w:t>
      </w:r>
      <w:r>
        <w:rPr>
          <w:rFonts w:ascii="Times New Roman" w:cs="Times New Roman" w:hAnsi="Times New Roman"/>
          <w:sz w:val="28"/>
        </w:rPr>
        <w:t xml:space="preserve"> </w:t>
      </w:r>
      <w:r>
        <w:rPr>
          <w:rFonts w:ascii="Times New Roman" w:cs="Times New Roman" w:hAnsi="Times New Roman"/>
          <w:sz w:val="28"/>
        </w:rPr>
        <w:t>«Выпуск продукции (работ, услуг)».</w:t>
      </w:r>
      <w:r>
        <w:rPr>
          <w:rFonts w:ascii="Times New Roman" w:cs="Times New Roman" w:hAnsi="Times New Roman"/>
          <w:sz w:val="28"/>
        </w:rPr>
        <w:t xml:space="preserve"> Тогда как г</w:t>
      </w:r>
      <w:r>
        <w:rPr>
          <w:rFonts w:ascii="Times New Roman" w:cs="Times New Roman" w:hAnsi="Times New Roman"/>
          <w:sz w:val="28"/>
        </w:rPr>
        <w:t>отовая продукция для внутреннего исполь</w:t>
      </w:r>
      <w:r>
        <w:rPr>
          <w:rFonts w:ascii="Times New Roman" w:cs="Times New Roman" w:hAnsi="Times New Roman"/>
          <w:sz w:val="28"/>
        </w:rPr>
        <w:t>зования учитывается на счете 10 </w:t>
      </w:r>
      <w:r>
        <w:rPr>
          <w:rFonts w:ascii="Times New Roman" w:cs="Times New Roman" w:hAnsi="Times New Roman"/>
          <w:sz w:val="28"/>
        </w:rPr>
        <w:t>«Материалы».</w:t>
      </w:r>
      <w:r>
        <w:rPr>
          <w:rFonts w:ascii="Times New Roman" w:cs="Times New Roman" w:hAnsi="Times New Roman"/>
          <w:sz w:val="28"/>
        </w:rPr>
        <w:t xml:space="preserve"> Товары, предназначенные для продажи, </w:t>
      </w:r>
      <w:r>
        <w:rPr>
          <w:rFonts w:ascii="Times New Roman" w:cs="Times New Roman" w:hAnsi="Times New Roman"/>
          <w:sz w:val="28"/>
        </w:rPr>
        <w:t>отражаются в бухгалтерском учете на счете 41 «Товары».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ходе проверки расхождение между данными бухгалтерского учета и фактическим наличием материально-производственных запасов не выявлено. Движение запасов правильно оформлено первичными документами и зафиксировано в учете бухгалтерскими проводками.</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2.4</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 xml:space="preserve">Финансовый контроль бухгалтерского учета </w:t>
      </w:r>
      <w:r>
        <w:rPr>
          <w:rFonts w:ascii="Times New Roman" w:cs="Times New Roman" w:eastAsia="Times New Roman" w:hAnsi="Times New Roman"/>
          <w:b/>
          <w:sz w:val="28"/>
          <w:szCs w:val="28"/>
          <w:lang w:eastAsia="ru-RU"/>
        </w:rPr>
        <w:t>кредитов и займов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Цель аудиторской проверки учета кредитов и займов –</w:t>
      </w:r>
      <w:r>
        <w:rPr>
          <w:rFonts w:ascii="Times New Roman" w:cs="Times New Roman" w:hAnsi="Times New Roman"/>
          <w:sz w:val="28"/>
        </w:rPr>
        <w:t>–</w:t>
      </w:r>
      <w:r>
        <w:rPr>
          <w:rFonts w:ascii="Times New Roman" w:cs="Times New Roman" w:hAnsi="Times New Roman"/>
          <w:sz w:val="28"/>
        </w:rPr>
        <w:t xml:space="preserve"> получить доказательства достоверности показателей отчетности, отражающих задолженность организации по полученным заемным средствам.</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w:t>
      </w:r>
      <w:r>
        <w:rPr>
          <w:rFonts w:ascii="Times New Roman" w:cs="Times New Roman" w:hAnsi="Times New Roman"/>
          <w:sz w:val="28"/>
        </w:rPr>
        <w:t xml:space="preserve">орядок ведения бухгалтерского учета </w:t>
      </w:r>
      <w:r>
        <w:rPr>
          <w:rFonts w:ascii="Times New Roman" w:cs="Times New Roman" w:hAnsi="Times New Roman"/>
          <w:sz w:val="28"/>
        </w:rPr>
        <w:t>кредитов и займов</w:t>
      </w:r>
      <w:r>
        <w:rPr>
          <w:rFonts w:ascii="Times New Roman" w:cs="Times New Roman" w:hAnsi="Times New Roman"/>
          <w:sz w:val="28"/>
        </w:rPr>
        <w:t xml:space="preserve"> в ПАО «МТС» регламентируется положением по бухгалтерскому учету</w:t>
      </w:r>
      <w:r>
        <w:rPr>
          <w:rFonts w:ascii="Times New Roman" w:cs="Times New Roman" w:hAnsi="Times New Roman"/>
          <w:sz w:val="28"/>
        </w:rPr>
        <w:t xml:space="preserve"> 15/01 «Учет займов и кредитов и затрат по их обслуживанию». В ПАО «МТС» кредиты и займы отражаются по строкам 1410 «Заемные средства» (долгосрочные </w:t>
      </w:r>
      <w:r>
        <w:rPr>
          <w:rFonts w:ascii="Times New Roman" w:cs="Times New Roman" w:hAnsi="Times New Roman"/>
          <w:sz w:val="28"/>
        </w:rPr>
        <w:t xml:space="preserve">обязательства) и 1510 «Заемные средства» (краткосрочные обязательства), </w:t>
      </w:r>
      <w:r>
        <w:rPr>
          <w:rFonts w:ascii="Times New Roman" w:cs="Times New Roman" w:hAnsi="Times New Roman"/>
          <w:sz w:val="28"/>
        </w:rPr>
        <w:t>как показано в таблице 2.4.</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При первоначальном признании кредиты и займы отражаются по первоначальной стоимости за вычетом существенных (более 1000 тыс. р.) затрат на привлечение заемных средств, непосредственно связанных с их получением, выпуском и размещением долговых ценных бумаг. Такие затраты в сумме более 1000 тыс. р. Включаются в состав прочих расходов равномерно в течение срока займа или кредитного договора. В случае если затраты на привлечение заемных средств в совокупности являются несущественными (менее 1000 тыс. р.), они единовременно признаются в составе процентов к уплате в периоде их возникновения.</w:t>
      </w:r>
    </w:p>
    <w:p>
      <w:pPr>
        <w:pStyle w:val="style0"/>
        <w:spacing w:before="240" w:after="0" w:lineRule="auto" w:line="360"/>
        <w:rPr>
          <w:rFonts w:ascii="Times New Roman" w:cs="Times New Roman" w:hAnsi="Times New Roman"/>
          <w:sz w:val="28"/>
        </w:rPr>
      </w:pPr>
      <w:r>
        <w:rPr>
          <w:rFonts w:ascii="Times New Roman" w:cs="Times New Roman" w:hAnsi="Times New Roman"/>
          <w:sz w:val="28"/>
        </w:rPr>
        <w:t>Таблица 2.4 –– Заемные средства ПАО «МТС»</w:t>
      </w:r>
    </w:p>
    <w:tbl>
      <w:tblPr>
        <w:tblStyle w:val="style154"/>
        <w:tblW w:w="0" w:type="auto"/>
        <w:tblLook w:val="04A0" w:firstRow="1" w:lastRow="0" w:firstColumn="1" w:lastColumn="0" w:noHBand="0" w:noVBand="1"/>
      </w:tblPr>
      <w:tblGrid>
        <w:gridCol w:w="3539"/>
        <w:gridCol w:w="1418"/>
        <w:gridCol w:w="2126"/>
        <w:gridCol w:w="2262"/>
      </w:tblGrid>
      <w:tr>
        <w:trPr/>
        <w:tc>
          <w:tcPr>
            <w:tcW w:w="3539" w:type="dxa"/>
            <w:tcBorders/>
          </w:tcPr>
          <w:p>
            <w:pPr>
              <w:pStyle w:val="style0"/>
              <w:jc w:val="center"/>
              <w:rPr>
                <w:rFonts w:ascii="Times New Roman" w:cs="Times New Roman" w:hAnsi="Times New Roman"/>
                <w:sz w:val="20"/>
              </w:rPr>
            </w:pPr>
            <w:r>
              <w:rPr>
                <w:rFonts w:ascii="Times New Roman" w:cs="Times New Roman" w:hAnsi="Times New Roman"/>
                <w:sz w:val="20"/>
              </w:rPr>
              <w:t>Наименование показателя</w:t>
            </w:r>
          </w:p>
        </w:tc>
        <w:tc>
          <w:tcPr>
            <w:tcW w:w="1418" w:type="dxa"/>
            <w:tcBorders/>
          </w:tcPr>
          <w:p>
            <w:pPr>
              <w:pStyle w:val="style0"/>
              <w:jc w:val="center"/>
              <w:rPr>
                <w:rFonts w:ascii="Times New Roman" w:cs="Times New Roman" w:hAnsi="Times New Roman"/>
                <w:sz w:val="20"/>
              </w:rPr>
            </w:pPr>
            <w:r>
              <w:rPr>
                <w:rFonts w:ascii="Times New Roman" w:cs="Times New Roman" w:hAnsi="Times New Roman"/>
                <w:sz w:val="20"/>
              </w:rPr>
              <w:t>Код строки</w:t>
            </w:r>
          </w:p>
        </w:tc>
        <w:tc>
          <w:tcPr>
            <w:tcW w:w="2126" w:type="dxa"/>
            <w:tcBorders/>
          </w:tcPr>
          <w:p>
            <w:pPr>
              <w:pStyle w:val="style0"/>
              <w:jc w:val="center"/>
              <w:rPr>
                <w:rFonts w:ascii="Times New Roman" w:cs="Times New Roman" w:hAnsi="Times New Roman"/>
                <w:sz w:val="20"/>
              </w:rPr>
            </w:pPr>
            <w:r>
              <w:rPr>
                <w:rFonts w:ascii="Times New Roman" w:cs="Times New Roman" w:hAnsi="Times New Roman"/>
                <w:sz w:val="20"/>
              </w:rPr>
              <w:t>2018 г., млн</w:t>
            </w:r>
            <w:r>
              <w:rPr>
                <w:rFonts w:ascii="Times New Roman" w:cs="Times New Roman" w:hAnsi="Times New Roman"/>
                <w:sz w:val="20"/>
              </w:rPr>
              <w:t>.</w:t>
            </w:r>
            <w:r>
              <w:rPr>
                <w:rFonts w:ascii="Times New Roman" w:cs="Times New Roman" w:hAnsi="Times New Roman"/>
                <w:sz w:val="20"/>
              </w:rPr>
              <w:t xml:space="preserve"> </w:t>
            </w:r>
            <w:r>
              <w:rPr>
                <w:rFonts w:ascii="Times New Roman" w:cs="Times New Roman" w:hAnsi="Times New Roman"/>
                <w:sz w:val="20"/>
              </w:rPr>
              <w:t>р.</w:t>
            </w:r>
          </w:p>
        </w:tc>
        <w:tc>
          <w:tcPr>
            <w:tcW w:w="2262" w:type="dxa"/>
            <w:tcBorders/>
          </w:tcPr>
          <w:p>
            <w:pPr>
              <w:pStyle w:val="style0"/>
              <w:jc w:val="center"/>
              <w:rPr>
                <w:rFonts w:ascii="Times New Roman" w:cs="Times New Roman" w:hAnsi="Times New Roman"/>
                <w:sz w:val="20"/>
              </w:rPr>
            </w:pPr>
            <w:r>
              <w:rPr>
                <w:rFonts w:ascii="Times New Roman" w:cs="Times New Roman" w:hAnsi="Times New Roman"/>
                <w:sz w:val="20"/>
              </w:rPr>
              <w:t>2019 г., млн</w:t>
            </w:r>
            <w:r>
              <w:rPr>
                <w:rFonts w:ascii="Times New Roman" w:cs="Times New Roman" w:hAnsi="Times New Roman"/>
                <w:sz w:val="20"/>
              </w:rPr>
              <w:t>.</w:t>
            </w:r>
            <w:r>
              <w:rPr>
                <w:rFonts w:ascii="Times New Roman" w:cs="Times New Roman" w:hAnsi="Times New Roman"/>
                <w:sz w:val="20"/>
              </w:rPr>
              <w:t xml:space="preserve"> </w:t>
            </w:r>
            <w:r>
              <w:rPr>
                <w:rFonts w:ascii="Times New Roman" w:cs="Times New Roman" w:hAnsi="Times New Roman"/>
                <w:sz w:val="20"/>
              </w:rPr>
              <w:t>р.</w:t>
            </w:r>
          </w:p>
        </w:tc>
      </w:tr>
      <w:tr>
        <w:tblPrEx/>
        <w:trPr/>
        <w:tc>
          <w:tcPr>
            <w:tcW w:w="3539" w:type="dxa"/>
            <w:tcBorders/>
          </w:tcPr>
          <w:p>
            <w:pPr>
              <w:pStyle w:val="style0"/>
              <w:rPr>
                <w:rFonts w:ascii="Times New Roman" w:cs="Times New Roman" w:hAnsi="Times New Roman"/>
                <w:sz w:val="20"/>
              </w:rPr>
            </w:pPr>
            <w:r>
              <w:rPr>
                <w:rFonts w:ascii="Times New Roman" w:cs="Times New Roman" w:hAnsi="Times New Roman"/>
                <w:sz w:val="20"/>
              </w:rPr>
              <w:t>Заемные средства (долгосрочные)</w:t>
            </w:r>
          </w:p>
        </w:tc>
        <w:tc>
          <w:tcPr>
            <w:tcW w:w="1418" w:type="dxa"/>
            <w:tcBorders/>
          </w:tcPr>
          <w:p>
            <w:pPr>
              <w:pStyle w:val="style0"/>
              <w:jc w:val="right"/>
              <w:rPr>
                <w:rFonts w:ascii="Times New Roman" w:cs="Times New Roman" w:hAnsi="Times New Roman"/>
                <w:sz w:val="20"/>
              </w:rPr>
            </w:pPr>
            <w:r>
              <w:rPr>
                <w:rFonts w:ascii="Times New Roman" w:cs="Times New Roman" w:hAnsi="Times New Roman"/>
                <w:sz w:val="20"/>
              </w:rPr>
              <w:t>1410</w:t>
            </w:r>
          </w:p>
        </w:tc>
        <w:tc>
          <w:tcPr>
            <w:tcW w:w="2126" w:type="dxa"/>
            <w:tcBorders/>
          </w:tcPr>
          <w:p>
            <w:pPr>
              <w:pStyle w:val="style0"/>
              <w:jc w:val="right"/>
              <w:rPr>
                <w:rFonts w:ascii="Times New Roman" w:cs="Times New Roman" w:hAnsi="Times New Roman"/>
                <w:sz w:val="20"/>
              </w:rPr>
            </w:pPr>
            <w:r>
              <w:rPr>
                <w:rFonts w:ascii="Times New Roman" w:cs="Times New Roman" w:hAnsi="Times New Roman"/>
                <w:sz w:val="20"/>
              </w:rPr>
              <w:t>217119</w:t>
            </w:r>
          </w:p>
        </w:tc>
        <w:tc>
          <w:tcPr>
            <w:tcW w:w="2262" w:type="dxa"/>
            <w:tcBorders/>
          </w:tcPr>
          <w:p>
            <w:pPr>
              <w:pStyle w:val="style0"/>
              <w:jc w:val="right"/>
              <w:rPr>
                <w:rFonts w:ascii="Times New Roman" w:cs="Times New Roman" w:hAnsi="Times New Roman"/>
                <w:sz w:val="20"/>
              </w:rPr>
            </w:pPr>
            <w:r>
              <w:rPr>
                <w:rFonts w:ascii="Times New Roman" w:cs="Times New Roman" w:hAnsi="Times New Roman"/>
                <w:sz w:val="20"/>
              </w:rPr>
              <w:t>283139</w:t>
            </w:r>
          </w:p>
        </w:tc>
      </w:tr>
      <w:tr>
        <w:tblPrEx/>
        <w:trPr/>
        <w:tc>
          <w:tcPr>
            <w:tcW w:w="3539" w:type="dxa"/>
            <w:tcBorders/>
          </w:tcPr>
          <w:p>
            <w:pPr>
              <w:pStyle w:val="style0"/>
              <w:rPr>
                <w:rFonts w:ascii="Times New Roman" w:cs="Times New Roman" w:hAnsi="Times New Roman"/>
                <w:sz w:val="20"/>
              </w:rPr>
            </w:pPr>
            <w:r>
              <w:rPr>
                <w:rFonts w:ascii="Times New Roman" w:cs="Times New Roman" w:hAnsi="Times New Roman"/>
                <w:sz w:val="20"/>
              </w:rPr>
              <w:t>Заемные средства (краткосрочные)</w:t>
            </w:r>
          </w:p>
        </w:tc>
        <w:tc>
          <w:tcPr>
            <w:tcW w:w="1418" w:type="dxa"/>
            <w:tcBorders/>
          </w:tcPr>
          <w:p>
            <w:pPr>
              <w:pStyle w:val="style0"/>
              <w:jc w:val="right"/>
              <w:rPr>
                <w:rFonts w:ascii="Times New Roman" w:cs="Times New Roman" w:hAnsi="Times New Roman"/>
                <w:sz w:val="20"/>
              </w:rPr>
            </w:pPr>
            <w:r>
              <w:rPr>
                <w:rFonts w:ascii="Times New Roman" w:cs="Times New Roman" w:hAnsi="Times New Roman"/>
                <w:sz w:val="20"/>
              </w:rPr>
              <w:t>1510</w:t>
            </w:r>
          </w:p>
        </w:tc>
        <w:tc>
          <w:tcPr>
            <w:tcW w:w="2126" w:type="dxa"/>
            <w:tcBorders/>
          </w:tcPr>
          <w:p>
            <w:pPr>
              <w:pStyle w:val="style0"/>
              <w:jc w:val="right"/>
              <w:rPr>
                <w:rFonts w:ascii="Times New Roman" w:cs="Times New Roman" w:hAnsi="Times New Roman"/>
                <w:sz w:val="20"/>
              </w:rPr>
            </w:pPr>
            <w:r>
              <w:rPr>
                <w:rFonts w:ascii="Times New Roman" w:cs="Times New Roman" w:hAnsi="Times New Roman"/>
                <w:sz w:val="20"/>
              </w:rPr>
              <w:t>95680</w:t>
            </w:r>
          </w:p>
        </w:tc>
        <w:tc>
          <w:tcPr>
            <w:tcW w:w="2262" w:type="dxa"/>
            <w:tcBorders/>
          </w:tcPr>
          <w:p>
            <w:pPr>
              <w:pStyle w:val="style0"/>
              <w:jc w:val="right"/>
              <w:rPr>
                <w:rFonts w:ascii="Times New Roman" w:cs="Times New Roman" w:hAnsi="Times New Roman"/>
                <w:sz w:val="20"/>
              </w:rPr>
            </w:pPr>
            <w:r>
              <w:rPr>
                <w:rFonts w:ascii="Times New Roman" w:cs="Times New Roman" w:hAnsi="Times New Roman"/>
                <w:sz w:val="20"/>
              </w:rPr>
              <w:t>128097</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 xml:space="preserve">Кредиты и займы, числящиеся на момент получения в составе долгосрочной задолженности, отражаются в составе краткосрочной задолженности, если до момента </w:t>
      </w:r>
      <w:r>
        <w:rPr>
          <w:rFonts w:ascii="Times New Roman" w:cs="Times New Roman" w:hAnsi="Times New Roman"/>
          <w:sz w:val="28"/>
        </w:rPr>
        <w:t>погашения кредита/займа или их части остается менее 365 дней.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Проверка достоверности данных, представленных в таблице 2.4, основана на анализе нормативных</w:t>
      </w:r>
      <w:r>
        <w:rPr>
          <w:rFonts w:ascii="Times New Roman" w:cs="Times New Roman" w:hAnsi="Times New Roman"/>
          <w:sz w:val="28"/>
        </w:rPr>
        <w:t xml:space="preserve"> </w:t>
      </w:r>
      <w:r>
        <w:rPr>
          <w:rFonts w:ascii="Times New Roman" w:cs="Times New Roman" w:hAnsi="Times New Roman"/>
          <w:sz w:val="28"/>
        </w:rPr>
        <w:t>документов, регулирующих</w:t>
      </w:r>
      <w:r>
        <w:rPr>
          <w:rFonts w:ascii="Times New Roman" w:cs="Times New Roman" w:hAnsi="Times New Roman"/>
          <w:sz w:val="28"/>
        </w:rPr>
        <w:t xml:space="preserve"> вопросы получения заемных средств, бухгалтерского учета и налогообложения операций с ними</w:t>
      </w:r>
      <w:r>
        <w:rPr>
          <w:rFonts w:ascii="Times New Roman" w:cs="Times New Roman" w:hAnsi="Times New Roman"/>
          <w:sz w:val="28"/>
        </w:rPr>
        <w:t>, а также кредитных договоров и договоров займа, дополнительных соглашений</w:t>
      </w:r>
      <w:r>
        <w:rPr>
          <w:rFonts w:ascii="Times New Roman" w:cs="Times New Roman" w:hAnsi="Times New Roman"/>
          <w:sz w:val="28"/>
        </w:rPr>
        <w:t xml:space="preserve"> к кредитным договорам об изменении процентных ставок по кредиту, сроков возврата кредита, дру</w:t>
      </w:r>
      <w:r>
        <w:rPr>
          <w:rFonts w:ascii="Times New Roman" w:cs="Times New Roman" w:hAnsi="Times New Roman"/>
          <w:sz w:val="28"/>
        </w:rPr>
        <w:t>гих условий кредитных договоров, выписок</w:t>
      </w:r>
      <w:r>
        <w:rPr>
          <w:rFonts w:ascii="Times New Roman" w:cs="Times New Roman" w:hAnsi="Times New Roman"/>
          <w:sz w:val="28"/>
        </w:rPr>
        <w:t xml:space="preserve"> банков из лицевых счетов организаций по движению кредитов и займов</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ходе проведения проверки нарушений в бухгалтерском учете кредитов и займов не выявлено.</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2.5</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Финансовый контроль бухгалтерского учета финансовых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Целью аудиторской проверки финансовых вложений является формирование мнения о достоверности бухгалтерской отчетности по статьям «Долгосрочные финансовые вложения» и «Краткосрочные финансовые вложения» и соответствии применяемой методики учета по финансовым вложениям действующим в РФ нормативным документам.</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соответствии с Положением по бухгалтерскому учет</w:t>
      </w:r>
      <w:r>
        <w:rPr>
          <w:rFonts w:ascii="Times New Roman" w:cs="Times New Roman" w:hAnsi="Times New Roman"/>
          <w:sz w:val="28"/>
        </w:rPr>
        <w:t>у 19/02 «Учет финансовых вложений»</w:t>
      </w:r>
      <w:r>
        <w:rPr>
          <w:rFonts w:ascii="Times New Roman" w:cs="Times New Roman" w:hAnsi="Times New Roman"/>
          <w:sz w:val="28"/>
        </w:rPr>
        <w:t xml:space="preserve"> к финансовым вложениям </w:t>
      </w:r>
      <w:r>
        <w:rPr>
          <w:rFonts w:ascii="Times New Roman" w:cs="Times New Roman" w:hAnsi="Times New Roman"/>
          <w:sz w:val="28"/>
        </w:rPr>
        <w:t>ПАО «МТС»</w:t>
      </w:r>
      <w:r>
        <w:rPr>
          <w:rFonts w:ascii="Times New Roman" w:cs="Times New Roman" w:hAnsi="Times New Roman"/>
          <w:sz w:val="28"/>
        </w:rPr>
        <w:t xml:space="preserve"> относятся: государственные и муниципальные ценные бумаги, ценные бумаги других организаций, вклады в уставные (складочные) капиталы других организаций</w:t>
      </w:r>
      <w:r>
        <w:rPr>
          <w:rFonts w:ascii="Times New Roman" w:cs="Times New Roman" w:hAnsi="Times New Roman"/>
          <w:sz w:val="28"/>
        </w:rPr>
        <w:t xml:space="preserve">, </w:t>
      </w:r>
      <w:r>
        <w:rPr>
          <w:rFonts w:ascii="Times New Roman" w:cs="Times New Roman" w:hAnsi="Times New Roman"/>
          <w:sz w:val="28"/>
        </w:rPr>
        <w:t>предоставленные другим организациям займы, депозитные вклады в кредитных организациях</w:t>
      </w:r>
      <w:r>
        <w:rPr>
          <w:rFonts w:ascii="Times New Roman" w:cs="Times New Roman" w:hAnsi="Times New Roman"/>
          <w:sz w:val="28"/>
        </w:rPr>
        <w:t xml:space="preserve"> и прочее.</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ПАО «МТС» </w:t>
      </w:r>
      <w:r>
        <w:rPr>
          <w:rFonts w:ascii="Times New Roman" w:cs="Times New Roman" w:hAnsi="Times New Roman"/>
          <w:sz w:val="28"/>
        </w:rPr>
        <w:t>финансовые вложения</w:t>
      </w:r>
      <w:r>
        <w:rPr>
          <w:rFonts w:ascii="Times New Roman" w:cs="Times New Roman" w:hAnsi="Times New Roman"/>
          <w:sz w:val="28"/>
        </w:rPr>
        <w:t xml:space="preserve"> отражаются по строкам 1170 «Финансовые вложения» (долгосрочные) и 1240 «Финансовые вложения» (краткосрочные), как показано в таблице 2.5.</w:t>
      </w:r>
    </w:p>
    <w:p>
      <w:pPr>
        <w:pStyle w:val="style0"/>
        <w:spacing w:before="240" w:after="0" w:lineRule="auto" w:line="360"/>
        <w:rPr>
          <w:rFonts w:ascii="Times New Roman" w:cs="Times New Roman" w:hAnsi="Times New Roman"/>
          <w:sz w:val="28"/>
        </w:rPr>
      </w:pPr>
      <w:r>
        <w:rPr>
          <w:rFonts w:ascii="Times New Roman" w:cs="Times New Roman" w:hAnsi="Times New Roman"/>
          <w:sz w:val="28"/>
        </w:rPr>
        <w:t>Таблица 2.5 –– Финансовые вложения ПАО «МТС», млн. р.</w:t>
      </w:r>
    </w:p>
    <w:tbl>
      <w:tblPr>
        <w:tblStyle w:val="style154"/>
        <w:tblW w:w="0" w:type="auto"/>
        <w:tblLook w:val="04A0" w:firstRow="1" w:lastRow="0" w:firstColumn="1" w:lastColumn="0" w:noHBand="0" w:noVBand="1"/>
      </w:tblPr>
      <w:tblGrid>
        <w:gridCol w:w="3539"/>
        <w:gridCol w:w="1418"/>
        <w:gridCol w:w="2126"/>
        <w:gridCol w:w="2262"/>
      </w:tblGrid>
      <w:tr>
        <w:trPr/>
        <w:tc>
          <w:tcPr>
            <w:tcW w:w="3539" w:type="dxa"/>
            <w:tcBorders/>
          </w:tcPr>
          <w:p>
            <w:pPr>
              <w:pStyle w:val="style0"/>
              <w:jc w:val="center"/>
              <w:rPr>
                <w:rFonts w:ascii="Times New Roman" w:cs="Times New Roman" w:hAnsi="Times New Roman"/>
                <w:sz w:val="20"/>
              </w:rPr>
            </w:pPr>
            <w:r>
              <w:rPr>
                <w:rFonts w:ascii="Times New Roman" w:cs="Times New Roman" w:hAnsi="Times New Roman"/>
                <w:sz w:val="20"/>
              </w:rPr>
              <w:t>Показатели</w:t>
            </w:r>
          </w:p>
        </w:tc>
        <w:tc>
          <w:tcPr>
            <w:tcW w:w="1418" w:type="dxa"/>
            <w:tcBorders/>
          </w:tcPr>
          <w:p>
            <w:pPr>
              <w:pStyle w:val="style0"/>
              <w:jc w:val="center"/>
              <w:rPr>
                <w:rFonts w:ascii="Times New Roman" w:cs="Times New Roman" w:hAnsi="Times New Roman"/>
                <w:sz w:val="20"/>
              </w:rPr>
            </w:pPr>
            <w:r>
              <w:rPr>
                <w:rFonts w:ascii="Times New Roman" w:cs="Times New Roman" w:hAnsi="Times New Roman"/>
                <w:sz w:val="20"/>
              </w:rPr>
              <w:t>Код строки</w:t>
            </w:r>
          </w:p>
        </w:tc>
        <w:tc>
          <w:tcPr>
            <w:tcW w:w="2126" w:type="dxa"/>
            <w:tcBorders/>
          </w:tcPr>
          <w:p>
            <w:pPr>
              <w:pStyle w:val="style0"/>
              <w:jc w:val="center"/>
              <w:rPr>
                <w:rFonts w:ascii="Times New Roman" w:cs="Times New Roman" w:hAnsi="Times New Roman"/>
                <w:sz w:val="20"/>
              </w:rPr>
            </w:pPr>
            <w:r>
              <w:rPr>
                <w:rFonts w:ascii="Times New Roman" w:cs="Times New Roman" w:hAnsi="Times New Roman"/>
                <w:sz w:val="20"/>
              </w:rPr>
              <w:t>2018 г.</w:t>
            </w:r>
          </w:p>
        </w:tc>
        <w:tc>
          <w:tcPr>
            <w:tcW w:w="2262" w:type="dxa"/>
            <w:tcBorders/>
          </w:tcPr>
          <w:p>
            <w:pPr>
              <w:pStyle w:val="style0"/>
              <w:jc w:val="center"/>
              <w:rPr>
                <w:rFonts w:ascii="Times New Roman" w:cs="Times New Roman" w:hAnsi="Times New Roman"/>
                <w:sz w:val="20"/>
              </w:rPr>
            </w:pPr>
            <w:r>
              <w:rPr>
                <w:rFonts w:ascii="Times New Roman" w:cs="Times New Roman" w:hAnsi="Times New Roman"/>
                <w:sz w:val="20"/>
              </w:rPr>
              <w:t>2019 г.</w:t>
            </w:r>
          </w:p>
        </w:tc>
      </w:tr>
      <w:tr>
        <w:tblPrEx/>
        <w:trPr/>
        <w:tc>
          <w:tcPr>
            <w:tcW w:w="3539" w:type="dxa"/>
            <w:tcBorders/>
          </w:tcPr>
          <w:p>
            <w:pPr>
              <w:pStyle w:val="style0"/>
              <w:rPr>
                <w:rFonts w:ascii="Times New Roman" w:cs="Times New Roman" w:hAnsi="Times New Roman"/>
                <w:sz w:val="20"/>
              </w:rPr>
            </w:pPr>
            <w:r>
              <w:rPr>
                <w:rFonts w:ascii="Times New Roman" w:cs="Times New Roman" w:hAnsi="Times New Roman"/>
                <w:sz w:val="20"/>
              </w:rPr>
              <w:t>Финансовые вложения (долгосрочные)</w:t>
            </w:r>
          </w:p>
        </w:tc>
        <w:tc>
          <w:tcPr>
            <w:tcW w:w="1418" w:type="dxa"/>
            <w:tcBorders/>
          </w:tcPr>
          <w:p>
            <w:pPr>
              <w:pStyle w:val="style0"/>
              <w:jc w:val="right"/>
              <w:rPr>
                <w:rFonts w:ascii="Times New Roman" w:cs="Times New Roman" w:hAnsi="Times New Roman"/>
                <w:sz w:val="20"/>
              </w:rPr>
            </w:pPr>
            <w:r>
              <w:rPr>
                <w:rFonts w:ascii="Times New Roman" w:cs="Times New Roman" w:hAnsi="Times New Roman"/>
                <w:sz w:val="20"/>
              </w:rPr>
              <w:t>1170</w:t>
            </w:r>
          </w:p>
        </w:tc>
        <w:tc>
          <w:tcPr>
            <w:tcW w:w="2126" w:type="dxa"/>
            <w:tcBorders/>
          </w:tcPr>
          <w:p>
            <w:pPr>
              <w:pStyle w:val="style0"/>
              <w:jc w:val="right"/>
              <w:rPr>
                <w:rFonts w:ascii="Times New Roman" w:cs="Times New Roman" w:hAnsi="Times New Roman"/>
                <w:sz w:val="20"/>
              </w:rPr>
            </w:pPr>
            <w:r>
              <w:rPr>
                <w:rFonts w:ascii="Times New Roman" w:cs="Times New Roman" w:hAnsi="Times New Roman"/>
                <w:sz w:val="20"/>
              </w:rPr>
              <w:t>150650</w:t>
            </w:r>
          </w:p>
        </w:tc>
        <w:tc>
          <w:tcPr>
            <w:tcW w:w="2262" w:type="dxa"/>
            <w:tcBorders/>
          </w:tcPr>
          <w:p>
            <w:pPr>
              <w:pStyle w:val="style0"/>
              <w:jc w:val="right"/>
              <w:rPr>
                <w:rFonts w:ascii="Times New Roman" w:cs="Times New Roman" w:hAnsi="Times New Roman"/>
                <w:sz w:val="20"/>
              </w:rPr>
            </w:pPr>
            <w:r>
              <w:rPr>
                <w:rFonts w:ascii="Times New Roman" w:cs="Times New Roman" w:hAnsi="Times New Roman"/>
                <w:sz w:val="20"/>
              </w:rPr>
              <w:t>156302</w:t>
            </w:r>
          </w:p>
        </w:tc>
      </w:tr>
      <w:tr>
        <w:tblPrEx/>
        <w:trPr/>
        <w:tc>
          <w:tcPr>
            <w:tcW w:w="3539" w:type="dxa"/>
            <w:tcBorders/>
          </w:tcPr>
          <w:p>
            <w:pPr>
              <w:pStyle w:val="style0"/>
              <w:rPr>
                <w:rFonts w:ascii="Times New Roman" w:cs="Times New Roman" w:hAnsi="Times New Roman"/>
                <w:sz w:val="20"/>
              </w:rPr>
            </w:pPr>
            <w:r>
              <w:rPr>
                <w:rFonts w:ascii="Times New Roman" w:cs="Times New Roman" w:hAnsi="Times New Roman"/>
                <w:sz w:val="20"/>
              </w:rPr>
              <w:t>Финансовые вложения (краткосрочные)</w:t>
            </w:r>
          </w:p>
        </w:tc>
        <w:tc>
          <w:tcPr>
            <w:tcW w:w="1418" w:type="dxa"/>
            <w:tcBorders/>
          </w:tcPr>
          <w:p>
            <w:pPr>
              <w:pStyle w:val="style0"/>
              <w:jc w:val="right"/>
              <w:rPr>
                <w:rFonts w:ascii="Times New Roman" w:cs="Times New Roman" w:hAnsi="Times New Roman"/>
                <w:sz w:val="20"/>
              </w:rPr>
            </w:pPr>
            <w:r>
              <w:rPr>
                <w:rFonts w:ascii="Times New Roman" w:cs="Times New Roman" w:hAnsi="Times New Roman"/>
                <w:sz w:val="20"/>
              </w:rPr>
              <w:t>1240</w:t>
            </w:r>
          </w:p>
        </w:tc>
        <w:tc>
          <w:tcPr>
            <w:tcW w:w="2126" w:type="dxa"/>
            <w:tcBorders/>
          </w:tcPr>
          <w:p>
            <w:pPr>
              <w:pStyle w:val="style0"/>
              <w:jc w:val="right"/>
              <w:rPr>
                <w:rFonts w:ascii="Times New Roman" w:cs="Times New Roman" w:hAnsi="Times New Roman"/>
                <w:sz w:val="20"/>
              </w:rPr>
            </w:pPr>
            <w:r>
              <w:rPr>
                <w:rFonts w:ascii="Times New Roman" w:cs="Times New Roman" w:hAnsi="Times New Roman"/>
                <w:sz w:val="20"/>
              </w:rPr>
              <w:t>12240</w:t>
            </w:r>
          </w:p>
        </w:tc>
        <w:tc>
          <w:tcPr>
            <w:tcW w:w="2262" w:type="dxa"/>
            <w:tcBorders/>
          </w:tcPr>
          <w:p>
            <w:pPr>
              <w:pStyle w:val="style0"/>
              <w:jc w:val="right"/>
              <w:rPr>
                <w:rFonts w:ascii="Times New Roman" w:cs="Times New Roman" w:hAnsi="Times New Roman"/>
                <w:sz w:val="20"/>
              </w:rPr>
            </w:pPr>
            <w:r>
              <w:rPr>
                <w:rFonts w:ascii="Times New Roman" w:cs="Times New Roman" w:hAnsi="Times New Roman"/>
                <w:sz w:val="20"/>
              </w:rPr>
              <w:t>13735</w:t>
            </w:r>
          </w:p>
        </w:tc>
      </w:tr>
    </w:tbl>
    <w:p>
      <w:pPr>
        <w:pStyle w:val="style0"/>
        <w:spacing w:before="120" w:after="0" w:lineRule="auto" w:line="360"/>
        <w:ind w:firstLine="709"/>
        <w:jc w:val="both"/>
        <w:rPr>
          <w:rFonts w:ascii="Times New Roman" w:cs="Times New Roman" w:hAnsi="Times New Roman"/>
          <w:sz w:val="28"/>
        </w:rPr>
      </w:pPr>
      <w:r>
        <w:rPr>
          <w:rFonts w:ascii="Times New Roman" w:cs="Times New Roman" w:hAnsi="Times New Roman"/>
          <w:sz w:val="28"/>
        </w:rPr>
        <w:t>Финансовые вложения</w:t>
      </w:r>
      <w:r>
        <w:rPr>
          <w:rFonts w:ascii="Times New Roman" w:cs="Times New Roman" w:hAnsi="Times New Roman"/>
          <w:sz w:val="28"/>
        </w:rPr>
        <w:t xml:space="preserve"> ПАО «МТС»</w:t>
      </w:r>
      <w:r>
        <w:rPr>
          <w:rFonts w:ascii="Times New Roman" w:cs="Times New Roman" w:hAnsi="Times New Roman"/>
          <w:sz w:val="28"/>
        </w:rPr>
        <w:t xml:space="preserve"> учитываются в</w:t>
      </w:r>
      <w:r>
        <w:rPr>
          <w:rFonts w:ascii="Times New Roman" w:cs="Times New Roman" w:hAnsi="Times New Roman"/>
          <w:sz w:val="28"/>
        </w:rPr>
        <w:t xml:space="preserve"> сумме фактических затрат на их </w:t>
      </w:r>
      <w:r>
        <w:rPr>
          <w:rFonts w:ascii="Times New Roman" w:cs="Times New Roman" w:hAnsi="Times New Roman"/>
          <w:sz w:val="28"/>
        </w:rPr>
        <w:t>приобретение на счете 58 «Финансов</w:t>
      </w:r>
      <w:r>
        <w:rPr>
          <w:rFonts w:ascii="Times New Roman" w:cs="Times New Roman" w:hAnsi="Times New Roman"/>
          <w:sz w:val="28"/>
        </w:rPr>
        <w:t xml:space="preserve">ые вложения» на соответствующем </w:t>
      </w:r>
      <w:r>
        <w:rPr>
          <w:rFonts w:ascii="Times New Roman" w:cs="Times New Roman" w:hAnsi="Times New Roman"/>
          <w:sz w:val="28"/>
        </w:rPr>
        <w:t>субсчете</w:t>
      </w:r>
      <w:r>
        <w:rPr>
          <w:rFonts w:ascii="Times New Roman" w:cs="Times New Roman" w:hAnsi="Times New Roman"/>
          <w:sz w:val="28"/>
        </w:rPr>
        <w:t xml:space="preserve"> группы</w:t>
      </w:r>
      <w:r>
        <w:rPr>
          <w:rFonts w:ascii="Times New Roman" w:cs="Times New Roman" w:hAnsi="Times New Roman"/>
          <w:sz w:val="28"/>
        </w:rPr>
        <w:t xml:space="preserve"> </w:t>
      </w:r>
      <w:r>
        <w:rPr>
          <w:rFonts w:ascii="Times New Roman" w:cs="Times New Roman" w:hAnsi="Times New Roman"/>
          <w:sz w:val="28"/>
        </w:rPr>
        <w:t>финансовых вложений. Первоначальная стоимость финансовых вложений, по которой они</w:t>
      </w:r>
      <w:r>
        <w:rPr>
          <w:rFonts w:ascii="Times New Roman" w:cs="Times New Roman" w:hAnsi="Times New Roman"/>
          <w:sz w:val="28"/>
        </w:rPr>
        <w:t xml:space="preserve"> </w:t>
      </w:r>
      <w:r>
        <w:rPr>
          <w:rFonts w:ascii="Times New Roman" w:cs="Times New Roman" w:hAnsi="Times New Roman"/>
          <w:sz w:val="28"/>
        </w:rPr>
        <w:t>приняты к бухгалтерскому учету, может изменяться в случаях, установленных</w:t>
      </w:r>
      <w:r>
        <w:rPr>
          <w:rFonts w:ascii="Times New Roman" w:cs="Times New Roman" w:hAnsi="Times New Roman"/>
          <w:sz w:val="28"/>
        </w:rPr>
        <w:t xml:space="preserve"> законодательством и Положением по бухгалтерскому учету 19/02 «Учет финансовых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По долговым ценным бумагам, по которым н</w:t>
      </w:r>
      <w:r>
        <w:rPr>
          <w:rFonts w:ascii="Times New Roman" w:cs="Times New Roman" w:hAnsi="Times New Roman"/>
          <w:sz w:val="28"/>
        </w:rPr>
        <w:t xml:space="preserve">е определяется текущая рыночная </w:t>
      </w:r>
      <w:r>
        <w:rPr>
          <w:rFonts w:ascii="Times New Roman" w:cs="Times New Roman" w:hAnsi="Times New Roman"/>
          <w:sz w:val="28"/>
        </w:rPr>
        <w:t>стоимость, разница между первоначальной и номинальной стоимостью в соответствии с</w:t>
      </w:r>
      <w:r>
        <w:rPr>
          <w:rFonts w:ascii="Times New Roman" w:cs="Times New Roman" w:hAnsi="Times New Roman"/>
          <w:sz w:val="28"/>
        </w:rPr>
        <w:t xml:space="preserve"> </w:t>
      </w:r>
      <w:r>
        <w:rPr>
          <w:rFonts w:ascii="Times New Roman" w:cs="Times New Roman" w:hAnsi="Times New Roman"/>
          <w:sz w:val="28"/>
        </w:rPr>
        <w:t xml:space="preserve">условиями их выпуска равномерно относится на </w:t>
      </w:r>
      <w:r>
        <w:rPr>
          <w:rFonts w:ascii="Times New Roman" w:cs="Times New Roman" w:hAnsi="Times New Roman"/>
          <w:sz w:val="28"/>
        </w:rPr>
        <w:t>финансовые результаты (в составе прочих</w:t>
      </w:r>
      <w:r>
        <w:rPr>
          <w:rFonts w:ascii="Times New Roman" w:cs="Times New Roman" w:hAnsi="Times New Roman"/>
          <w:sz w:val="28"/>
        </w:rPr>
        <w:t xml:space="preserve"> </w:t>
      </w:r>
      <w:r>
        <w:rPr>
          <w:rFonts w:ascii="Times New Roman" w:cs="Times New Roman" w:hAnsi="Times New Roman"/>
          <w:sz w:val="28"/>
        </w:rPr>
        <w:t>доходов или расходов) в течение срока их обращения.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При выбытии финансовых вложений, по </w:t>
      </w:r>
      <w:r>
        <w:rPr>
          <w:rFonts w:ascii="Times New Roman" w:cs="Times New Roman" w:hAnsi="Times New Roman"/>
          <w:sz w:val="28"/>
        </w:rPr>
        <w:t xml:space="preserve">которым не определяется текущая </w:t>
      </w:r>
      <w:r>
        <w:rPr>
          <w:rFonts w:ascii="Times New Roman" w:cs="Times New Roman" w:hAnsi="Times New Roman"/>
          <w:sz w:val="28"/>
        </w:rPr>
        <w:t>рыночная стоимость, их стоимость определяется исходя из первоначальной стоимости</w:t>
      </w:r>
      <w:r>
        <w:rPr>
          <w:rFonts w:ascii="Times New Roman" w:cs="Times New Roman" w:hAnsi="Times New Roman"/>
          <w:sz w:val="28"/>
        </w:rPr>
        <w:t xml:space="preserve"> </w:t>
      </w:r>
      <w:r>
        <w:rPr>
          <w:rFonts w:ascii="Times New Roman" w:cs="Times New Roman" w:hAnsi="Times New Roman"/>
          <w:sz w:val="28"/>
        </w:rPr>
        <w:t>каждой единицы бухгалтерского учета финансовых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Проверка на обесценение финансовых вложе</w:t>
      </w:r>
      <w:r>
        <w:rPr>
          <w:rFonts w:ascii="Times New Roman" w:cs="Times New Roman" w:hAnsi="Times New Roman"/>
          <w:sz w:val="28"/>
        </w:rPr>
        <w:t xml:space="preserve">ний, по которым не определяется </w:t>
      </w:r>
      <w:r>
        <w:rPr>
          <w:rFonts w:ascii="Times New Roman" w:cs="Times New Roman" w:hAnsi="Times New Roman"/>
          <w:sz w:val="28"/>
        </w:rPr>
        <w:t>текущая рыночная стоимость, производится по состоянию на последнюю дату отчетного</w:t>
      </w:r>
      <w:r>
        <w:rPr>
          <w:rFonts w:ascii="Times New Roman" w:cs="Times New Roman" w:hAnsi="Times New Roman"/>
          <w:sz w:val="28"/>
        </w:rPr>
        <w:t xml:space="preserve"> </w:t>
      </w:r>
      <w:r>
        <w:rPr>
          <w:rFonts w:ascii="Times New Roman" w:cs="Times New Roman" w:hAnsi="Times New Roman"/>
          <w:sz w:val="28"/>
        </w:rPr>
        <w:t>квартала при наличии признаков обесценения.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том случае, если в результате проведенной про</w:t>
      </w:r>
      <w:r>
        <w:rPr>
          <w:rFonts w:ascii="Times New Roman" w:cs="Times New Roman" w:hAnsi="Times New Roman"/>
          <w:sz w:val="28"/>
        </w:rPr>
        <w:t xml:space="preserve">верки подтверждается устойчивое </w:t>
      </w:r>
      <w:r>
        <w:rPr>
          <w:rFonts w:ascii="Times New Roman" w:cs="Times New Roman" w:hAnsi="Times New Roman"/>
          <w:sz w:val="28"/>
        </w:rPr>
        <w:t>существенное снижение стоимости финансовых вложени</w:t>
      </w:r>
      <w:r>
        <w:rPr>
          <w:rFonts w:ascii="Times New Roman" w:cs="Times New Roman" w:hAnsi="Times New Roman"/>
          <w:sz w:val="28"/>
        </w:rPr>
        <w:t xml:space="preserve">й, ПАО «МТС» образует резерв под </w:t>
      </w:r>
      <w:r>
        <w:rPr>
          <w:rFonts w:ascii="Times New Roman" w:cs="Times New Roman" w:hAnsi="Times New Roman"/>
          <w:sz w:val="28"/>
        </w:rPr>
        <w:t xml:space="preserve">обесценение финансовых вложений. Величина </w:t>
      </w:r>
      <w:r>
        <w:rPr>
          <w:rFonts w:ascii="Times New Roman" w:cs="Times New Roman" w:hAnsi="Times New Roman"/>
          <w:sz w:val="28"/>
        </w:rPr>
        <w:t xml:space="preserve">указанного резерва определяется </w:t>
      </w:r>
      <w:r>
        <w:rPr>
          <w:rFonts w:ascii="Times New Roman" w:cs="Times New Roman" w:hAnsi="Times New Roman"/>
          <w:sz w:val="28"/>
        </w:rPr>
        <w:t>ответственным департаментом, установленным внутр</w:t>
      </w:r>
      <w:r>
        <w:rPr>
          <w:rFonts w:ascii="Times New Roman" w:cs="Times New Roman" w:hAnsi="Times New Roman"/>
          <w:sz w:val="28"/>
        </w:rPr>
        <w:t xml:space="preserve">енними документами, как разница </w:t>
      </w:r>
      <w:r>
        <w:rPr>
          <w:rFonts w:ascii="Times New Roman" w:cs="Times New Roman" w:hAnsi="Times New Roman"/>
          <w:sz w:val="28"/>
        </w:rPr>
        <w:t>между учетной и расчетной стоимостью соотв</w:t>
      </w:r>
      <w:r>
        <w:rPr>
          <w:rFonts w:ascii="Times New Roman" w:cs="Times New Roman" w:hAnsi="Times New Roman"/>
          <w:sz w:val="28"/>
        </w:rPr>
        <w:t xml:space="preserve">етствующих финансовых вложений, </w:t>
      </w:r>
      <w:r>
        <w:rPr>
          <w:rFonts w:ascii="Times New Roman" w:cs="Times New Roman" w:hAnsi="Times New Roman"/>
          <w:sz w:val="28"/>
        </w:rPr>
        <w:t>определенной по состоянию на конец отчетно</w:t>
      </w:r>
      <w:r>
        <w:rPr>
          <w:rFonts w:ascii="Times New Roman" w:cs="Times New Roman" w:hAnsi="Times New Roman"/>
          <w:sz w:val="28"/>
        </w:rPr>
        <w:t xml:space="preserve">го квартала. Результаты расчета </w:t>
      </w:r>
      <w:r>
        <w:rPr>
          <w:rFonts w:ascii="Times New Roman" w:cs="Times New Roman" w:hAnsi="Times New Roman"/>
          <w:sz w:val="28"/>
        </w:rPr>
        <w:t>предста</w:t>
      </w:r>
      <w:r>
        <w:rPr>
          <w:rFonts w:ascii="Times New Roman" w:cs="Times New Roman" w:hAnsi="Times New Roman"/>
          <w:sz w:val="28"/>
        </w:rPr>
        <w:t xml:space="preserve">вляются в бухгалтерию организации. </w:t>
      </w:r>
      <w:r>
        <w:rPr>
          <w:rFonts w:ascii="Times New Roman" w:cs="Times New Roman" w:hAnsi="Times New Roman"/>
          <w:sz w:val="28"/>
        </w:rPr>
        <w:t>Сумма образованного таким образом резерва отражается</w:t>
      </w:r>
      <w:r>
        <w:rPr>
          <w:rFonts w:ascii="Times New Roman" w:cs="Times New Roman" w:hAnsi="Times New Roman"/>
          <w:sz w:val="28"/>
        </w:rPr>
        <w:t xml:space="preserve"> Обществом на счете 59 «Резервы </w:t>
      </w:r>
      <w:r>
        <w:rPr>
          <w:rFonts w:ascii="Times New Roman" w:cs="Times New Roman" w:hAnsi="Times New Roman"/>
          <w:sz w:val="28"/>
        </w:rPr>
        <w:t>под обесценение финансовых вложений» и учитывается в составе прочих расходов.</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Для подтверждения достоверности данных таблицы 2.5 были проанализированы: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документы, регулирующие бухгалтерский учет и налог</w:t>
      </w:r>
      <w:r>
        <w:rPr>
          <w:rFonts w:ascii="Times New Roman" w:cs="Times New Roman" w:hAnsi="Times New Roman"/>
          <w:sz w:val="28"/>
        </w:rPr>
        <w:t>ообложение финансовых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бухгалтерская</w:t>
      </w:r>
      <w:r>
        <w:rPr>
          <w:rFonts w:ascii="Times New Roman" w:cs="Times New Roman" w:hAnsi="Times New Roman"/>
          <w:sz w:val="28"/>
        </w:rPr>
        <w:t xml:space="preserve"> отчетность;</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приказ о</w:t>
      </w:r>
      <w:r>
        <w:rPr>
          <w:rFonts w:ascii="Times New Roman" w:cs="Times New Roman" w:hAnsi="Times New Roman"/>
          <w:sz w:val="28"/>
        </w:rPr>
        <w:t xml:space="preserve">б учетной политике </w:t>
      </w:r>
      <w:r>
        <w:rPr>
          <w:rFonts w:ascii="Times New Roman" w:cs="Times New Roman" w:hAnsi="Times New Roman"/>
          <w:sz w:val="28"/>
        </w:rPr>
        <w:t>ПАО «МТС»</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регистры синтетического и аналитического учета финансовых</w:t>
      </w:r>
      <w:r>
        <w:rPr>
          <w:rFonts w:ascii="Times New Roman" w:cs="Times New Roman" w:hAnsi="Times New Roman"/>
          <w:sz w:val="28"/>
        </w:rPr>
        <w:t xml:space="preserve">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первичные документы по отражению финансовых вложений.</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ходе проведения проверки нарушений в бухгалтерском учете </w:t>
      </w:r>
      <w:r>
        <w:rPr>
          <w:rFonts w:ascii="Times New Roman" w:cs="Times New Roman" w:hAnsi="Times New Roman"/>
          <w:sz w:val="28"/>
        </w:rPr>
        <w:t>финансовых вложений</w:t>
      </w:r>
      <w:r>
        <w:rPr>
          <w:rFonts w:ascii="Times New Roman" w:cs="Times New Roman" w:hAnsi="Times New Roman"/>
          <w:sz w:val="28"/>
        </w:rPr>
        <w:t xml:space="preserve"> </w:t>
      </w:r>
      <w:r>
        <w:rPr>
          <w:rFonts w:ascii="Times New Roman" w:cs="Times New Roman" w:hAnsi="Times New Roman"/>
          <w:sz w:val="28"/>
        </w:rPr>
        <w:t>выявлено не было.</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2.6</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 xml:space="preserve">Финансовый контроль бухгалтерского учета </w:t>
      </w:r>
      <w:r>
        <w:rPr>
          <w:rFonts w:ascii="Times New Roman" w:cs="Times New Roman" w:eastAsia="Times New Roman" w:hAnsi="Times New Roman"/>
          <w:b/>
          <w:sz w:val="28"/>
          <w:szCs w:val="28"/>
          <w:lang w:eastAsia="ru-RU"/>
        </w:rPr>
        <w:t>резервов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Для отражения в учете и отчетности достовер</w:t>
      </w:r>
      <w:r>
        <w:rPr>
          <w:rFonts w:ascii="Times New Roman" w:cs="Times New Roman" w:hAnsi="Times New Roman"/>
          <w:sz w:val="28"/>
        </w:rPr>
        <w:t xml:space="preserve">ной информации ПАО «МТС» создает </w:t>
      </w:r>
      <w:r>
        <w:rPr>
          <w:rFonts w:ascii="Times New Roman" w:cs="Times New Roman" w:hAnsi="Times New Roman"/>
          <w:sz w:val="28"/>
        </w:rPr>
        <w:t>следующие виды резервов: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по сомнительным долгам (ежемесячно);</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под обесценение финансовых вложений (ежеквартально);</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под снижение стоимости материальных ценностей (ежемесячно);</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под снижение стоимости прочих активов, в случае ес</w:t>
      </w:r>
      <w:r>
        <w:rPr>
          <w:rFonts w:ascii="Times New Roman" w:cs="Times New Roman" w:hAnsi="Times New Roman"/>
          <w:sz w:val="28"/>
        </w:rPr>
        <w:t xml:space="preserve">ли более вероятно, чем нет, что </w:t>
      </w:r>
      <w:r>
        <w:rPr>
          <w:rFonts w:ascii="Times New Roman" w:cs="Times New Roman" w:hAnsi="Times New Roman"/>
          <w:sz w:val="28"/>
        </w:rPr>
        <w:t>актив не принесет экономических выгод, на сумму, равную его балансовой стоимости.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Сомнительным долгом призна</w:t>
      </w:r>
      <w:r>
        <w:rPr>
          <w:rFonts w:ascii="Times New Roman" w:cs="Times New Roman" w:hAnsi="Times New Roman"/>
          <w:sz w:val="28"/>
        </w:rPr>
        <w:t>ется дебиторская задолженность к</w:t>
      </w:r>
      <w:r>
        <w:rPr>
          <w:rFonts w:ascii="Times New Roman" w:cs="Times New Roman" w:hAnsi="Times New Roman"/>
          <w:sz w:val="28"/>
        </w:rPr>
        <w:t>омпании, которая не погашена в сроки, установленные договором, и не обеспечен</w:t>
      </w:r>
      <w:r>
        <w:rPr>
          <w:rFonts w:ascii="Times New Roman" w:cs="Times New Roman" w:hAnsi="Times New Roman"/>
          <w:sz w:val="28"/>
        </w:rPr>
        <w:t xml:space="preserve">а соответствующими гарантиями. </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Дебиторская задолженность может признаваться нереальной для взыскания (до срока истечения исковой давности) на основании результатов собственного расследования при условии проведения регламентированных процедур, если затраты на взыскание дебиторской задолженности превышают возможные по</w:t>
      </w:r>
      <w:r>
        <w:rPr>
          <w:rFonts w:ascii="Times New Roman" w:cs="Times New Roman" w:hAnsi="Times New Roman"/>
          <w:sz w:val="28"/>
        </w:rPr>
        <w:t xml:space="preserve">ступления экономических выгод.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Резерв под обесценение финансовых вложений в ценные бумаги, по которым не определяется их текущая рыночная стоимость, создается на конец квартала на величину разницы между учетной и расчетной стоимостью финансовых вложений, в случае если подтверждается устойчивое существенное снижение </w:t>
      </w:r>
      <w:r>
        <w:rPr>
          <w:rFonts w:ascii="Times New Roman" w:cs="Times New Roman" w:hAnsi="Times New Roman"/>
          <w:sz w:val="28"/>
        </w:rPr>
        <w:t xml:space="preserve">стоимости финансовых вложений.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Резерв под снижение стоимости материальных ценностей образуется на величину разницы между чистой ценой продажи (ценой возможной реализации товаров за вычетом ожидаемых затрат на их продажу) и фактической себестоимостью материально-производственных запасов, если последняя выше чистой цены продажи, а также в случаях, если произошло их физическое повреждение, полное или частичное моральное устаревание в процессе хранения, и относится на прочие операционные расходы.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ПАО «МТС» </w:t>
      </w:r>
      <w:r>
        <w:rPr>
          <w:rFonts w:ascii="Times New Roman" w:cs="Times New Roman" w:hAnsi="Times New Roman"/>
          <w:sz w:val="28"/>
        </w:rPr>
        <w:t xml:space="preserve">заключает соглашения о предоставлении </w:t>
      </w:r>
      <w:r>
        <w:rPr>
          <w:rFonts w:ascii="Times New Roman" w:cs="Times New Roman" w:hAnsi="Times New Roman"/>
          <w:sz w:val="28"/>
        </w:rPr>
        <w:t>роуминговых</w:t>
      </w:r>
      <w:r>
        <w:rPr>
          <w:rFonts w:ascii="Times New Roman" w:cs="Times New Roman" w:hAnsi="Times New Roman"/>
          <w:sz w:val="28"/>
        </w:rPr>
        <w:t xml:space="preserve"> скидок с рядом операторов сотовой связи.</w:t>
      </w:r>
      <w:r>
        <w:rPr>
          <w:rFonts w:ascii="Times New Roman" w:cs="Times New Roman" w:hAnsi="Times New Roman"/>
          <w:sz w:val="28"/>
        </w:rPr>
        <w:t xml:space="preserve"> Согласно условиям соглашений, к</w:t>
      </w:r>
      <w:r>
        <w:rPr>
          <w:rFonts w:ascii="Times New Roman" w:cs="Times New Roman" w:hAnsi="Times New Roman"/>
          <w:sz w:val="28"/>
        </w:rPr>
        <w:t xml:space="preserve">омпания обязана предоставить скидки, а также имеет право на их получение, как правило, в зависимости от объема </w:t>
      </w:r>
      <w:r>
        <w:rPr>
          <w:rFonts w:ascii="Times New Roman" w:cs="Times New Roman" w:hAnsi="Times New Roman"/>
          <w:sz w:val="28"/>
        </w:rPr>
        <w:t>роумингового</w:t>
      </w:r>
      <w:r>
        <w:rPr>
          <w:rFonts w:ascii="Times New Roman" w:cs="Times New Roman" w:hAnsi="Times New Roman"/>
          <w:sz w:val="28"/>
        </w:rPr>
        <w:t xml:space="preserve"> трафика между операторами. Компания использует различные оценки и допущения, основанные на исторических данных и скорректированные с учетом соответствующих изменений, для определения суммы скидки к получению или предоставлению. Данные оценки корректируются ежемесячно для отражения вновь появившейся информации.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Оценочное обязательство (резерв) признается в сумме, отражающей наилучшую расчетную оценку затрат, необходимых на конец отчетного периода, для урегулировани</w:t>
      </w:r>
      <w:r>
        <w:rPr>
          <w:rFonts w:ascii="Times New Roman" w:cs="Times New Roman" w:hAnsi="Times New Roman"/>
          <w:sz w:val="28"/>
        </w:rPr>
        <w:t xml:space="preserve">я существующего обязательства.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Начисление обязательства по выводу активов из эксплуатации </w:t>
      </w:r>
      <w:r>
        <w:rPr>
          <w:rFonts w:ascii="Times New Roman" w:cs="Times New Roman" w:hAnsi="Times New Roman"/>
          <w:sz w:val="28"/>
        </w:rPr>
        <w:t xml:space="preserve">в ПАО «МТС» </w:t>
      </w:r>
      <w:r>
        <w:rPr>
          <w:rFonts w:ascii="Times New Roman" w:cs="Times New Roman" w:hAnsi="Times New Roman"/>
          <w:sz w:val="28"/>
        </w:rPr>
        <w:t>произ</w:t>
      </w:r>
      <w:r>
        <w:rPr>
          <w:rFonts w:ascii="Times New Roman" w:cs="Times New Roman" w:hAnsi="Times New Roman"/>
          <w:sz w:val="28"/>
        </w:rPr>
        <w:t>водится в тех случаях, когда у к</w:t>
      </w:r>
      <w:r>
        <w:rPr>
          <w:rFonts w:ascii="Times New Roman" w:cs="Times New Roman" w:hAnsi="Times New Roman"/>
          <w:sz w:val="28"/>
        </w:rPr>
        <w:t xml:space="preserve">омпании имеется установленное законодательством или соглашением обязательство по выводу из эксплуатации долгосрочных материальных активов. Обязательства ПАО «МТС» относятся преимущественно к расходам по демонтажу </w:t>
      </w:r>
      <w:r>
        <w:rPr>
          <w:rFonts w:ascii="Times New Roman" w:cs="Times New Roman" w:hAnsi="Times New Roman"/>
          <w:sz w:val="28"/>
        </w:rPr>
        <w:t xml:space="preserve">оборудования, установленного </w:t>
      </w:r>
      <w:r>
        <w:rPr>
          <w:rFonts w:ascii="Times New Roman" w:cs="Times New Roman" w:hAnsi="Times New Roman"/>
          <w:sz w:val="28"/>
        </w:rPr>
        <w:t>на арендованных площадках. Компания отразила прив</w:t>
      </w:r>
      <w:r>
        <w:rPr>
          <w:rFonts w:ascii="Times New Roman" w:cs="Times New Roman" w:hAnsi="Times New Roman"/>
          <w:sz w:val="28"/>
        </w:rPr>
        <w:t xml:space="preserve">еденную стоимость обязательств </w:t>
      </w:r>
      <w:r>
        <w:rPr>
          <w:rFonts w:ascii="Times New Roman" w:cs="Times New Roman" w:hAnsi="Times New Roman"/>
          <w:sz w:val="28"/>
        </w:rPr>
        <w:t>по выводу активов из эксплуатации в бухгалтерской отчетности в составе IV раздела бухгалтерского баланса «Долгосрочные обязательства» в строке «Оценочные обязательства».</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2.7</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Финансовый контроль бухгалтерского учета доходов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Целью финансового контроля бухгалтерского учета доходов является формирование мнения о достоверности показателей бухгалтерской отчетности по данному разделу учета и установление соответствия применяемой в организации методики учета доходов действующим в РФ нормативным документам.</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Бухгалтерский учет доходов в ПАО «МТС» регламентируется положением по бухгалтерскому учету 9/99 «Доходы организации».</w:t>
      </w:r>
      <w:r>
        <w:rPr>
          <w:rFonts w:ascii="Times New Roman" w:cs="Times New Roman" w:hAnsi="Times New Roman"/>
          <w:sz w:val="28"/>
        </w:rPr>
        <w:t xml:space="preserve"> Доходы по обычным и прочим видам деятельности отражаются на счетах 90 «Продажи» и 91 «</w:t>
      </w:r>
      <w:r>
        <w:rPr>
          <w:rFonts w:ascii="Times New Roman" w:cs="Times New Roman" w:hAnsi="Times New Roman"/>
          <w:sz w:val="28"/>
        </w:rPr>
        <w:t>Прочие доходы и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Доходы ПАО «МТС»</w:t>
      </w:r>
      <w:r>
        <w:rPr>
          <w:rFonts w:ascii="Times New Roman" w:cs="Times New Roman" w:hAnsi="Times New Roman"/>
          <w:sz w:val="28"/>
        </w:rPr>
        <w:t xml:space="preserve"> в зависимости от их характера, условия получения и направлений д</w:t>
      </w:r>
      <w:r>
        <w:rPr>
          <w:rFonts w:ascii="Times New Roman" w:cs="Times New Roman" w:hAnsi="Times New Roman"/>
          <w:sz w:val="28"/>
        </w:rPr>
        <w:t xml:space="preserve">еятельности подразделяются на: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выручку;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прочие доходы от обычных видов деятельности;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доходы, отличные от доходов от обычных видов деятельности.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Осно</w:t>
      </w:r>
      <w:r>
        <w:rPr>
          <w:rFonts w:ascii="Times New Roman" w:cs="Times New Roman" w:hAnsi="Times New Roman"/>
          <w:sz w:val="28"/>
        </w:rPr>
        <w:t>вным источником доходов к</w:t>
      </w:r>
      <w:r>
        <w:rPr>
          <w:rFonts w:ascii="Times New Roman" w:cs="Times New Roman" w:hAnsi="Times New Roman"/>
          <w:sz w:val="28"/>
        </w:rPr>
        <w:t xml:space="preserve">омпании является выручка </w:t>
      </w:r>
      <w:r>
        <w:rPr>
          <w:rFonts w:ascii="Times New Roman" w:cs="Times New Roman" w:hAnsi="Times New Roman"/>
          <w:sz w:val="28"/>
        </w:rPr>
        <w:t xml:space="preserve">от реализации следующих услуг: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услуги сотовой радиотелефонной связи;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предоставление в аренду каналов связи;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предоставление услуг фиксированной городской, междугородней и международной связи;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предоставление услуг </w:t>
      </w:r>
      <w:r>
        <w:rPr>
          <w:rFonts w:ascii="Times New Roman" w:cs="Times New Roman" w:hAnsi="Times New Roman"/>
          <w:sz w:val="28"/>
        </w:rPr>
        <w:t>телематических</w:t>
      </w:r>
      <w:r>
        <w:rPr>
          <w:rFonts w:ascii="Times New Roman" w:cs="Times New Roman" w:hAnsi="Times New Roman"/>
          <w:sz w:val="28"/>
        </w:rPr>
        <w:t xml:space="preserve"> служб;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прочие источники.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ходе проверки выявлено, что доля выручки</w:t>
      </w:r>
      <w:r>
        <w:rPr>
          <w:rFonts w:ascii="Times New Roman" w:cs="Times New Roman" w:hAnsi="Times New Roman"/>
          <w:sz w:val="28"/>
        </w:rPr>
        <w:t xml:space="preserve"> от оказания услуг связи и платы за подключение в общей</w:t>
      </w:r>
      <w:r>
        <w:rPr>
          <w:rFonts w:ascii="Times New Roman" w:cs="Times New Roman" w:hAnsi="Times New Roman"/>
          <w:sz w:val="28"/>
        </w:rPr>
        <w:t xml:space="preserve"> выручке за 2019 год и 2018</w:t>
      </w:r>
      <w:r>
        <w:rPr>
          <w:rFonts w:ascii="Times New Roman" w:cs="Times New Roman" w:hAnsi="Times New Roman"/>
          <w:sz w:val="28"/>
        </w:rPr>
        <w:t xml:space="preserve"> год составляет 98.27% и 98.39%, соответственно.</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К прочим доходам относятся: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доходы в виде процентов по договорам займа и иным аналогичным договорам (иным долговым обязательствам, включая ценные бумаги);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доходы от участия в уставных капиталах других организаций;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прибыль от операций со свопами;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положительные курсовые разницы;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прочие доходы.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Доходы подлежат признанию, если одновременно выполняются два условия: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 </w:t>
      </w:r>
      <w:r>
        <w:rPr>
          <w:rFonts w:ascii="Times New Roman" w:cs="Times New Roman" w:hAnsi="Times New Roman"/>
          <w:sz w:val="28"/>
        </w:rPr>
        <w:t xml:space="preserve">приток экономических выгод является вероятным;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сумма притока экономических выгод может быть надежно оценена.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Выручка для целей бухгалтерского учета определяется в соотве</w:t>
      </w:r>
      <w:r>
        <w:rPr>
          <w:rFonts w:ascii="Times New Roman" w:cs="Times New Roman" w:hAnsi="Times New Roman"/>
          <w:sz w:val="28"/>
        </w:rPr>
        <w:t xml:space="preserve">тствии с принципом начисления. </w:t>
      </w:r>
      <w:r>
        <w:rPr>
          <w:rFonts w:ascii="Times New Roman" w:cs="Times New Roman" w:hAnsi="Times New Roman"/>
          <w:sz w:val="28"/>
        </w:rPr>
        <w:t>Выручка принимается к бухгалтерскому учету с учетом суммы любых торговых скидок (надба</w:t>
      </w:r>
      <w:r>
        <w:rPr>
          <w:rFonts w:ascii="Times New Roman" w:cs="Times New Roman" w:hAnsi="Times New Roman"/>
          <w:sz w:val="28"/>
        </w:rPr>
        <w:t>вок), предоставляемых ПАО «МТС».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Выручка от продажи услуг связи определяется на основании данных </w:t>
      </w:r>
      <w:r>
        <w:rPr>
          <w:rFonts w:ascii="Times New Roman" w:cs="Times New Roman" w:hAnsi="Times New Roman"/>
          <w:sz w:val="28"/>
        </w:rPr>
        <w:t>биллинговой</w:t>
      </w:r>
      <w:r>
        <w:rPr>
          <w:rFonts w:ascii="Times New Roman" w:cs="Times New Roman" w:hAnsi="Times New Roman"/>
          <w:sz w:val="28"/>
        </w:rPr>
        <w:t xml:space="preserve"> системы об объеме и видах оказанных услуг за отчетный период и утвержденных тарифов на услуги связи с учетом скидок, предусмотренных маркетинговой политикой Компании. Доходы от продажи услуг связи признаются в момент выставления счетов абонентам в </w:t>
      </w:r>
      <w:r>
        <w:rPr>
          <w:rFonts w:ascii="Times New Roman" w:cs="Times New Roman" w:hAnsi="Times New Roman"/>
          <w:sz w:val="28"/>
        </w:rPr>
        <w:t>биллинговой</w:t>
      </w:r>
      <w:r>
        <w:rPr>
          <w:rFonts w:ascii="Times New Roman" w:cs="Times New Roman" w:hAnsi="Times New Roman"/>
          <w:sz w:val="28"/>
        </w:rPr>
        <w:t xml:space="preserve"> системе.</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Плата за подключение и иные разовые услуги, полученные в отчетном периоде, но относящиеся к следующим периодам, признаются в качестве отложенного дохода с последующим равномерным признанием дохода в течение ожидаемого «периода жизни» абонента.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Выручка от предоставления каналов связи в аренду признается на последнее число отчетного месяца. При этом величина доходов определяется с учетом скидок (надбавок), применяемых в соответствии с внутренними локальными актами, являющимися частью общей </w:t>
      </w:r>
      <w:r>
        <w:rPr>
          <w:rFonts w:ascii="Times New Roman" w:cs="Times New Roman" w:hAnsi="Times New Roman"/>
          <w:sz w:val="28"/>
        </w:rPr>
        <w:t>маркетинговой политики ПАО «МТС». А в</w:t>
      </w:r>
      <w:r>
        <w:rPr>
          <w:rFonts w:ascii="Times New Roman" w:cs="Times New Roman" w:hAnsi="Times New Roman"/>
          <w:sz w:val="28"/>
        </w:rPr>
        <w:t>ыручка от продажи товаров признается в момент перехода права собственности.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Выручка от предоставления права пользования товарным знаком и от оказания услуг по договорам управления признается равномерн</w:t>
      </w:r>
      <w:r>
        <w:rPr>
          <w:rFonts w:ascii="Times New Roman" w:cs="Times New Roman" w:hAnsi="Times New Roman"/>
          <w:sz w:val="28"/>
        </w:rPr>
        <w:t xml:space="preserve">о в течение отчетного периода. </w:t>
      </w:r>
      <w:r>
        <w:rPr>
          <w:rFonts w:ascii="Times New Roman" w:cs="Times New Roman" w:hAnsi="Times New Roman"/>
          <w:sz w:val="28"/>
        </w:rPr>
        <w:t xml:space="preserve">Вознаграждение за обслуживание, включенное в стоимость товара, признается в качестве выручки на протяжении периода предоставления услуги.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Комиссионное вознаграждение за рекламу признается в соответствии со стадией предоставления услуг, после того, как соответствующая реклама размещена.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Доходы по договорам с исполнением денежных обязательств в иностранной валюте признаются в бухгалтерском учете в оценке по </w:t>
      </w:r>
      <w:r>
        <w:rPr>
          <w:rFonts w:ascii="Times New Roman" w:cs="Times New Roman" w:hAnsi="Times New Roman"/>
          <w:sz w:val="28"/>
        </w:rPr>
        <w:t>официальному курсу валюты на фактическую дату проведения хозяйственной операции (если она определена), или на последнюю дату месяца оказания услуг, выполнения работ (если определен период оказания услуги, выполнения работ). При этом при определении курса по периодическим услугам (например, услуги роуминга), оказываемым непрерывно в течение отчетного периода (месяца), может использоваться среднемесячный курс.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При проведении аудита бухгалтерского учета </w:t>
      </w:r>
      <w:r>
        <w:rPr>
          <w:rFonts w:ascii="Times New Roman" w:cs="Times New Roman" w:hAnsi="Times New Roman"/>
          <w:sz w:val="28"/>
        </w:rPr>
        <w:t>доходов</w:t>
      </w:r>
      <w:r>
        <w:rPr>
          <w:rFonts w:ascii="Times New Roman" w:cs="Times New Roman" w:hAnsi="Times New Roman"/>
          <w:sz w:val="28"/>
        </w:rPr>
        <w:t xml:space="preserve"> установлено, что все условия, определенные нормативными</w:t>
      </w:r>
      <w:r>
        <w:rPr>
          <w:rFonts w:ascii="Times New Roman" w:cs="Times New Roman" w:hAnsi="Times New Roman"/>
          <w:sz w:val="28"/>
        </w:rPr>
        <w:t xml:space="preserve"> актами</w:t>
      </w:r>
      <w:r>
        <w:rPr>
          <w:rFonts w:ascii="Times New Roman" w:cs="Times New Roman" w:hAnsi="Times New Roman"/>
          <w:sz w:val="28"/>
        </w:rPr>
        <w:t>, для их учета соблюдаются.</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2.8</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Финансовый контроль бухгалтерского учета расходов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Бухгалтерский учет расходов в ПАО «МТС» регламентируется положением по бухгалтерскому учету 10/99 «Расходы организации».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Цель аудита расходов –– выражение мнения о достоверности показателей в финансовой отчетности по расходам и соответствии ведения их учета требованиям законодательных документов.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Расходы по обычным видам деятельности отражаются по дебету счета 90 «</w:t>
      </w:r>
      <w:r>
        <w:rPr>
          <w:rFonts w:ascii="Times New Roman" w:cs="Times New Roman" w:hAnsi="Times New Roman"/>
          <w:sz w:val="28"/>
        </w:rPr>
        <w:t>Продажи</w:t>
      </w:r>
      <w:r>
        <w:rPr>
          <w:rFonts w:ascii="Times New Roman" w:cs="Times New Roman" w:hAnsi="Times New Roman"/>
          <w:sz w:val="28"/>
        </w:rPr>
        <w:t>».</w:t>
      </w:r>
      <w:r>
        <w:rPr>
          <w:rFonts w:ascii="Times New Roman" w:cs="Times New Roman" w:hAnsi="Times New Roman"/>
          <w:sz w:val="28"/>
        </w:rPr>
        <w:t xml:space="preserve"> А по прочим видам деятельности –– 91 «Прочие доходы и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ПАО «МТС»</w:t>
      </w:r>
      <w:r>
        <w:rPr>
          <w:rFonts w:ascii="Times New Roman" w:cs="Times New Roman" w:hAnsi="Times New Roman"/>
          <w:sz w:val="28"/>
        </w:rPr>
        <w:t xml:space="preserve"> выделяет основные ви</w:t>
      </w:r>
      <w:r>
        <w:rPr>
          <w:rFonts w:ascii="Times New Roman" w:cs="Times New Roman" w:hAnsi="Times New Roman"/>
          <w:sz w:val="28"/>
        </w:rPr>
        <w:t xml:space="preserve">ды расходов по функции затрат: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себестоимость продаж (услуг связи, реализуемых товаров);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управленческие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коммерческие расходы;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прочие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К себестоимости продаж относятся прямые расходы, непосредственно связанные с процессами предоставления услуг связи, продажей абонентского оборудования и аксессуаров.</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Себестоимость продаж включает в</w:t>
      </w:r>
      <w:r>
        <w:rPr>
          <w:rFonts w:ascii="Times New Roman" w:cs="Times New Roman" w:hAnsi="Times New Roman"/>
          <w:sz w:val="28"/>
        </w:rPr>
        <w:t xml:space="preserve"> себя следующие виды расходов: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услуги межсетевого взаимодействия;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услуги по аренде каналов;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услуги роуминга;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себестоимость абонентского оборудования и аксессуаров;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оплату труда производственного персонала;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аренду производственных ресурсов;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техническое обслуживание и ремонт производственного оборудования связи;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предоставление контента;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прочие прямые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К коммерческим, управленческим и прочим оп</w:t>
      </w:r>
      <w:r>
        <w:rPr>
          <w:rFonts w:ascii="Times New Roman" w:cs="Times New Roman" w:hAnsi="Times New Roman"/>
          <w:sz w:val="28"/>
        </w:rPr>
        <w:t xml:space="preserve">ерационным расходам относятся: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рекламу и маркетинг;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комиссионные расходы на услуги дилеров;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комиссия за прием платежей;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связанные с деятельностью офисов продаж (аренда, ремонт, коммунальные платежи и пр.);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оплату труда административного и коммерческого персонала;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техническое обслуживание и ремонт;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расходы на коммунальные платежи (</w:t>
      </w:r>
      <w:r>
        <w:rPr>
          <w:rFonts w:ascii="Times New Roman" w:cs="Times New Roman" w:hAnsi="Times New Roman"/>
          <w:sz w:val="28"/>
        </w:rPr>
        <w:t>теплоэнергия</w:t>
      </w:r>
      <w:r>
        <w:rPr>
          <w:rFonts w:ascii="Times New Roman" w:cs="Times New Roman" w:hAnsi="Times New Roman"/>
          <w:sz w:val="28"/>
        </w:rPr>
        <w:t xml:space="preserve">, электроэнергия, водоснабжение);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выставление счетов и обработку данных;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аренду земли и помещений непроизводственного характера;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юридические и нотариальные услуги;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расходы на охрану окружающей среды;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рас</w:t>
      </w:r>
      <w:r>
        <w:rPr>
          <w:rFonts w:ascii="Times New Roman" w:cs="Times New Roman" w:hAnsi="Times New Roman"/>
          <w:sz w:val="28"/>
        </w:rPr>
        <w:t>ходы на консультационные услуги.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ПАО «МТС» </w:t>
      </w:r>
      <w:r>
        <w:rPr>
          <w:rFonts w:ascii="Times New Roman" w:cs="Times New Roman" w:hAnsi="Times New Roman"/>
          <w:sz w:val="28"/>
        </w:rPr>
        <w:t>расходы</w:t>
      </w:r>
      <w:r>
        <w:rPr>
          <w:rFonts w:ascii="Times New Roman" w:cs="Times New Roman" w:hAnsi="Times New Roman"/>
          <w:sz w:val="28"/>
        </w:rPr>
        <w:t xml:space="preserve"> отражаются по строкам</w:t>
      </w:r>
      <w:r>
        <w:rPr>
          <w:rFonts w:ascii="Times New Roman" w:cs="Times New Roman" w:hAnsi="Times New Roman"/>
          <w:sz w:val="28"/>
        </w:rPr>
        <w:t xml:space="preserve"> 2120 «Себестоимость продаж», 2210 «Коммерческие расходы» и 2220 «Управленческие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Расходы на производство, выполнение работ, оказание услуг группируются в разрезе элементам затрат.</w:t>
      </w:r>
      <w:r>
        <w:rPr>
          <w:rFonts w:ascii="Times New Roman" w:cs="Times New Roman" w:hAnsi="Times New Roman"/>
          <w:sz w:val="28"/>
        </w:rPr>
        <w:t xml:space="preserve"> Расходы признаются в том </w:t>
      </w:r>
      <w:r>
        <w:rPr>
          <w:rFonts w:ascii="Times New Roman" w:cs="Times New Roman" w:hAnsi="Times New Roman"/>
          <w:sz w:val="28"/>
        </w:rPr>
        <w:t>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жизни).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ходе проведения проверки нарушений в</w:t>
      </w:r>
      <w:r>
        <w:rPr>
          <w:rFonts w:ascii="Times New Roman" w:cs="Times New Roman" w:hAnsi="Times New Roman"/>
          <w:sz w:val="28"/>
        </w:rPr>
        <w:t xml:space="preserve"> бухгалтерском учете расходов не выявлено</w:t>
      </w:r>
      <w:r>
        <w:rPr>
          <w:rFonts w:ascii="Times New Roman" w:cs="Times New Roman" w:hAnsi="Times New Roman"/>
          <w:sz w:val="28"/>
        </w:rPr>
        <w:t>.</w:t>
      </w:r>
    </w:p>
    <w:p>
      <w:pPr>
        <w:pStyle w:val="style0"/>
        <w:spacing w:before="360" w:after="360" w:lineRule="auto" w:line="360"/>
        <w:ind w:left="1276" w:right="-1" w:hanging="567"/>
        <w:rPr>
          <w:rFonts w:ascii="Times New Roman" w:cs="Times New Roman" w:eastAsia="Times New Roman" w:hAnsi="Times New Roman"/>
          <w:b/>
          <w:sz w:val="28"/>
          <w:szCs w:val="28"/>
          <w:lang w:eastAsia="ru-RU"/>
        </w:rPr>
      </w:pPr>
      <w:r>
        <w:rPr>
          <w:rFonts w:ascii="Times New Roman" w:cs="Times New Roman" w:eastAsia="Times New Roman" w:hAnsi="Times New Roman"/>
          <w:b/>
          <w:sz w:val="28"/>
          <w:szCs w:val="28"/>
          <w:lang w:eastAsia="ru-RU"/>
        </w:rPr>
        <w:t>2.9</w:t>
      </w:r>
      <w:r>
        <w:rPr>
          <w:rFonts w:ascii="Times New Roman" w:cs="Times New Roman" w:eastAsia="Times New Roman" w:hAnsi="Times New Roman"/>
          <w:b/>
          <w:sz w:val="28"/>
          <w:szCs w:val="28"/>
          <w:lang w:eastAsia="ru-RU"/>
        </w:rPr>
        <w:tab/>
      </w:r>
      <w:r>
        <w:rPr>
          <w:rFonts w:ascii="Times New Roman" w:cs="Times New Roman" w:eastAsia="Times New Roman" w:hAnsi="Times New Roman"/>
          <w:b/>
          <w:sz w:val="28"/>
          <w:szCs w:val="28"/>
          <w:lang w:eastAsia="ru-RU"/>
        </w:rPr>
        <w:t>Заключение по фина</w:t>
      </w:r>
      <w:r>
        <w:rPr>
          <w:rFonts w:ascii="Times New Roman" w:cs="Times New Roman" w:eastAsia="Times New Roman" w:hAnsi="Times New Roman"/>
          <w:b/>
          <w:sz w:val="28"/>
          <w:szCs w:val="28"/>
          <w:lang w:eastAsia="ru-RU"/>
        </w:rPr>
        <w:t>нсовому контролю бухгалтерского</w:t>
      </w:r>
      <w:r>
        <w:rPr>
          <w:rFonts w:ascii="Times New Roman" w:cs="Times New Roman" w:eastAsia="Times New Roman" w:hAnsi="Times New Roman"/>
          <w:b/>
          <w:sz w:val="28"/>
          <w:szCs w:val="28"/>
          <w:lang w:eastAsia="ru-RU"/>
        </w:rPr>
        <w:br/>
      </w:r>
      <w:r>
        <w:rPr>
          <w:rFonts w:ascii="Times New Roman" w:cs="Times New Roman" w:eastAsia="Times New Roman" w:hAnsi="Times New Roman"/>
          <w:b/>
          <w:sz w:val="28"/>
          <w:szCs w:val="28"/>
          <w:lang w:eastAsia="ru-RU"/>
        </w:rPr>
        <w:t>учета и составления отчетности в ПАО «МТС»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Акционерам Публичного акционерного общества «Мобильные </w:t>
      </w:r>
      <w:r>
        <w:rPr>
          <w:rFonts w:ascii="Times New Roman" w:cs="Times New Roman" w:hAnsi="Times New Roman"/>
          <w:sz w:val="28"/>
        </w:rPr>
        <w:t>ТелеСистемы</w:t>
      </w:r>
      <w:r>
        <w:rPr>
          <w:rFonts w:ascii="Times New Roman" w:cs="Times New Roman" w:hAnsi="Times New Roman"/>
          <w:sz w:val="28"/>
        </w:rPr>
        <w:t xml:space="preserve">» </w:t>
      </w:r>
      <w:r>
        <w:rPr>
          <w:rFonts w:ascii="Times New Roman" w:cs="Times New Roman" w:hAnsi="Times New Roman"/>
          <w:sz w:val="28"/>
        </w:rPr>
        <w:t>проведен</w:t>
      </w:r>
      <w:r>
        <w:rPr>
          <w:rFonts w:ascii="Times New Roman" w:cs="Times New Roman" w:hAnsi="Times New Roman"/>
          <w:sz w:val="28"/>
        </w:rPr>
        <w:t xml:space="preserve"> аудит прилагаемой бухгалтерской отчетности Публичного акционерного общества «Мобильные </w:t>
      </w:r>
      <w:r>
        <w:rPr>
          <w:rFonts w:ascii="Times New Roman" w:cs="Times New Roman" w:hAnsi="Times New Roman"/>
          <w:sz w:val="28"/>
        </w:rPr>
        <w:t>ТелеСистемы</w:t>
      </w:r>
      <w:r>
        <w:rPr>
          <w:rFonts w:ascii="Times New Roman" w:cs="Times New Roman" w:hAnsi="Times New Roman"/>
          <w:sz w:val="28"/>
        </w:rPr>
        <w:t xml:space="preserve">», состоящей из: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Бухгалтерского баланса</w:t>
      </w:r>
      <w:r>
        <w:rPr>
          <w:rFonts w:ascii="Times New Roman" w:cs="Times New Roman" w:hAnsi="Times New Roman"/>
          <w:sz w:val="28"/>
        </w:rPr>
        <w:t xml:space="preserve"> по состоянию на 31 декабря 2019</w:t>
      </w:r>
      <w:r>
        <w:rPr>
          <w:rFonts w:ascii="Times New Roman" w:cs="Times New Roman" w:hAnsi="Times New Roman"/>
          <w:sz w:val="28"/>
        </w:rPr>
        <w:t xml:space="preserve"> года;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 xml:space="preserve">Отчета </w:t>
      </w:r>
      <w:r>
        <w:rPr>
          <w:rFonts w:ascii="Times New Roman" w:cs="Times New Roman" w:hAnsi="Times New Roman"/>
          <w:sz w:val="28"/>
        </w:rPr>
        <w:t>о финансовых результатах за 2019</w:t>
      </w:r>
      <w:r>
        <w:rPr>
          <w:rFonts w:ascii="Times New Roman" w:cs="Times New Roman" w:hAnsi="Times New Roman"/>
          <w:sz w:val="28"/>
        </w:rPr>
        <w:t xml:space="preserve"> год;</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Приложений к бухгалтерскому балансу и отчету о финансовых результатах:</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Отчет</w:t>
      </w:r>
      <w:r>
        <w:rPr>
          <w:rFonts w:ascii="Times New Roman" w:cs="Times New Roman" w:hAnsi="Times New Roman"/>
          <w:sz w:val="28"/>
        </w:rPr>
        <w:t>а об изменениях капитала за 2019 год;</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Отчета о д</w:t>
      </w:r>
      <w:r>
        <w:rPr>
          <w:rFonts w:ascii="Times New Roman" w:cs="Times New Roman" w:hAnsi="Times New Roman"/>
          <w:sz w:val="28"/>
        </w:rPr>
        <w:t>вижении денежных средств за 2019 год;</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Пояснений к бухгалтерской отчетности.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Руководство </w:t>
      </w:r>
      <w:r>
        <w:rPr>
          <w:rFonts w:ascii="Times New Roman" w:cs="Times New Roman" w:hAnsi="Times New Roman"/>
          <w:sz w:val="28"/>
        </w:rPr>
        <w:t>аудируемого</w:t>
      </w:r>
      <w:r>
        <w:rPr>
          <w:rFonts w:ascii="Times New Roman" w:cs="Times New Roman" w:hAnsi="Times New Roman"/>
          <w:sz w:val="28"/>
        </w:rPr>
        <w:t xml:space="preserve"> лица несет ответственность за составление и достоверность данной бухгалтерской отчетности в соответствии с российскими стандартами бухгалтерского учета и отчетности и за систему внутреннего контроля, необходимую для составления бухгалтерской отчетности, не содержащей существенных искажений вследствие недобросовестных действий или ошибок.</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Ответственность по результатам проведенной проверки</w:t>
      </w:r>
      <w:r>
        <w:rPr>
          <w:rFonts w:ascii="Times New Roman" w:cs="Times New Roman" w:hAnsi="Times New Roman"/>
          <w:sz w:val="28"/>
        </w:rPr>
        <w:t xml:space="preserve"> заключается в выражении мнения о достоверности бухгалтерской отчетности на основе проведенного аудита. </w:t>
      </w:r>
      <w:r>
        <w:rPr>
          <w:rFonts w:ascii="Times New Roman" w:cs="Times New Roman" w:hAnsi="Times New Roman"/>
          <w:sz w:val="28"/>
        </w:rPr>
        <w:t xml:space="preserve">Аудит проведен </w:t>
      </w:r>
      <w:r>
        <w:rPr>
          <w:rFonts w:ascii="Times New Roman" w:cs="Times New Roman" w:hAnsi="Times New Roman"/>
          <w:sz w:val="28"/>
        </w:rPr>
        <w:t xml:space="preserve">в соответствии с федеральными стандартами аудиторской деятельности. Данные стандарты требуют </w:t>
      </w:r>
      <w:r>
        <w:rPr>
          <w:rFonts w:ascii="Times New Roman" w:cs="Times New Roman" w:hAnsi="Times New Roman"/>
          <w:sz w:val="28"/>
        </w:rPr>
        <w:t xml:space="preserve">соблюдения применимых этических норм, а также планирования и проведения аудита таким образом, чтобы получить достаточную уверенность в том, что бухгалтерская отчетность не содержит существенных искажений.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Аудит включал проведение аудиторских процедур, направленных на получение аудиторских доказательств, подтверждающих числовые показатели в бухгалтерской отчетности и раскрытие в ней информации. Выбор аудиторских процедур является предметом суждения, которое основывается на оценке риска существенных искажений, допущенных вследствие недобросовестных действий или ошибок. В пр</w:t>
      </w:r>
      <w:r>
        <w:rPr>
          <w:rFonts w:ascii="Times New Roman" w:cs="Times New Roman" w:hAnsi="Times New Roman"/>
          <w:sz w:val="28"/>
        </w:rPr>
        <w:t>оцессе оценки данного риска</w:t>
      </w:r>
      <w:r>
        <w:rPr>
          <w:rFonts w:ascii="Times New Roman" w:cs="Times New Roman" w:hAnsi="Times New Roman"/>
          <w:sz w:val="28"/>
        </w:rPr>
        <w:t xml:space="preserve"> рассмотрена система внутреннего контроля, обеспечивающая составление и достоверность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Аудит также включал оценку надлежащего характера применяемой учетной политики и обоснованности оценочных показателей, полученных руководством </w:t>
      </w:r>
      <w:r>
        <w:rPr>
          <w:rFonts w:ascii="Times New Roman" w:cs="Times New Roman" w:hAnsi="Times New Roman"/>
          <w:sz w:val="28"/>
        </w:rPr>
        <w:t>аудируемого</w:t>
      </w:r>
      <w:r>
        <w:rPr>
          <w:rFonts w:ascii="Times New Roman" w:cs="Times New Roman" w:hAnsi="Times New Roman"/>
          <w:sz w:val="28"/>
        </w:rPr>
        <w:t xml:space="preserve"> лица, а также оценку представления бухгалтерской отчетности в целом.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w:t>
      </w:r>
      <w:r>
        <w:rPr>
          <w:rFonts w:ascii="Times New Roman" w:cs="Times New Roman" w:hAnsi="Times New Roman"/>
          <w:sz w:val="28"/>
        </w:rPr>
        <w:t>олученные в ходе аудита аудиторские доказательства дают достаточные и надлежащие основания для выражения мнения о достоверности бухгалтерской отчетности.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Б</w:t>
      </w:r>
      <w:r>
        <w:rPr>
          <w:rFonts w:ascii="Times New Roman" w:cs="Times New Roman" w:hAnsi="Times New Roman"/>
          <w:sz w:val="28"/>
        </w:rPr>
        <w:t xml:space="preserve">ухгалтерская отчетность отражает достоверно во всех существенных отношениях финансовое положение Публичного акционерного общества «Мобильные </w:t>
      </w:r>
      <w:r>
        <w:rPr>
          <w:rFonts w:ascii="Times New Roman" w:cs="Times New Roman" w:hAnsi="Times New Roman"/>
          <w:sz w:val="28"/>
        </w:rPr>
        <w:t>ТелеСистемы</w:t>
      </w:r>
      <w:r>
        <w:rPr>
          <w:rFonts w:ascii="Times New Roman" w:cs="Times New Roman" w:hAnsi="Times New Roman"/>
          <w:sz w:val="28"/>
        </w:rPr>
        <w:t>»</w:t>
      </w:r>
      <w:r>
        <w:rPr>
          <w:rFonts w:ascii="Times New Roman" w:cs="Times New Roman" w:hAnsi="Times New Roman"/>
          <w:sz w:val="28"/>
        </w:rPr>
        <w:t xml:space="preserve"> по состоянию на 31 декабря 2019</w:t>
      </w:r>
      <w:r>
        <w:rPr>
          <w:rFonts w:ascii="Times New Roman" w:cs="Times New Roman" w:hAnsi="Times New Roman"/>
          <w:sz w:val="28"/>
        </w:rPr>
        <w:t xml:space="preserve"> года, результаты его финансово-хозяйственной деятельности и д</w:t>
      </w:r>
      <w:r>
        <w:rPr>
          <w:rFonts w:ascii="Times New Roman" w:cs="Times New Roman" w:hAnsi="Times New Roman"/>
          <w:sz w:val="28"/>
        </w:rPr>
        <w:t>вижение денежных средств за 2019</w:t>
      </w:r>
      <w:r>
        <w:rPr>
          <w:rFonts w:ascii="Times New Roman" w:cs="Times New Roman" w:hAnsi="Times New Roman"/>
          <w:sz w:val="28"/>
        </w:rPr>
        <w:t xml:space="preserve"> год в соответствии с российскими стандартами бухгалтерского учета и отчетности.</w:t>
      </w:r>
    </w:p>
    <w:p>
      <w:pPr>
        <w:pStyle w:val="style0"/>
        <w:rPr>
          <w:rFonts w:ascii="Times New Roman" w:cs="Times New Roman" w:hAnsi="Times New Roman"/>
          <w:sz w:val="28"/>
        </w:rPr>
      </w:pPr>
      <w:r>
        <w:rPr>
          <w:rFonts w:ascii="Times New Roman" w:cs="Times New Roman" w:hAnsi="Times New Roman"/>
          <w:sz w:val="28"/>
        </w:rPr>
        <w:br w:type="page"/>
      </w:r>
    </w:p>
    <w:p>
      <w:pPr>
        <w:pStyle w:val="style0"/>
        <w:shd w:val="clear" w:color="auto" w:fill="ffffff"/>
        <w:tabs>
          <w:tab w:val="left" w:leader="none" w:pos="4536"/>
        </w:tabs>
        <w:spacing w:after="0" w:lineRule="auto" w:line="360"/>
        <w:jc w:val="center"/>
        <w:rPr>
          <w:rFonts w:ascii="Times New Roman" w:cs="Times New Roman" w:eastAsia="Calibri" w:hAnsi="Times New Roman"/>
          <w:b/>
          <w:sz w:val="32"/>
          <w:szCs w:val="32"/>
          <w:lang w:eastAsia="ru-RU"/>
        </w:rPr>
      </w:pPr>
      <w:r>
        <w:rPr>
          <w:rFonts w:ascii="Times New Roman" w:cs="Times New Roman" w:eastAsia="Calibri" w:hAnsi="Times New Roman"/>
          <w:b/>
          <w:sz w:val="32"/>
          <w:szCs w:val="32"/>
          <w:lang w:eastAsia="ru-RU"/>
        </w:rPr>
        <w:t>ЗАКЛЮЧЕНИЕ</w:t>
      </w: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Производственная практика была пройдена в ПАО «МТС» за период с 06.07.2020 г. по 19.07.2020 г. Цель производственной практики –– </w:t>
      </w:r>
      <w:r>
        <w:rPr>
          <w:rFonts w:ascii="Times New Roman" w:cs="Times New Roman" w:hAnsi="Times New Roman"/>
          <w:sz w:val="28"/>
        </w:rPr>
        <w:t>формирование и получение профессиональных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организационно-правовых форм и видов деятельности</w:t>
      </w:r>
      <w:r>
        <w:rPr>
          <w:rFonts w:ascii="Times New Roman" w:cs="Times New Roman" w:hAnsi="Times New Roman"/>
          <w:sz w:val="28"/>
        </w:rPr>
        <w:t xml:space="preserve"> –– достигнута посредством решения следующих задач:</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изучение организационно-экономической характеристики</w:t>
      </w:r>
      <w:r>
        <w:rPr>
          <w:rFonts w:ascii="Times New Roman" w:cs="Times New Roman" w:hAnsi="Times New Roman"/>
          <w:sz w:val="28"/>
        </w:rPr>
        <w:t xml:space="preserve"> производственной деятельности ПАО «МТС»;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проведение</w:t>
      </w:r>
      <w:r>
        <w:rPr>
          <w:rFonts w:ascii="Times New Roman" w:cs="Times New Roman" w:hAnsi="Times New Roman"/>
          <w:sz w:val="28"/>
        </w:rPr>
        <w:t xml:space="preserve"> анализ</w:t>
      </w:r>
      <w:r>
        <w:rPr>
          <w:rFonts w:ascii="Times New Roman" w:cs="Times New Roman" w:hAnsi="Times New Roman"/>
          <w:sz w:val="28"/>
        </w:rPr>
        <w:t>а</w:t>
      </w:r>
      <w:r>
        <w:rPr>
          <w:rFonts w:ascii="Times New Roman" w:cs="Times New Roman" w:hAnsi="Times New Roman"/>
          <w:sz w:val="28"/>
        </w:rPr>
        <w:t xml:space="preserve"> финансовых показателей деятельности ПАО «МТС»;</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анализ</w:t>
      </w:r>
      <w:r>
        <w:rPr>
          <w:rFonts w:ascii="Times New Roman" w:cs="Times New Roman" w:hAnsi="Times New Roman"/>
          <w:sz w:val="28"/>
        </w:rPr>
        <w:t xml:space="preserve"> системы бухгалтерского учета и внутреннего контроля;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закрепление приобретенных</w:t>
      </w:r>
      <w:r>
        <w:rPr>
          <w:rFonts w:ascii="Times New Roman" w:cs="Times New Roman" w:hAnsi="Times New Roman"/>
          <w:sz w:val="28"/>
        </w:rPr>
        <w:t xml:space="preserve"> в </w:t>
      </w:r>
      <w:r>
        <w:rPr>
          <w:rFonts w:ascii="Times New Roman" w:cs="Times New Roman" w:hAnsi="Times New Roman"/>
          <w:sz w:val="28"/>
        </w:rPr>
        <w:t>процессе обучения теоретических знаний</w:t>
      </w:r>
      <w:r>
        <w:rPr>
          <w:rFonts w:ascii="Times New Roman" w:cs="Times New Roman" w:hAnsi="Times New Roman"/>
          <w:sz w:val="28"/>
        </w:rPr>
        <w:t xml:space="preserve"> (акцентируя внимание на тех дисциплинах, которые являются базовыми по выбранной специализации);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анализ финансового контроля</w:t>
      </w:r>
      <w:r>
        <w:rPr>
          <w:rFonts w:ascii="Times New Roman" w:cs="Times New Roman" w:hAnsi="Times New Roman"/>
          <w:sz w:val="28"/>
        </w:rPr>
        <w:t xml:space="preserve"> всех объектов бухгалтерского наблюдения;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исследование содержания</w:t>
      </w:r>
      <w:r>
        <w:rPr>
          <w:rFonts w:ascii="Times New Roman" w:cs="Times New Roman" w:hAnsi="Times New Roman"/>
          <w:sz w:val="28"/>
        </w:rPr>
        <w:t xml:space="preserve"> нормативных документов, регламентирующих деятельность предприятия;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w:t>
      </w:r>
      <w:r>
        <w:rPr>
          <w:rFonts w:ascii="Times New Roman" w:cs="Times New Roman" w:hAnsi="Times New Roman"/>
          <w:sz w:val="28"/>
        </w:rPr>
        <w:t>изучение методов и приемов</w:t>
      </w:r>
      <w:r>
        <w:rPr>
          <w:rFonts w:ascii="Times New Roman" w:cs="Times New Roman" w:hAnsi="Times New Roman"/>
          <w:sz w:val="28"/>
        </w:rPr>
        <w:t xml:space="preserve"> работы с первичной документацией, бухгалтерскими счетами </w:t>
      </w:r>
      <w:r>
        <w:rPr>
          <w:rFonts w:ascii="Times New Roman" w:cs="Times New Roman" w:hAnsi="Times New Roman"/>
          <w:sz w:val="28"/>
        </w:rPr>
        <w:t>и отчетностью, а также расширение практических навыков</w:t>
      </w:r>
      <w:r>
        <w:rPr>
          <w:rFonts w:ascii="Times New Roman" w:cs="Times New Roman" w:hAnsi="Times New Roman"/>
          <w:sz w:val="28"/>
        </w:rPr>
        <w:t xml:space="preserve"> по осуществлению финансового контроля учетной информации.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первой главе работы </w:t>
      </w:r>
      <w:r>
        <w:rPr>
          <w:rFonts w:ascii="Times New Roman" w:cs="Times New Roman" w:hAnsi="Times New Roman"/>
          <w:sz w:val="28"/>
        </w:rPr>
        <w:t>б</w:t>
      </w:r>
      <w:r>
        <w:rPr>
          <w:rFonts w:ascii="Times New Roman" w:cs="Times New Roman" w:hAnsi="Times New Roman"/>
          <w:sz w:val="28"/>
        </w:rPr>
        <w:t>ыла проанализирована организационно-экономическая характеристика ПАО «МТС». На основе этого анализа можно сделать вывод, что динамика основных финансово-экономических показателей ПАО «МТС» имеет в основном положительную тенденцию, несмотря на снижение некоторых показателей.</w:t>
      </w:r>
      <w:r>
        <w:rPr>
          <w:rFonts w:ascii="Times New Roman" w:cs="Times New Roman" w:hAnsi="Times New Roman"/>
          <w:sz w:val="28"/>
        </w:rPr>
        <w:t xml:space="preserve"> А также проведен анализ, р</w:t>
      </w:r>
      <w:r>
        <w:rPr>
          <w:rFonts w:ascii="Times New Roman" w:cs="Times New Roman" w:hAnsi="Times New Roman"/>
          <w:sz w:val="28"/>
        </w:rPr>
        <w:t xml:space="preserve">езультаты </w:t>
      </w:r>
      <w:r>
        <w:rPr>
          <w:rFonts w:ascii="Times New Roman" w:cs="Times New Roman" w:hAnsi="Times New Roman"/>
          <w:sz w:val="28"/>
        </w:rPr>
        <w:t>которого</w:t>
      </w:r>
      <w:r>
        <w:rPr>
          <w:rFonts w:ascii="Times New Roman" w:cs="Times New Roman" w:hAnsi="Times New Roman"/>
          <w:sz w:val="28"/>
        </w:rPr>
        <w:t xml:space="preserve"> показали, что бухгалтерская отчетность ПАО «МТС» </w:t>
      </w:r>
      <w:r>
        <w:rPr>
          <w:rFonts w:ascii="Times New Roman" w:cs="Times New Roman" w:hAnsi="Times New Roman"/>
          <w:sz w:val="28"/>
        </w:rPr>
        <w:t>сформирована согласно действующим в РФ правилам бу</w:t>
      </w:r>
      <w:r>
        <w:rPr>
          <w:rFonts w:ascii="Times New Roman" w:cs="Times New Roman" w:hAnsi="Times New Roman"/>
          <w:sz w:val="28"/>
        </w:rPr>
        <w:t>хгалтерского учета и отчетности и соответствует учетной политике организации.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Во второй главе были проверены все объекты бухгалтерского наблюдения ПАО «МТС»: основные средства, нематериальные активы, материально-производственные запасы, кредиты и займы, финансовые вложения, резервы, доходы и расходы.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ходе данной проверки существенных ошибок обнаружено не было. Было выявлено, что б</w:t>
      </w:r>
      <w:r>
        <w:rPr>
          <w:rFonts w:ascii="Times New Roman" w:cs="Times New Roman" w:hAnsi="Times New Roman"/>
          <w:sz w:val="28"/>
        </w:rPr>
        <w:t xml:space="preserve">ухгалтерская отчетность отражает достоверно во всех существенных отношениях финансовое положение Публичного акционерного общества «Мобильные </w:t>
      </w:r>
      <w:r>
        <w:rPr>
          <w:rFonts w:ascii="Times New Roman" w:cs="Times New Roman" w:hAnsi="Times New Roman"/>
          <w:sz w:val="28"/>
        </w:rPr>
        <w:t>ТелеСистемы</w:t>
      </w:r>
      <w:r>
        <w:rPr>
          <w:rFonts w:ascii="Times New Roman" w:cs="Times New Roman" w:hAnsi="Times New Roman"/>
          <w:sz w:val="28"/>
        </w:rPr>
        <w:t>»</w:t>
      </w:r>
      <w:r>
        <w:rPr>
          <w:rFonts w:ascii="Times New Roman" w:cs="Times New Roman" w:hAnsi="Times New Roman"/>
          <w:sz w:val="28"/>
        </w:rPr>
        <w:t xml:space="preserve"> по состоянию на 31 декабря 2019</w:t>
      </w:r>
      <w:r>
        <w:rPr>
          <w:rFonts w:ascii="Times New Roman" w:cs="Times New Roman" w:hAnsi="Times New Roman"/>
          <w:sz w:val="28"/>
        </w:rPr>
        <w:t xml:space="preserve"> года, результаты его финансово-хозяйственной деятельности и д</w:t>
      </w:r>
      <w:r>
        <w:rPr>
          <w:rFonts w:ascii="Times New Roman" w:cs="Times New Roman" w:hAnsi="Times New Roman"/>
          <w:sz w:val="28"/>
        </w:rPr>
        <w:t>вижение денежных средств за 2019</w:t>
      </w:r>
      <w:r>
        <w:rPr>
          <w:rFonts w:ascii="Times New Roman" w:cs="Times New Roman" w:hAnsi="Times New Roman"/>
          <w:sz w:val="28"/>
        </w:rPr>
        <w:t xml:space="preserve"> год в соответствии с российскими стандартами бухгалтерского учета и отчетности.</w:t>
      </w:r>
    </w:p>
    <w:p>
      <w:pPr>
        <w:pStyle w:val="style0"/>
        <w:rPr>
          <w:rFonts w:ascii="Times New Roman" w:cs="Times New Roman" w:hAnsi="Times New Roman"/>
          <w:sz w:val="28"/>
        </w:rPr>
      </w:pPr>
      <w:r>
        <w:rPr>
          <w:rFonts w:ascii="Times New Roman" w:cs="Times New Roman" w:hAnsi="Times New Roman"/>
          <w:sz w:val="28"/>
        </w:rPr>
        <w:br w:type="page"/>
      </w:r>
    </w:p>
    <w:p>
      <w:pPr>
        <w:pStyle w:val="style0"/>
        <w:spacing w:after="180" w:lineRule="auto" w:line="360"/>
        <w:ind w:right="-2"/>
        <w:jc w:val="center"/>
        <w:rPr>
          <w:rFonts w:ascii="Cambria" w:cs="Times New Roman" w:eastAsia="Times New Roman" w:hAnsi="Cambria"/>
          <w:b/>
          <w:sz w:val="32"/>
          <w:szCs w:val="28"/>
          <w:lang w:eastAsia="ru-RU"/>
        </w:rPr>
      </w:pPr>
      <w:r>
        <w:rPr>
          <w:rFonts w:ascii="Cambria" w:cs="Times New Roman" w:eastAsia="Times New Roman" w:hAnsi="Cambria"/>
          <w:b/>
          <w:sz w:val="32"/>
          <w:szCs w:val="28"/>
          <w:lang w:eastAsia="ru-RU"/>
        </w:rPr>
        <w:t>СПИСОК ИСПОЛЬЗОВАННЫХ ИСТОЧНИКОВ</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Российская Федерация. Законы. Гражданский кодекс Российской </w:t>
      </w:r>
      <w:r>
        <w:rPr>
          <w:rFonts w:ascii="Times New Roman" w:cs="Times New Roman" w:hAnsi="Times New Roman"/>
          <w:sz w:val="28"/>
        </w:rPr>
        <w:t>Федерации :</w:t>
      </w:r>
      <w:r>
        <w:rPr>
          <w:rFonts w:ascii="Times New Roman" w:cs="Times New Roman" w:hAnsi="Times New Roman"/>
          <w:sz w:val="28"/>
        </w:rPr>
        <w:t xml:space="preserve"> часть четвертая : ГК : текст с изменениями и дополнениями на 18 июля 2019 года : принят Государственной думой 18 декабря 2006 года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xml:space="preserve">. с титул. экрана. </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Российская Федерация. Законы. Налоговый кодекс Российской </w:t>
      </w:r>
      <w:r>
        <w:rPr>
          <w:rFonts w:ascii="Times New Roman" w:cs="Times New Roman" w:hAnsi="Times New Roman"/>
          <w:sz w:val="28"/>
        </w:rPr>
        <w:t>Федерации :</w:t>
      </w:r>
      <w:r>
        <w:rPr>
          <w:rFonts w:ascii="Times New Roman" w:cs="Times New Roman" w:hAnsi="Times New Roman"/>
          <w:sz w:val="28"/>
        </w:rPr>
        <w:t xml:space="preserve"> часть вторая : НК : текст с изменениями и дополнениями на 24 апреля 2020 года : принят Государственной думой 5 августа 2000 года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xml:space="preserve">. с титул. экрана. </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Российская Федерация. Законы. О бухгалтерском </w:t>
      </w:r>
      <w:r>
        <w:rPr>
          <w:rFonts w:ascii="Times New Roman" w:cs="Times New Roman" w:hAnsi="Times New Roman"/>
          <w:sz w:val="28"/>
        </w:rPr>
        <w:t>учете :</w:t>
      </w:r>
      <w:r>
        <w:rPr>
          <w:rFonts w:ascii="Times New Roman" w:cs="Times New Roman" w:hAnsi="Times New Roman"/>
          <w:sz w:val="28"/>
        </w:rPr>
        <w:t xml:space="preserve"> Федеральный закон : № 402-ФЗ : текст с изменениями и дополнениями на 26 июля 2019 года : принят Государственной думой 22 ноября 2011 года: одобрен Советом Федерации 29 ноября 2011 года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Российская Федерация. Законы. Об аудиторской </w:t>
      </w:r>
      <w:r>
        <w:rPr>
          <w:rFonts w:ascii="Times New Roman" w:cs="Times New Roman" w:hAnsi="Times New Roman"/>
          <w:sz w:val="28"/>
        </w:rPr>
        <w:t>деятельности :</w:t>
      </w:r>
      <w:r>
        <w:rPr>
          <w:rFonts w:ascii="Times New Roman" w:cs="Times New Roman" w:hAnsi="Times New Roman"/>
          <w:sz w:val="28"/>
        </w:rPr>
        <w:t xml:space="preserve"> Федеральный закон : № 307-ФЗ : текст с изменениями и дополнениями на 01 апреля 2020 года : принят Государственной думой 30 декабря 2008 года: одобрен Советом Федерации 29 ноября 2011 года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Положение по бухгалтерскому учету «Учет </w:t>
      </w:r>
      <w:r>
        <w:rPr>
          <w:rFonts w:ascii="Times New Roman" w:cs="Times New Roman" w:hAnsi="Times New Roman"/>
          <w:sz w:val="28"/>
        </w:rPr>
        <w:t>материально-производственных запасов» (ПБУ 5/01</w:t>
      </w:r>
      <w:r>
        <w:rPr>
          <w:rFonts w:ascii="Times New Roman" w:cs="Times New Roman" w:hAnsi="Times New Roman"/>
          <w:sz w:val="28"/>
        </w:rPr>
        <w:t>) :</w:t>
      </w:r>
      <w:r>
        <w:rPr>
          <w:rFonts w:ascii="Times New Roman" w:cs="Times New Roman" w:hAnsi="Times New Roman"/>
          <w:sz w:val="28"/>
        </w:rPr>
        <w:t xml:space="preserve"> в редакции от 16 мая 2016 года : утверждено Приказом Министерства фин</w:t>
      </w:r>
      <w:r>
        <w:rPr>
          <w:rFonts w:ascii="Times New Roman" w:cs="Times New Roman" w:hAnsi="Times New Roman"/>
          <w:sz w:val="28"/>
        </w:rPr>
        <w:t>ансов Российской Федерации от 9 июня 2001 года № 44</w:t>
      </w:r>
      <w:r>
        <w:rPr>
          <w:rFonts w:ascii="Times New Roman" w:cs="Times New Roman" w:hAnsi="Times New Roman"/>
          <w:sz w:val="28"/>
        </w:rPr>
        <w:t xml:space="preserve">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Положение по бухгалтерскому учету «Учет нематериальных активов» (ПБУ 14/07</w:t>
      </w:r>
      <w:r>
        <w:rPr>
          <w:rFonts w:ascii="Times New Roman" w:cs="Times New Roman" w:hAnsi="Times New Roman"/>
          <w:sz w:val="28"/>
        </w:rPr>
        <w:t>) :</w:t>
      </w:r>
      <w:r>
        <w:rPr>
          <w:rFonts w:ascii="Times New Roman" w:cs="Times New Roman" w:hAnsi="Times New Roman"/>
          <w:sz w:val="28"/>
        </w:rPr>
        <w:t xml:space="preserve"> в редакции от 16 мая 2016 года : утверждено Приказом Министерства финансов Российской Федерации от 27 декабря 2007 года № </w:t>
      </w:r>
      <w:r>
        <w:rPr>
          <w:rFonts w:ascii="Times New Roman" w:cs="Times New Roman" w:hAnsi="Times New Roman"/>
          <w:sz w:val="28"/>
        </w:rPr>
        <w:t xml:space="preserve">153н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Положение по бухгалтерскому учету «Учет </w:t>
      </w:r>
      <w:r>
        <w:rPr>
          <w:rFonts w:ascii="Times New Roman" w:cs="Times New Roman" w:hAnsi="Times New Roman"/>
          <w:sz w:val="28"/>
        </w:rPr>
        <w:t>основных средств» (ПБУ 6/01</w:t>
      </w:r>
      <w:r>
        <w:rPr>
          <w:rFonts w:ascii="Times New Roman" w:cs="Times New Roman" w:hAnsi="Times New Roman"/>
          <w:sz w:val="28"/>
        </w:rPr>
        <w:t>) :</w:t>
      </w:r>
      <w:r>
        <w:rPr>
          <w:rFonts w:ascii="Times New Roman" w:cs="Times New Roman" w:hAnsi="Times New Roman"/>
          <w:sz w:val="28"/>
        </w:rPr>
        <w:t xml:space="preserve"> в редакции от 16 мая 2016 года : утверждено Приказом Министерства фин</w:t>
      </w:r>
      <w:r>
        <w:rPr>
          <w:rFonts w:ascii="Times New Roman" w:cs="Times New Roman" w:hAnsi="Times New Roman"/>
          <w:sz w:val="28"/>
        </w:rPr>
        <w:t>ансов Российской Федерации от 30 марта 2001 года № 26</w:t>
      </w:r>
      <w:r>
        <w:rPr>
          <w:rFonts w:ascii="Times New Roman" w:cs="Times New Roman" w:hAnsi="Times New Roman"/>
          <w:sz w:val="28"/>
        </w:rPr>
        <w:t xml:space="preserve">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Положение по бухгалтерскому учету «</w:t>
      </w:r>
      <w:r>
        <w:rPr>
          <w:rFonts w:ascii="Times New Roman" w:cs="Times New Roman" w:hAnsi="Times New Roman"/>
          <w:sz w:val="28"/>
        </w:rPr>
        <w:t>Доходы организации» (ПБУ 9/99</w:t>
      </w:r>
      <w:r>
        <w:rPr>
          <w:rFonts w:ascii="Times New Roman" w:cs="Times New Roman" w:hAnsi="Times New Roman"/>
          <w:sz w:val="28"/>
        </w:rPr>
        <w:t>) :</w:t>
      </w:r>
      <w:r>
        <w:rPr>
          <w:rFonts w:ascii="Times New Roman" w:cs="Times New Roman" w:hAnsi="Times New Roman"/>
          <w:sz w:val="28"/>
        </w:rPr>
        <w:t xml:space="preserve"> в редакции от 6 апреля 2015</w:t>
      </w:r>
      <w:r>
        <w:rPr>
          <w:rFonts w:ascii="Times New Roman" w:cs="Times New Roman" w:hAnsi="Times New Roman"/>
          <w:sz w:val="28"/>
        </w:rPr>
        <w:t xml:space="preserve"> года : утверждено Приказом Министерства финансов Российской Федерац</w:t>
      </w:r>
      <w:r>
        <w:rPr>
          <w:rFonts w:ascii="Times New Roman" w:cs="Times New Roman" w:hAnsi="Times New Roman"/>
          <w:sz w:val="28"/>
        </w:rPr>
        <w:t>ии от 6 мая 1999 года № 32</w:t>
      </w:r>
      <w:r>
        <w:rPr>
          <w:rFonts w:ascii="Times New Roman" w:cs="Times New Roman" w:hAnsi="Times New Roman"/>
          <w:sz w:val="28"/>
        </w:rPr>
        <w:t xml:space="preserve">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Положение по бухгалтерскому учету «</w:t>
      </w:r>
      <w:r>
        <w:rPr>
          <w:rFonts w:ascii="Times New Roman" w:cs="Times New Roman" w:hAnsi="Times New Roman"/>
          <w:sz w:val="28"/>
        </w:rPr>
        <w:t>Расходы организации»</w:t>
      </w:r>
      <w:r>
        <w:rPr>
          <w:rFonts w:ascii="Times New Roman" w:cs="Times New Roman" w:hAnsi="Times New Roman"/>
          <w:sz w:val="28"/>
        </w:rPr>
        <w:t xml:space="preserve"> (ПБУ 1</w:t>
      </w:r>
      <w:r>
        <w:rPr>
          <w:rFonts w:ascii="Times New Roman" w:cs="Times New Roman" w:hAnsi="Times New Roman"/>
          <w:sz w:val="28"/>
        </w:rPr>
        <w:t>0/99</w:t>
      </w:r>
      <w:r>
        <w:rPr>
          <w:rFonts w:ascii="Times New Roman" w:cs="Times New Roman" w:hAnsi="Times New Roman"/>
          <w:sz w:val="28"/>
        </w:rPr>
        <w:t>) :</w:t>
      </w:r>
      <w:r>
        <w:rPr>
          <w:rFonts w:ascii="Times New Roman" w:cs="Times New Roman" w:hAnsi="Times New Roman"/>
          <w:sz w:val="28"/>
        </w:rPr>
        <w:t xml:space="preserve"> в редакции от 6 апреля 2015</w:t>
      </w:r>
      <w:r>
        <w:rPr>
          <w:rFonts w:ascii="Times New Roman" w:cs="Times New Roman" w:hAnsi="Times New Roman"/>
          <w:sz w:val="28"/>
        </w:rPr>
        <w:t xml:space="preserve"> года : утверждено Приказом Министерства фин</w:t>
      </w:r>
      <w:r>
        <w:rPr>
          <w:rFonts w:ascii="Times New Roman" w:cs="Times New Roman" w:hAnsi="Times New Roman"/>
          <w:sz w:val="28"/>
        </w:rPr>
        <w:t>ансов Российской Федерации от 6 мая 1999 года № 3</w:t>
      </w:r>
      <w:r>
        <w:rPr>
          <w:rFonts w:ascii="Times New Roman" w:cs="Times New Roman" w:hAnsi="Times New Roman"/>
          <w:sz w:val="28"/>
        </w:rPr>
        <w:t xml:space="preserve">3н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Положение</w:t>
      </w:r>
      <w:r>
        <w:rPr>
          <w:rFonts w:ascii="Times New Roman" w:cs="Times New Roman" w:hAnsi="Times New Roman"/>
          <w:sz w:val="28"/>
        </w:rPr>
        <w:t xml:space="preserve"> по бухгалтерскому учету «Учет расходов по кредитам и займам» (ПБУ 15/08</w:t>
      </w:r>
      <w:r>
        <w:rPr>
          <w:rFonts w:ascii="Times New Roman" w:cs="Times New Roman" w:hAnsi="Times New Roman"/>
          <w:sz w:val="28"/>
        </w:rPr>
        <w:t>) :</w:t>
      </w:r>
      <w:r>
        <w:rPr>
          <w:rFonts w:ascii="Times New Roman" w:cs="Times New Roman" w:hAnsi="Times New Roman"/>
          <w:sz w:val="28"/>
        </w:rPr>
        <w:t xml:space="preserve"> в редакции от 6 апреля 2015</w:t>
      </w:r>
      <w:r>
        <w:rPr>
          <w:rFonts w:ascii="Times New Roman" w:cs="Times New Roman" w:hAnsi="Times New Roman"/>
          <w:sz w:val="28"/>
        </w:rPr>
        <w:t xml:space="preserve"> года : утверждено Приказом Министерства финансов Российской Федерац</w:t>
      </w:r>
      <w:r>
        <w:rPr>
          <w:rFonts w:ascii="Times New Roman" w:cs="Times New Roman" w:hAnsi="Times New Roman"/>
          <w:sz w:val="28"/>
        </w:rPr>
        <w:t>ии от 6 октября 2008 года № 107</w:t>
      </w:r>
      <w:r>
        <w:rPr>
          <w:rFonts w:ascii="Times New Roman" w:cs="Times New Roman" w:hAnsi="Times New Roman"/>
          <w:sz w:val="28"/>
        </w:rPr>
        <w:t xml:space="preserve">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Положение по бухгалтерскому учету «Учет </w:t>
      </w:r>
      <w:r>
        <w:rPr>
          <w:rFonts w:ascii="Times New Roman" w:cs="Times New Roman" w:hAnsi="Times New Roman"/>
          <w:sz w:val="28"/>
        </w:rPr>
        <w:t>финансовых вложений» (ПБУ 19/02</w:t>
      </w:r>
      <w:r>
        <w:rPr>
          <w:rFonts w:ascii="Times New Roman" w:cs="Times New Roman" w:hAnsi="Times New Roman"/>
          <w:sz w:val="28"/>
        </w:rPr>
        <w:t>) :</w:t>
      </w:r>
      <w:r>
        <w:rPr>
          <w:rFonts w:ascii="Times New Roman" w:cs="Times New Roman" w:hAnsi="Times New Roman"/>
          <w:sz w:val="28"/>
        </w:rPr>
        <w:t xml:space="preserve"> в редакции от 6 апреля 2015</w:t>
      </w:r>
      <w:r>
        <w:rPr>
          <w:rFonts w:ascii="Times New Roman" w:cs="Times New Roman" w:hAnsi="Times New Roman"/>
          <w:sz w:val="28"/>
        </w:rPr>
        <w:t xml:space="preserve"> года : утверждено Приказом Министерства финансов Российской Федерац</w:t>
      </w:r>
      <w:r>
        <w:rPr>
          <w:rFonts w:ascii="Times New Roman" w:cs="Times New Roman" w:hAnsi="Times New Roman"/>
          <w:sz w:val="28"/>
        </w:rPr>
        <w:t>ии от 10 декабря 2002 года № 126</w:t>
      </w:r>
      <w:r>
        <w:rPr>
          <w:rFonts w:ascii="Times New Roman" w:cs="Times New Roman" w:hAnsi="Times New Roman"/>
          <w:sz w:val="28"/>
        </w:rPr>
        <w:t xml:space="preserve">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Об утверждении Положения по ведению бухгалтерского учета и бухгалтерской отчетности в </w:t>
      </w:r>
      <w:r>
        <w:rPr>
          <w:rFonts w:ascii="Times New Roman" w:cs="Times New Roman" w:hAnsi="Times New Roman"/>
          <w:sz w:val="28"/>
        </w:rPr>
        <w:t>РФ :</w:t>
      </w:r>
      <w:r>
        <w:rPr>
          <w:rFonts w:ascii="Times New Roman" w:cs="Times New Roman" w:hAnsi="Times New Roman"/>
          <w:sz w:val="28"/>
        </w:rPr>
        <w:t xml:space="preserve"> в редакции от 11 апреля 2018 года : утверждено Приказом Министерства финансов Российской Федерации от 27 </w:t>
      </w:r>
      <w:r>
        <w:rPr>
          <w:rFonts w:ascii="Times New Roman" w:cs="Times New Roman" w:hAnsi="Times New Roman"/>
          <w:sz w:val="28"/>
        </w:rPr>
        <w:t xml:space="preserve">августа 1998 года № 34н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 xml:space="preserve">Об утверждении Методических указаний по бухгалтерскому учету нематериальных </w:t>
      </w:r>
      <w:r>
        <w:rPr>
          <w:rFonts w:ascii="Times New Roman" w:cs="Times New Roman" w:hAnsi="Times New Roman"/>
          <w:sz w:val="28"/>
        </w:rPr>
        <w:t>активов :</w:t>
      </w:r>
      <w:r>
        <w:rPr>
          <w:rFonts w:ascii="Times New Roman" w:cs="Times New Roman" w:hAnsi="Times New Roman"/>
          <w:sz w:val="28"/>
        </w:rPr>
        <w:t xml:space="preserve"> в редакции от 24 октября 2016 года : утверждено Приказом Министерства финансов Российской Федерации от 28 декабря 2001 года № 119н // </w:t>
      </w:r>
      <w:r>
        <w:rPr>
          <w:rFonts w:ascii="Times New Roman" w:cs="Times New Roman" w:hAnsi="Times New Roman"/>
          <w:sz w:val="28"/>
        </w:rPr>
        <w:t>КонсультантПлюс</w:t>
      </w:r>
      <w:r>
        <w:rPr>
          <w:rFonts w:ascii="Times New Roman" w:cs="Times New Roman" w:hAnsi="Times New Roman"/>
          <w:sz w:val="28"/>
        </w:rPr>
        <w:t xml:space="preserve"> : справочно-правовая система. — Москва, 1997</w:t>
      </w:r>
      <w:r>
        <w:rPr>
          <w:rFonts w:ascii="Times New Roman" w:cs="Times New Roman" w:hAnsi="Times New Roman"/>
          <w:sz w:val="28"/>
        </w:rPr>
        <w:t>— .</w:t>
      </w:r>
      <w:r>
        <w:rPr>
          <w:rFonts w:ascii="Times New Roman" w:cs="Times New Roman" w:hAnsi="Times New Roman"/>
          <w:sz w:val="28"/>
        </w:rPr>
        <w:t xml:space="preserve"> — </w:t>
      </w:r>
      <w:r>
        <w:rPr>
          <w:rFonts w:ascii="Times New Roman" w:cs="Times New Roman" w:hAnsi="Times New Roman"/>
          <w:sz w:val="28"/>
        </w:rPr>
        <w:t>Загл</w:t>
      </w:r>
      <w:r>
        <w:rPr>
          <w:rFonts w:ascii="Times New Roman" w:cs="Times New Roman" w:hAnsi="Times New Roman"/>
          <w:sz w:val="28"/>
        </w:rPr>
        <w:t>. с титул. экрана.</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Атом, Я.Я</w:t>
      </w:r>
      <w:r>
        <w:rPr>
          <w:rFonts w:ascii="Times New Roman" w:cs="Times New Roman" w:hAnsi="Times New Roman"/>
          <w:sz w:val="28"/>
        </w:rPr>
        <w:t xml:space="preserve">. Понятие и проблемы идентификации </w:t>
      </w:r>
      <w:r>
        <w:rPr>
          <w:rFonts w:ascii="Times New Roman" w:cs="Times New Roman" w:hAnsi="Times New Roman"/>
          <w:sz w:val="28"/>
        </w:rPr>
        <w:t>различных объектов бухгалтерского наблюдения</w:t>
      </w:r>
      <w:r>
        <w:rPr>
          <w:rFonts w:ascii="Times New Roman" w:cs="Times New Roman" w:hAnsi="Times New Roman"/>
          <w:sz w:val="28"/>
        </w:rPr>
        <w:t xml:space="preserve"> / Я.Я. Атом // Экономика и менеджмент инновационных технологий. — 2017. — №5. — С. 27—32.</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Брянцева, Т.А</w:t>
      </w:r>
      <w:r>
        <w:rPr>
          <w:rFonts w:ascii="Times New Roman" w:cs="Times New Roman" w:hAnsi="Times New Roman"/>
          <w:sz w:val="28"/>
        </w:rPr>
        <w:t xml:space="preserve">. Особенности бухгалтерского учета в условиях </w:t>
      </w:r>
      <w:r>
        <w:rPr>
          <w:rFonts w:ascii="Times New Roman" w:cs="Times New Roman" w:hAnsi="Times New Roman"/>
          <w:sz w:val="28"/>
        </w:rPr>
        <w:t>инновационно</w:t>
      </w:r>
      <w:r>
        <w:rPr>
          <w:rFonts w:ascii="Times New Roman" w:cs="Times New Roman" w:hAnsi="Times New Roman"/>
          <w:sz w:val="28"/>
        </w:rPr>
        <w:t>-ориентированной экономики / Т.А. Брянцева, М.В. Шевченко // Белгородский экономический вестник. — 2017. — №1. — С. 233—243.</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Демидова, И.А</w:t>
      </w:r>
      <w:r>
        <w:rPr>
          <w:rFonts w:ascii="Times New Roman" w:cs="Times New Roman" w:hAnsi="Times New Roman"/>
          <w:sz w:val="28"/>
        </w:rPr>
        <w:t>. Бухгалтерские информационные системы / И.А. Демидова // Бухгалтерский учет и аудит. –– 2018. –– С. 47––51.</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Куприн, А.А</w:t>
      </w:r>
      <w:r>
        <w:rPr>
          <w:rFonts w:ascii="Times New Roman" w:cs="Times New Roman" w:hAnsi="Times New Roman"/>
          <w:sz w:val="28"/>
        </w:rPr>
        <w:t xml:space="preserve">. Особенность классификационных характеристик объектов </w:t>
      </w:r>
      <w:r>
        <w:rPr>
          <w:rFonts w:ascii="Times New Roman" w:cs="Times New Roman" w:hAnsi="Times New Roman"/>
          <w:sz w:val="28"/>
        </w:rPr>
        <w:t>бухгалтерского учета</w:t>
      </w:r>
      <w:r>
        <w:rPr>
          <w:rFonts w:ascii="Times New Roman" w:cs="Times New Roman" w:hAnsi="Times New Roman"/>
          <w:sz w:val="28"/>
        </w:rPr>
        <w:t xml:space="preserve"> в управлении потенциалом хозяйственной деятельности предприятия / А.А. Куприн // Экономика и управление: вчера, сегодня, завтра. — 2019. — № 10. — С. 126—132.</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Кутер</w:t>
      </w:r>
      <w:r>
        <w:rPr>
          <w:rFonts w:ascii="Times New Roman" w:cs="Times New Roman" w:hAnsi="Times New Roman"/>
          <w:i/>
          <w:sz w:val="28"/>
        </w:rPr>
        <w:t>, М.И</w:t>
      </w:r>
      <w:r>
        <w:rPr>
          <w:rFonts w:ascii="Times New Roman" w:cs="Times New Roman" w:hAnsi="Times New Roman"/>
          <w:sz w:val="28"/>
        </w:rPr>
        <w:t xml:space="preserve">. Введение в бухгалтерский учет: учебник / М.И. </w:t>
      </w:r>
      <w:r>
        <w:rPr>
          <w:rFonts w:ascii="Times New Roman" w:cs="Times New Roman" w:hAnsi="Times New Roman"/>
          <w:sz w:val="28"/>
        </w:rPr>
        <w:t>Кутер</w:t>
      </w:r>
      <w:r>
        <w:rPr>
          <w:rFonts w:ascii="Times New Roman" w:cs="Times New Roman" w:hAnsi="Times New Roman"/>
          <w:sz w:val="28"/>
        </w:rPr>
        <w:t>. — Краснодар: Просвещение-Юг, 2013. — 144с.</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Ларина, Т.Е</w:t>
      </w:r>
      <w:r>
        <w:rPr>
          <w:rFonts w:ascii="Times New Roman" w:cs="Times New Roman" w:hAnsi="Times New Roman"/>
          <w:sz w:val="28"/>
        </w:rPr>
        <w:t xml:space="preserve">. Понятие и состав </w:t>
      </w:r>
      <w:r>
        <w:rPr>
          <w:rFonts w:ascii="Times New Roman" w:cs="Times New Roman" w:hAnsi="Times New Roman"/>
          <w:sz w:val="28"/>
        </w:rPr>
        <w:t>объектов</w:t>
      </w:r>
      <w:r>
        <w:rPr>
          <w:rFonts w:ascii="Times New Roman" w:cs="Times New Roman" w:hAnsi="Times New Roman"/>
          <w:sz w:val="28"/>
        </w:rPr>
        <w:t xml:space="preserve"> бухгалтерского учета / Т.Е. Ларина // Вестник Самарского государственного экономического университета. — 2017. — № 1 (147). — С. 82—87.</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Малярчина</w:t>
      </w:r>
      <w:r>
        <w:rPr>
          <w:rFonts w:ascii="Times New Roman" w:cs="Times New Roman" w:hAnsi="Times New Roman"/>
          <w:i/>
          <w:sz w:val="28"/>
        </w:rPr>
        <w:t>, В.Д</w:t>
      </w:r>
      <w:r>
        <w:rPr>
          <w:rFonts w:ascii="Times New Roman" w:cs="Times New Roman" w:hAnsi="Times New Roman"/>
          <w:sz w:val="28"/>
        </w:rPr>
        <w:t xml:space="preserve">. О бухгалтерском учете </w:t>
      </w:r>
      <w:r>
        <w:rPr>
          <w:rFonts w:ascii="Times New Roman" w:cs="Times New Roman" w:hAnsi="Times New Roman"/>
          <w:sz w:val="28"/>
        </w:rPr>
        <w:t>основных объектов бухгалтерского наблюдения</w:t>
      </w:r>
      <w:r>
        <w:rPr>
          <w:rFonts w:ascii="Times New Roman" w:cs="Times New Roman" w:hAnsi="Times New Roman"/>
          <w:sz w:val="28"/>
        </w:rPr>
        <w:t xml:space="preserve"> / В.Д. </w:t>
      </w:r>
      <w:r>
        <w:rPr>
          <w:rFonts w:ascii="Times New Roman" w:cs="Times New Roman" w:hAnsi="Times New Roman"/>
          <w:sz w:val="28"/>
        </w:rPr>
        <w:t>Малярчина</w:t>
      </w:r>
      <w:r>
        <w:rPr>
          <w:rFonts w:ascii="Times New Roman" w:cs="Times New Roman" w:hAnsi="Times New Roman"/>
          <w:sz w:val="28"/>
        </w:rPr>
        <w:t xml:space="preserve"> // Аудит. — 2018. — № 5. — С. 41—42.</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Осипов, А.А</w:t>
      </w:r>
      <w:r>
        <w:rPr>
          <w:rFonts w:ascii="Times New Roman" w:cs="Times New Roman" w:hAnsi="Times New Roman"/>
          <w:sz w:val="28"/>
        </w:rPr>
        <w:t>. Анализ учетной политики ПАО «МТС» / А.А. Осипов // Бухгалтерский учет и аудит. –– 2018. –– С. 93––96.</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Пескова</w:t>
      </w:r>
      <w:r>
        <w:rPr>
          <w:rFonts w:ascii="Times New Roman" w:cs="Times New Roman" w:hAnsi="Times New Roman"/>
          <w:i/>
          <w:sz w:val="28"/>
        </w:rPr>
        <w:t>, О.С.</w:t>
      </w:r>
      <w:r>
        <w:rPr>
          <w:rFonts w:ascii="Times New Roman" w:cs="Times New Roman" w:hAnsi="Times New Roman"/>
          <w:sz w:val="28"/>
        </w:rPr>
        <w:t xml:space="preserve"> Управление нематериальными активами как фактор повышения конкурентоспособности организации / О.С. </w:t>
      </w:r>
      <w:r>
        <w:rPr>
          <w:rFonts w:ascii="Times New Roman" w:cs="Times New Roman" w:hAnsi="Times New Roman"/>
          <w:sz w:val="28"/>
        </w:rPr>
        <w:t>Пескова</w:t>
      </w:r>
      <w:r>
        <w:rPr>
          <w:rFonts w:ascii="Times New Roman" w:cs="Times New Roman" w:hAnsi="Times New Roman"/>
          <w:sz w:val="28"/>
        </w:rPr>
        <w:t xml:space="preserve">, И.Е. </w:t>
      </w:r>
      <w:r>
        <w:rPr>
          <w:rFonts w:ascii="Times New Roman" w:cs="Times New Roman" w:hAnsi="Times New Roman"/>
          <w:sz w:val="28"/>
        </w:rPr>
        <w:t>Диулина</w:t>
      </w:r>
      <w:r>
        <w:rPr>
          <w:rFonts w:ascii="Times New Roman" w:cs="Times New Roman" w:hAnsi="Times New Roman"/>
          <w:sz w:val="28"/>
        </w:rPr>
        <w:t>, В.В. Бондарева // Вестник Белгородского университета кооперации, экономики и права. — 2019. — № 2. — С. 120—129.</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Пустобаева</w:t>
      </w:r>
      <w:r>
        <w:rPr>
          <w:rFonts w:ascii="Times New Roman" w:cs="Times New Roman" w:hAnsi="Times New Roman"/>
          <w:i/>
          <w:sz w:val="28"/>
        </w:rPr>
        <w:t>, М.Ю</w:t>
      </w:r>
      <w:r>
        <w:rPr>
          <w:rFonts w:ascii="Times New Roman" w:cs="Times New Roman" w:hAnsi="Times New Roman"/>
          <w:sz w:val="28"/>
        </w:rPr>
        <w:t xml:space="preserve">. Теоретико-методологические основы учета </w:t>
      </w:r>
      <w:r>
        <w:rPr>
          <w:rFonts w:ascii="Times New Roman" w:cs="Times New Roman" w:hAnsi="Times New Roman"/>
          <w:sz w:val="28"/>
        </w:rPr>
        <w:t>объектов бухгалтерского наблюдения</w:t>
      </w:r>
      <w:r>
        <w:rPr>
          <w:rFonts w:ascii="Times New Roman" w:cs="Times New Roman" w:hAnsi="Times New Roman"/>
          <w:sz w:val="28"/>
        </w:rPr>
        <w:t xml:space="preserve"> на предприятии / М.Ю. </w:t>
      </w:r>
      <w:r>
        <w:rPr>
          <w:rFonts w:ascii="Times New Roman" w:cs="Times New Roman" w:hAnsi="Times New Roman"/>
          <w:sz w:val="28"/>
        </w:rPr>
        <w:t>Пустобаева</w:t>
      </w:r>
      <w:r>
        <w:rPr>
          <w:rFonts w:ascii="Times New Roman" w:cs="Times New Roman" w:hAnsi="Times New Roman"/>
          <w:sz w:val="28"/>
        </w:rPr>
        <w:t xml:space="preserve"> // Экономическое просвещение. — 2018. — № 1. — С. 70—75.</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Рогальская</w:t>
      </w:r>
      <w:r>
        <w:rPr>
          <w:rFonts w:ascii="Times New Roman" w:cs="Times New Roman" w:hAnsi="Times New Roman"/>
          <w:i/>
          <w:sz w:val="28"/>
        </w:rPr>
        <w:t>, М.Д</w:t>
      </w:r>
      <w:r>
        <w:rPr>
          <w:rFonts w:ascii="Times New Roman" w:cs="Times New Roman" w:hAnsi="Times New Roman"/>
          <w:sz w:val="28"/>
        </w:rPr>
        <w:t xml:space="preserve">. Место и роль информационных систем в бухгалтерском учете / М.Д. </w:t>
      </w:r>
      <w:r>
        <w:rPr>
          <w:rFonts w:ascii="Times New Roman" w:cs="Times New Roman" w:hAnsi="Times New Roman"/>
          <w:sz w:val="28"/>
        </w:rPr>
        <w:t>Рогальская</w:t>
      </w:r>
      <w:r>
        <w:rPr>
          <w:rFonts w:ascii="Times New Roman" w:cs="Times New Roman" w:hAnsi="Times New Roman"/>
          <w:sz w:val="28"/>
        </w:rPr>
        <w:t xml:space="preserve"> // Вопросы студенческой науки. –– 2019. –– №4. –– С. 130––132.</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Садыкова, Р.Ш.</w:t>
      </w:r>
      <w:r>
        <w:rPr>
          <w:rFonts w:ascii="Times New Roman" w:cs="Times New Roman" w:hAnsi="Times New Roman"/>
          <w:sz w:val="28"/>
        </w:rPr>
        <w:t xml:space="preserve"> Нематериальные активы: проблемы идентификации, фактор формирования конкурентных преимуществ компаний / Р.Ш. Садыкова // Проблемы экономики и управления нефтегазовым комплексом. — 2019. — № 4. — С. 16—21.</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Синица, С.А</w:t>
      </w:r>
      <w:r>
        <w:rPr>
          <w:rFonts w:ascii="Times New Roman" w:cs="Times New Roman" w:hAnsi="Times New Roman"/>
          <w:sz w:val="28"/>
        </w:rPr>
        <w:t>. Анализ тенденций развития глобального рынка телекоммуникационных услуг / С.А. Синицын // Вестник евразийской науки. –– 2019. –– №1. –– С. 40.</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Сычева, А.В</w:t>
      </w:r>
      <w:r>
        <w:rPr>
          <w:rFonts w:ascii="Times New Roman" w:cs="Times New Roman" w:hAnsi="Times New Roman"/>
          <w:sz w:val="28"/>
        </w:rPr>
        <w:t>. Динамика развития отрасли связи и телекоммуникаций / А.В. Сычева // Научно-практический электронный журнал Аллея Науки. –– 2018. –– №6(22). –– С. 117––123.</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Фисенко, Т.М</w:t>
      </w:r>
      <w:r>
        <w:rPr>
          <w:rFonts w:ascii="Times New Roman" w:cs="Times New Roman" w:hAnsi="Times New Roman"/>
          <w:sz w:val="28"/>
        </w:rPr>
        <w:t>. Развитие российского рынка информационных технологий / Т.М. Фисенко // Информационное общество: современное состояние и перспективы развития: сборник материалов VII международного форума. –– 2016. –– С. 93––96.</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Чажаева</w:t>
      </w:r>
      <w:r>
        <w:rPr>
          <w:rFonts w:ascii="Times New Roman" w:cs="Times New Roman" w:hAnsi="Times New Roman"/>
          <w:i/>
          <w:sz w:val="28"/>
        </w:rPr>
        <w:t>, М.М</w:t>
      </w:r>
      <w:r>
        <w:rPr>
          <w:rFonts w:ascii="Times New Roman" w:cs="Times New Roman" w:hAnsi="Times New Roman"/>
          <w:sz w:val="28"/>
        </w:rPr>
        <w:t xml:space="preserve">. Проблемы оценки нематериальных активов организаций / М.М. </w:t>
      </w:r>
      <w:r>
        <w:rPr>
          <w:rFonts w:ascii="Times New Roman" w:cs="Times New Roman" w:hAnsi="Times New Roman"/>
          <w:sz w:val="28"/>
        </w:rPr>
        <w:t>Чажаева</w:t>
      </w:r>
      <w:r>
        <w:rPr>
          <w:rFonts w:ascii="Times New Roman" w:cs="Times New Roman" w:hAnsi="Times New Roman"/>
          <w:sz w:val="28"/>
        </w:rPr>
        <w:t xml:space="preserve"> // ФГУ </w:t>
      </w:r>
      <w:r>
        <w:rPr>
          <w:rFonts w:ascii="Times New Roman" w:cs="Times New Roman" w:hAnsi="Times New Roman"/>
          <w:sz w:val="28"/>
        </w:rPr>
        <w:t>Science</w:t>
      </w:r>
      <w:r>
        <w:rPr>
          <w:rFonts w:ascii="Times New Roman" w:cs="Times New Roman" w:hAnsi="Times New Roman"/>
          <w:sz w:val="28"/>
        </w:rPr>
        <w:t>. — 2018. — № 1. — С. 159—163.</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i/>
          <w:sz w:val="28"/>
        </w:rPr>
        <w:t>Шестакова, Е.Я</w:t>
      </w:r>
      <w:r>
        <w:rPr>
          <w:rFonts w:ascii="Times New Roman" w:cs="Times New Roman" w:hAnsi="Times New Roman"/>
          <w:sz w:val="28"/>
        </w:rPr>
        <w:t>. Анализ и систематизация маркетинговой информации, характеризующей основные элементы развития отрасли мобильной связи / Е.Я. Шестакова // Образование и наука без границ: социально-гуманитарные науки. –– 2018. –– №9. –– С. 89––92.</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Официальный сайт ПАО «МТС» [электронный ресурс]. –– Режим доступа: https://moskva.mts.ru/about</w:t>
      </w:r>
    </w:p>
    <w:p>
      <w:pPr>
        <w:pStyle w:val="style179"/>
        <w:numPr>
          <w:ilvl w:val="0"/>
          <w:numId w:val="1"/>
        </w:numPr>
        <w:spacing w:after="0" w:lineRule="auto" w:line="360"/>
        <w:ind w:left="0" w:firstLine="709"/>
        <w:jc w:val="both"/>
        <w:rPr>
          <w:rFonts w:ascii="Times New Roman" w:cs="Times New Roman" w:hAnsi="Times New Roman"/>
          <w:sz w:val="28"/>
        </w:rPr>
      </w:pPr>
      <w:r>
        <w:rPr>
          <w:rFonts w:ascii="Times New Roman" w:cs="Times New Roman" w:hAnsi="Times New Roman"/>
          <w:sz w:val="28"/>
        </w:rPr>
        <w:t>Сервер раскрытия информации: Интерфакс [электронный ресурс]. –– Режим доступа: https://www.e-disclosure.ru/poisk-po-kompaniyam</w:t>
      </w:r>
      <w:r>
        <w:rPr>
          <w:rFonts w:ascii="Times New Roman" w:cs="Times New Roman" w:hAnsi="Times New Roman"/>
          <w:sz w:val="28"/>
        </w:rPr>
        <w:t xml:space="preserve"> </w:t>
      </w:r>
    </w:p>
    <w:bookmarkStart w:id="0" w:name="_GoBack"/>
    <w:bookmarkEnd w:id="0"/>
    <w:p>
      <w:pPr>
        <w:pStyle w:val="style179"/>
        <w:spacing w:after="0" w:lineRule="auto" w:line="360"/>
        <w:ind w:left="709"/>
        <w:jc w:val="both"/>
        <w:rPr>
          <w:rFonts w:ascii="Times New Roman" w:cs="Times New Roman" w:hAnsi="Times New Roman"/>
          <w:sz w:val="28"/>
        </w:rPr>
      </w:pPr>
    </w:p>
    <w:sectPr>
      <w:footerReference w:type="default" r:id="rId6"/>
      <w:pgSz w:w="11906" w:h="16838" w:orient="portrait"/>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1" w:usb2="00000009" w:usb3="00000000" w:csb0="000001FF" w:csb1="00000000"/>
  </w:font>
  <w:font w:name="Calibri">
    <w:altName w:val="Calibri"/>
    <w:panose1 w:val="020f0502020002030204"/>
    <w:charset w:val="cc"/>
    <w:family w:val="swiss"/>
    <w:pitch w:val="variable"/>
    <w:sig w:usb0="E00002FF" w:usb1="4000ACFF" w:usb2="00000001" w:usb3="00000000" w:csb0="0000019F" w:csb1="00000000"/>
  </w:font>
  <w:font w:name="Calibri Light">
    <w:altName w:val="Calibri Light"/>
    <w:panose1 w:val="020f0302020002030204"/>
    <w:charset w:val="cc"/>
    <w:family w:val="swiss"/>
    <w:pitch w:val="variable"/>
    <w:sig w:usb0="A00002EF" w:usb1="4000207B" w:usb2="00000000" w:usb3="00000000" w:csb0="0000019F" w:csb1="00000000"/>
  </w:font>
  <w:font w:name="Cambria">
    <w:altName w:val="Cambria"/>
    <w:panose1 w:val="02040503050004030204"/>
    <w:charset w:val="cc"/>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44</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94C8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000001"/>
    <w:multiLevelType w:val="hybridMultilevel"/>
    <w:tmpl w:val="B95227B4"/>
    <w:lvl w:ilvl="0" w:tplc="048810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240" w:after="0"/>
      <w:outlineLvl w:val="0"/>
    </w:pPr>
    <w:rPr>
      <w:rFonts w:ascii="Calibri Light" w:cs="宋体" w:eastAsia="宋体"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7">
    <w:name w:val="Body Text Indent"/>
    <w:basedOn w:val="style0"/>
    <w:next w:val="style67"/>
    <w:link w:val="style4097"/>
    <w:uiPriority w:val="99"/>
    <w:pPr>
      <w:spacing w:after="120" w:lineRule="auto" w:line="276"/>
      <w:ind w:left="283"/>
    </w:pPr>
    <w:rPr>
      <w:rFonts w:ascii="Calibri" w:cs="Times New Roman" w:eastAsia="Times New Roman" w:hAnsi="Calibri"/>
    </w:rPr>
  </w:style>
  <w:style w:type="character" w:customStyle="1" w:styleId="style4097">
    <w:name w:val="Основной текст с отступом Знак"/>
    <w:basedOn w:val="style65"/>
    <w:next w:val="style4097"/>
    <w:link w:val="style67"/>
    <w:uiPriority w:val="99"/>
    <w:rPr>
      <w:rFonts w:ascii="Calibri" w:cs="Times New Roman" w:eastAsia="Times New Roman" w:hAnsi="Calibri"/>
    </w:rPr>
  </w:style>
  <w:style w:type="paragraph" w:styleId="style80">
    <w:name w:val="Body Text 2"/>
    <w:basedOn w:val="style0"/>
    <w:next w:val="style80"/>
    <w:link w:val="style4098"/>
    <w:uiPriority w:val="99"/>
    <w:pPr>
      <w:spacing w:after="120" w:lineRule="auto" w:line="480"/>
    </w:pPr>
    <w:rPr/>
  </w:style>
  <w:style w:type="character" w:customStyle="1" w:styleId="style4098">
    <w:name w:val="Основной текст 2 Знак"/>
    <w:basedOn w:val="style65"/>
    <w:next w:val="style4098"/>
    <w:link w:val="style80"/>
    <w:uiPriority w:val="99"/>
  </w:style>
  <w:style w:type="paragraph" w:styleId="style31">
    <w:name w:val="header"/>
    <w:basedOn w:val="style0"/>
    <w:next w:val="style31"/>
    <w:link w:val="style4099"/>
    <w:uiPriority w:val="99"/>
    <w:pPr>
      <w:tabs>
        <w:tab w:val="center" w:leader="none" w:pos="4677"/>
        <w:tab w:val="right" w:leader="none" w:pos="9355"/>
      </w:tabs>
      <w:spacing w:after="0" w:lineRule="auto" w:line="240"/>
    </w:pPr>
    <w:rPr/>
  </w:style>
  <w:style w:type="character" w:customStyle="1" w:styleId="style4099">
    <w:name w:val="Верхний колонтитул Знак"/>
    <w:basedOn w:val="style65"/>
    <w:next w:val="style4099"/>
    <w:link w:val="style31"/>
    <w:uiPriority w:val="99"/>
  </w:style>
  <w:style w:type="paragraph" w:styleId="style32">
    <w:name w:val="footer"/>
    <w:basedOn w:val="style0"/>
    <w:next w:val="style32"/>
    <w:link w:val="style4100"/>
    <w:uiPriority w:val="99"/>
    <w:pPr>
      <w:tabs>
        <w:tab w:val="center" w:leader="none" w:pos="4677"/>
        <w:tab w:val="right" w:leader="none" w:pos="9355"/>
      </w:tabs>
      <w:spacing w:after="0" w:lineRule="auto" w:line="240"/>
    </w:pPr>
    <w:rPr/>
  </w:style>
  <w:style w:type="character" w:customStyle="1" w:styleId="style4100">
    <w:name w:val="Нижний колонтитул Знак"/>
    <w:basedOn w:val="style65"/>
    <w:next w:val="style4100"/>
    <w:link w:val="style32"/>
    <w:uiPriority w:val="99"/>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101">
    <w:name w:val="Заголовок 1 Знак"/>
    <w:basedOn w:val="style65"/>
    <w:next w:val="style4101"/>
    <w:link w:val="style1"/>
    <w:uiPriority w:val="9"/>
    <w:rPr>
      <w:rFonts w:ascii="Calibri Light" w:cs="宋体" w:eastAsia="宋体" w:hAnsi="Calibri Light"/>
      <w:color w:val="2e74b5"/>
      <w:sz w:val="32"/>
      <w:szCs w:val="32"/>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diagramData" Target="diagrams/data1.xml"/><Relationship Id="rId5" Type="http://schemas.openxmlformats.org/officeDocument/2006/relationships/diagramColors" Target="diagrams/colors2.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diagramQuickStyle" Target="diagrams/quickStyle1.xml"/><Relationship Id="rId3" Type="http://schemas.openxmlformats.org/officeDocument/2006/relationships/diagramLayout" Target="diagrams/layout1.xml"/><Relationship Id="rId9" Type="http://schemas.openxmlformats.org/officeDocument/2006/relationships/settings" Target="settings.xml"/><Relationship Id="rId6" Type="http://schemas.openxmlformats.org/officeDocument/2006/relationships/footer" Target="footer1.xml"/><Relationship Id="rId11" Type="http://schemas.microsoft.com/office/2007/relationships/diagramDrawing" Target="diagrams/drawing1.xml"/><Relationship Id="rId1" Type="http://schemas.openxmlformats.org/officeDocument/2006/relationships/numbering" Target="numbering.xml"/><Relationship Id="rId7" Type="http://schemas.openxmlformats.org/officeDocument/2006/relationships/styles" Target="styles.xml"/></Relationships>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56695C-7D71-46A5-91E9-D56D1B72140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80791B7-30E0-4081-A7AF-B333278643F2}">
      <dgm:prSet phldrT="[Текст]" custT="1"/>
      <dgm:spPr>
        <a:xfrm>
          <a:off x="2113695" y="41"/>
          <a:ext cx="1135572"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Общее собрание акционеров</a:t>
          </a:r>
        </a:p>
      </dgm:t>
    </dgm:pt>
    <dgm:pt modelId="{F4D15637-6733-4491-9919-42B0D4208FD9}" type="parTrans" cxnId="{3B47B568-2DFC-4DF8-B38B-CAABCDD36F0A}">
      <dgm:prSet/>
      <dgm:spPr/>
      <dgm:t>
        <a:bodyPr/>
        <a:lstStyle/>
        <a:p>
          <a:pPr algn="ctr"/>
          <a:endParaRPr lang="ru-RU"/>
        </a:p>
      </dgm:t>
    </dgm:pt>
    <dgm:pt modelId="{3D116CF9-0275-436E-A5F7-301608096A17}" type="sibTrans" cxnId="{3B47B568-2DFC-4DF8-B38B-CAABCDD36F0A}">
      <dgm:prSet/>
      <dgm:spPr/>
      <dgm:t>
        <a:bodyPr/>
        <a:lstStyle/>
        <a:p>
          <a:pPr algn="ctr"/>
          <a:endParaRPr lang="ru-RU"/>
        </a:p>
      </dgm:t>
    </dgm:pt>
    <dgm:pt modelId="{B882B237-43E6-440D-9916-C715F5D24D22}" type="asst">
      <dgm:prSet phldrT="[Текст]" custT="1"/>
      <dgm:spPr>
        <a:xfrm>
          <a:off x="1768492" y="571934"/>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Совет директоров</a:t>
          </a:r>
        </a:p>
      </dgm:t>
    </dgm:pt>
    <dgm:pt modelId="{15B82427-941A-4A40-A620-BA35A02F63E1}" type="parTrans" cxnId="{615DCB80-86E5-44A9-948F-C48B9615CD9B}">
      <dgm:prSet/>
      <dgm:spPr>
        <a:xfrm>
          <a:off x="2573001" y="402295"/>
          <a:ext cx="108479" cy="370766"/>
        </a:xfrm>
        <a:custGeom>
          <a:avLst/>
          <a:gdLst/>
          <a:ahLst/>
          <a:cxnLst/>
          <a:rect l="0" t="0" r="0" b="0"/>
          <a:pathLst>
            <a:path>
              <a:moveTo>
                <a:pt x="124839" y="0"/>
              </a:moveTo>
              <a:lnTo>
                <a:pt x="124839" y="426680"/>
              </a:lnTo>
              <a:lnTo>
                <a:pt x="0" y="426680"/>
              </a:lnTo>
            </a:path>
          </a:pathLst>
        </a:custGeom>
        <a:noFill/>
        <a:ln w="15875" cap="flat" cmpd="sng" algn="ctr">
          <a:solidFill>
            <a:sysClr val="windowText" lastClr="000000">
              <a:shade val="6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BAAD6DD0-D6DE-4080-A91F-91F16476D3CC}" type="sibTrans" cxnId="{615DCB80-86E5-44A9-948F-C48B9615CD9B}">
      <dgm:prSet/>
      <dgm:spPr/>
      <dgm:t>
        <a:bodyPr/>
        <a:lstStyle/>
        <a:p>
          <a:pPr algn="ctr"/>
          <a:endParaRPr lang="ru-RU"/>
        </a:p>
      </dgm:t>
    </dgm:pt>
    <dgm:pt modelId="{1123CD68-1CEA-400A-8B4F-5874430A4E5A}">
      <dgm:prSet phldrT="[Текст]" custT="1"/>
      <dgm:spPr>
        <a:xfrm>
          <a:off x="981425" y="1143135"/>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Правление</a:t>
          </a:r>
        </a:p>
      </dgm:t>
    </dgm:pt>
    <dgm:pt modelId="{324E887C-436A-4C22-A8EF-D103F8FC6A42}" type="parTrans" cxnId="{95B1954C-C4C6-4604-8088-A48A9CAF9B96}">
      <dgm:prSet/>
      <dgm:spPr>
        <a:xfrm>
          <a:off x="1383679" y="402295"/>
          <a:ext cx="1297801" cy="740840"/>
        </a:xfrm>
        <a:custGeom>
          <a:avLst/>
          <a:gdLst/>
          <a:ahLst/>
          <a:cxnLst/>
          <a:rect l="0" t="0" r="0" b="0"/>
          <a:pathLst>
            <a:path>
              <a:moveTo>
                <a:pt x="1493521" y="0"/>
              </a:moveTo>
              <a:lnTo>
                <a:pt x="1493521" y="755352"/>
              </a:lnTo>
              <a:lnTo>
                <a:pt x="0" y="755352"/>
              </a:lnTo>
              <a:lnTo>
                <a:pt x="0" y="852565"/>
              </a:lnTo>
            </a:path>
          </a:pathLst>
        </a:custGeom>
        <a:noFill/>
        <a:ln w="15875" cap="flat" cmpd="sng" algn="ctr">
          <a:solidFill>
            <a:sysClr val="windowText" lastClr="000000">
              <a:shade val="6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4F43B19D-5149-473F-BCF7-655A6D33152B}" type="sibTrans" cxnId="{95B1954C-C4C6-4604-8088-A48A9CAF9B96}">
      <dgm:prSet/>
      <dgm:spPr/>
      <dgm:t>
        <a:bodyPr/>
        <a:lstStyle/>
        <a:p>
          <a:pPr algn="ctr"/>
          <a:endParaRPr lang="ru-RU"/>
        </a:p>
      </dgm:t>
    </dgm:pt>
    <dgm:pt modelId="{8850AFE5-9CF0-4BA0-B161-B46E69956A75}">
      <dgm:prSet phldrT="[Текст]" custT="1"/>
      <dgm:spPr>
        <a:xfrm>
          <a:off x="2130135" y="1143135"/>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Президент</a:t>
          </a:r>
        </a:p>
      </dgm:t>
    </dgm:pt>
    <dgm:pt modelId="{E1F6DF2B-F988-4594-99F3-A70E4E4C3193}" type="parTrans" cxnId="{B245EF24-1358-409D-A4C3-44D590DC72DE}">
      <dgm:prSet/>
      <dgm:spPr>
        <a:xfrm>
          <a:off x="2532389" y="402295"/>
          <a:ext cx="149091" cy="740840"/>
        </a:xfrm>
        <a:custGeom>
          <a:avLst/>
          <a:gdLst/>
          <a:ahLst/>
          <a:cxnLst/>
          <a:rect l="0" t="0" r="0" b="0"/>
          <a:pathLst>
            <a:path>
              <a:moveTo>
                <a:pt x="171575" y="0"/>
              </a:moveTo>
              <a:lnTo>
                <a:pt x="171575" y="755352"/>
              </a:lnTo>
              <a:lnTo>
                <a:pt x="0" y="755352"/>
              </a:lnTo>
              <a:lnTo>
                <a:pt x="0" y="852565"/>
              </a:lnTo>
            </a:path>
          </a:pathLst>
        </a:custGeom>
        <a:noFill/>
        <a:ln w="635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dgm:spPr>
      <dgm:t>
        <a:bodyPr/>
        <a:lstStyle/>
        <a:p>
          <a:pPr algn="ctr"/>
          <a:endParaRPr lang="ru-RU" sz="1100" b="0">
            <a:solidFill>
              <a:sysClr val="windowText" lastClr="000000"/>
            </a:solidFill>
          </a:endParaRPr>
        </a:p>
      </dgm:t>
    </dgm:pt>
    <dgm:pt modelId="{38DE6C87-D9C5-450B-A803-4B159F531F9A}" type="sibTrans" cxnId="{B245EF24-1358-409D-A4C3-44D590DC72DE}">
      <dgm:prSet/>
      <dgm:spPr/>
      <dgm:t>
        <a:bodyPr/>
        <a:lstStyle/>
        <a:p>
          <a:pPr algn="ctr"/>
          <a:endParaRPr lang="ru-RU"/>
        </a:p>
      </dgm:t>
    </dgm:pt>
    <dgm:pt modelId="{2B3A4F7D-B545-4B33-AF75-76C6AFB74704}">
      <dgm:prSet custT="1"/>
      <dgm:spPr>
        <a:xfrm>
          <a:off x="3103591" y="1143135"/>
          <a:ext cx="1229933" cy="555356"/>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Дочерние и зависимые общества</a:t>
          </a:r>
        </a:p>
      </dgm:t>
    </dgm:pt>
    <dgm:pt modelId="{4EE78B72-2F7E-4640-BA7D-BD29A3ADFB3C}" type="parTrans" cxnId="{91656F73-8347-46AF-9203-6FED191D7B4D}">
      <dgm:prSet/>
      <dgm:spPr>
        <a:xfrm>
          <a:off x="2681481" y="402295"/>
          <a:ext cx="1037076" cy="740840"/>
        </a:xfrm>
        <a:custGeom>
          <a:avLst/>
          <a:gdLst/>
          <a:ahLst/>
          <a:cxnLst/>
          <a:rect l="0" t="0" r="0" b="0"/>
          <a:pathLst>
            <a:path>
              <a:moveTo>
                <a:pt x="0" y="0"/>
              </a:moveTo>
              <a:lnTo>
                <a:pt x="0" y="755352"/>
              </a:lnTo>
              <a:lnTo>
                <a:pt x="1193476" y="755352"/>
              </a:lnTo>
              <a:lnTo>
                <a:pt x="1193476" y="852565"/>
              </a:lnTo>
            </a:path>
          </a:pathLst>
        </a:custGeom>
        <a:noFill/>
        <a:ln w="15875" cap="flat" cmpd="sng" algn="ctr">
          <a:solidFill>
            <a:sysClr val="windowText" lastClr="000000">
              <a:shade val="6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C94C5FBA-BD31-4FFE-9AF0-72250DA18584}" type="sibTrans" cxnId="{91656F73-8347-46AF-9203-6FED191D7B4D}">
      <dgm:prSet/>
      <dgm:spPr/>
      <dgm:t>
        <a:bodyPr/>
        <a:lstStyle/>
        <a:p>
          <a:pPr algn="ctr"/>
          <a:endParaRPr lang="ru-RU"/>
        </a:p>
      </dgm:t>
    </dgm:pt>
    <dgm:pt modelId="{EB755F24-6484-40C9-8B2B-116B14EFC1C9}">
      <dgm:prSet custT="1"/>
      <dgm:spPr>
        <a:xfrm>
          <a:off x="1182552" y="1714337"/>
          <a:ext cx="933624"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Вице-президент</a:t>
          </a:r>
        </a:p>
      </dgm:t>
    </dgm:pt>
    <dgm:pt modelId="{7401D5C5-0E10-4767-B23B-80BB78C18E00}" type="parTrans" cxnId="{1DD1ED59-2811-49D0-8E19-E2DDE19D174C}">
      <dgm:prSet/>
      <dgm:spPr>
        <a:xfrm>
          <a:off x="1061876" y="1545390"/>
          <a:ext cx="120676" cy="370074"/>
        </a:xfrm>
        <a:custGeom>
          <a:avLst/>
          <a:gdLst/>
          <a:ahLst/>
          <a:cxnLst/>
          <a:rect l="0" t="0" r="0" b="0"/>
          <a:pathLst>
            <a:path>
              <a:moveTo>
                <a:pt x="0" y="0"/>
              </a:moveTo>
              <a:lnTo>
                <a:pt x="0" y="425884"/>
              </a:lnTo>
              <a:lnTo>
                <a:pt x="138875" y="425884"/>
              </a:lnTo>
            </a:path>
          </a:pathLst>
        </a:custGeom>
        <a:noFill/>
        <a:ln w="15875" cap="flat" cmpd="sng" algn="ctr">
          <a:solidFill>
            <a:sysClr val="windowText" lastClr="000000">
              <a:shade val="8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C71CB1B0-A7F7-446D-9EDB-168895A0496C}" type="sibTrans" cxnId="{1DD1ED59-2811-49D0-8E19-E2DDE19D174C}">
      <dgm:prSet/>
      <dgm:spPr/>
      <dgm:t>
        <a:bodyPr/>
        <a:lstStyle/>
        <a:p>
          <a:pPr algn="ctr"/>
          <a:endParaRPr lang="ru-RU"/>
        </a:p>
      </dgm:t>
    </dgm:pt>
    <dgm:pt modelId="{2C46EFDF-D7B8-4CBD-A059-90325460F302}">
      <dgm:prSet custT="1"/>
      <dgm:spPr>
        <a:xfrm>
          <a:off x="1182552" y="2285538"/>
          <a:ext cx="979763" cy="492488"/>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Ревизионная комиссия</a:t>
          </a:r>
        </a:p>
      </dgm:t>
    </dgm:pt>
    <dgm:pt modelId="{4E9D6826-DBBA-4440-A41D-DD13F3BA7D3C}" type="parTrans" cxnId="{AFA42557-662F-4FC6-A1D1-92CE90E3EE7A}">
      <dgm:prSet/>
      <dgm:spPr>
        <a:xfrm>
          <a:off x="1061876" y="1545390"/>
          <a:ext cx="120676" cy="986392"/>
        </a:xfrm>
        <a:custGeom>
          <a:avLst/>
          <a:gdLst/>
          <a:ahLst/>
          <a:cxnLst/>
          <a:rect l="0" t="0" r="0" b="0"/>
          <a:pathLst>
            <a:path>
              <a:moveTo>
                <a:pt x="0" y="0"/>
              </a:moveTo>
              <a:lnTo>
                <a:pt x="0" y="1135148"/>
              </a:lnTo>
              <a:lnTo>
                <a:pt x="138875" y="1135148"/>
              </a:lnTo>
            </a:path>
          </a:pathLst>
        </a:custGeom>
        <a:noFill/>
        <a:ln w="15875" cap="flat" cmpd="sng" algn="ctr">
          <a:solidFill>
            <a:sysClr val="windowText" lastClr="000000">
              <a:shade val="8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2EA2B342-477C-45BB-9F80-E2A5E17B1C3C}" type="sibTrans" cxnId="{AFA42557-662F-4FC6-A1D1-92CE90E3EE7A}">
      <dgm:prSet/>
      <dgm:spPr/>
      <dgm:t>
        <a:bodyPr/>
        <a:lstStyle/>
        <a:p>
          <a:pPr algn="ctr"/>
          <a:endParaRPr lang="ru-RU"/>
        </a:p>
      </dgm:t>
    </dgm:pt>
    <dgm:pt modelId="{730D25FB-5E00-444B-921A-59250938AC1A}">
      <dgm:prSet custT="1"/>
      <dgm:spPr>
        <a:xfrm>
          <a:off x="2331262" y="1714337"/>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Филиалы</a:t>
          </a:r>
        </a:p>
      </dgm:t>
    </dgm:pt>
    <dgm:pt modelId="{FFE44468-9C74-4FAA-808F-EF244B972A39}" type="parTrans" cxnId="{3CC50DA0-A9E4-46BB-A536-E40EE9D46607}">
      <dgm:prSet/>
      <dgm:spPr>
        <a:xfrm>
          <a:off x="2210586" y="1545390"/>
          <a:ext cx="120676" cy="370074"/>
        </a:xfrm>
        <a:custGeom>
          <a:avLst/>
          <a:gdLst/>
          <a:ahLst/>
          <a:cxnLst/>
          <a:rect l="0" t="0" r="0" b="0"/>
          <a:pathLst>
            <a:path>
              <a:moveTo>
                <a:pt x="0" y="0"/>
              </a:moveTo>
              <a:lnTo>
                <a:pt x="0" y="425884"/>
              </a:lnTo>
              <a:lnTo>
                <a:pt x="138875" y="425884"/>
              </a:lnTo>
            </a:path>
          </a:pathLst>
        </a:custGeom>
        <a:noFill/>
        <a:ln w="15875" cap="flat" cmpd="sng" algn="ctr">
          <a:solidFill>
            <a:sysClr val="windowText" lastClr="000000">
              <a:shade val="8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A24C1C0C-4CF0-4EFF-A6E6-3AE57E4488E8}" type="sibTrans" cxnId="{3CC50DA0-A9E4-46BB-A536-E40EE9D46607}">
      <dgm:prSet/>
      <dgm:spPr/>
      <dgm:t>
        <a:bodyPr/>
        <a:lstStyle/>
        <a:p>
          <a:pPr algn="ctr"/>
          <a:endParaRPr lang="ru-RU"/>
        </a:p>
      </dgm:t>
    </dgm:pt>
    <dgm:pt modelId="{4ABBF7C9-7655-46C0-8585-1BCD2A36E554}">
      <dgm:prSet custT="1"/>
      <dgm:spPr>
        <a:xfrm>
          <a:off x="2331262" y="2286234"/>
          <a:ext cx="1013995"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ln>
        <a:effectLst/>
      </dgm:spPr>
      <dgm:t>
        <a:bodyPr/>
        <a:lstStyle/>
        <a:p>
          <a:pPr algn="ctr"/>
          <a:r>
            <a:rPr lang="ru-RU" sz="1100">
              <a:solidFill>
                <a:sysClr val="windowText" lastClr="000000"/>
              </a:solidFill>
              <a:latin typeface="Times New Roman" pitchFamily="18" charset="0"/>
              <a:ea typeface="+mn-ea"/>
              <a:cs typeface="Times New Roman" pitchFamily="18" charset="0"/>
            </a:rPr>
            <a:t>Исполнители</a:t>
          </a:r>
        </a:p>
      </dgm:t>
    </dgm:pt>
    <dgm:pt modelId="{1FB26FF2-066F-4278-A29C-1EBE37CFCAF7}" type="parTrans" cxnId="{35565E28-3F2F-4A05-ABA9-7957920EDD11}">
      <dgm:prSet/>
      <dgm:spPr>
        <a:xfrm>
          <a:off x="2210586" y="1545390"/>
          <a:ext cx="120676" cy="941971"/>
        </a:xfrm>
        <a:custGeom>
          <a:avLst/>
          <a:gdLst/>
          <a:ahLst/>
          <a:cxnLst/>
          <a:rect l="0" t="0" r="0" b="0"/>
          <a:pathLst>
            <a:path>
              <a:moveTo>
                <a:pt x="0" y="0"/>
              </a:moveTo>
              <a:lnTo>
                <a:pt x="0" y="1084028"/>
              </a:lnTo>
              <a:lnTo>
                <a:pt x="138875" y="1084028"/>
              </a:lnTo>
            </a:path>
          </a:pathLst>
        </a:custGeom>
        <a:noFill/>
        <a:ln w="15875" cap="flat" cmpd="sng" algn="ctr">
          <a:solidFill>
            <a:sysClr val="windowText" lastClr="000000">
              <a:shade val="80000"/>
              <a:hueOff val="0"/>
              <a:satOff val="0"/>
              <a:lumOff val="0"/>
              <a:alphaOff val="0"/>
            </a:sysClr>
          </a:solidFill>
          <a:prstDash val="solid"/>
        </a:ln>
        <a:effectLst/>
      </dgm:spPr>
      <dgm:t>
        <a:bodyPr/>
        <a:lstStyle/>
        <a:p>
          <a:pPr algn="ctr"/>
          <a:endParaRPr lang="ru-RU" sz="1100">
            <a:solidFill>
              <a:sysClr val="windowText" lastClr="000000"/>
            </a:solidFill>
          </a:endParaRPr>
        </a:p>
      </dgm:t>
    </dgm:pt>
    <dgm:pt modelId="{1768276A-D76E-499F-AB84-48E5DE85A0CF}" type="sibTrans" cxnId="{35565E28-3F2F-4A05-ABA9-7957920EDD11}">
      <dgm:prSet/>
      <dgm:spPr/>
      <dgm:t>
        <a:bodyPr/>
        <a:lstStyle/>
        <a:p>
          <a:pPr algn="ctr"/>
          <a:endParaRPr lang="ru-RU"/>
        </a:p>
      </dgm:t>
    </dgm:pt>
    <dgm:pt modelId="{4617AD30-03BE-474D-9544-E91683F8A416}" type="pres">
      <dgm:prSet presAssocID="{4556695C-7D71-46A5-91E9-D56D1B721408}" presName="hierChild1" presStyleCnt="0">
        <dgm:presLayoutVars>
          <dgm:orgChart val="1"/>
          <dgm:chPref val="1"/>
          <dgm:dir/>
          <dgm:animOne val="branch"/>
          <dgm:animLvl val="lvl"/>
          <dgm:resizeHandles/>
        </dgm:presLayoutVars>
      </dgm:prSet>
      <dgm:spPr/>
      <dgm:t>
        <a:bodyPr/>
        <a:lstStyle/>
        <a:p>
          <a:endParaRPr lang="ru-RU"/>
        </a:p>
      </dgm:t>
    </dgm:pt>
    <dgm:pt modelId="{854D4969-F811-4D12-97D8-E480964A342A}" type="pres">
      <dgm:prSet presAssocID="{880791B7-30E0-4081-A7AF-B333278643F2}" presName="hierRoot1" presStyleCnt="0">
        <dgm:presLayoutVars>
          <dgm:hierBranch val="init"/>
        </dgm:presLayoutVars>
      </dgm:prSet>
      <dgm:spPr/>
    </dgm:pt>
    <dgm:pt modelId="{5D078637-47F3-42EC-84DD-6A6021900AB8}" type="pres">
      <dgm:prSet presAssocID="{880791B7-30E0-4081-A7AF-B333278643F2}" presName="rootComposite1" presStyleCnt="0"/>
      <dgm:spPr/>
    </dgm:pt>
    <dgm:pt modelId="{CAAE7276-AEF8-4967-9FEE-470E71B04B18}" type="pres">
      <dgm:prSet presAssocID="{880791B7-30E0-4081-A7AF-B333278643F2}" presName="rootText1" presStyleLbl="node0" presStyleIdx="0" presStyleCnt="1" custScaleX="141151" custLinFactNeighborX="2984" custLinFactNeighborY="-172">
        <dgm:presLayoutVars>
          <dgm:chPref val="3"/>
        </dgm:presLayoutVars>
      </dgm:prSet>
      <dgm:spPr>
        <a:prstGeom prst="rect">
          <a:avLst/>
        </a:prstGeom>
      </dgm:spPr>
      <dgm:t>
        <a:bodyPr/>
        <a:lstStyle/>
        <a:p>
          <a:endParaRPr lang="ru-RU"/>
        </a:p>
      </dgm:t>
    </dgm:pt>
    <dgm:pt modelId="{F9E2FF28-315A-4E91-9B7E-1B3FAAA54B21}" type="pres">
      <dgm:prSet presAssocID="{880791B7-30E0-4081-A7AF-B333278643F2}" presName="rootConnector1" presStyleLbl="node1" presStyleIdx="0" presStyleCnt="0"/>
      <dgm:spPr/>
      <dgm:t>
        <a:bodyPr/>
        <a:lstStyle/>
        <a:p>
          <a:endParaRPr lang="ru-RU"/>
        </a:p>
      </dgm:t>
    </dgm:pt>
    <dgm:pt modelId="{EBD626DC-2B87-4575-A6DC-CAF40C425AE7}" type="pres">
      <dgm:prSet presAssocID="{880791B7-30E0-4081-A7AF-B333278643F2}" presName="hierChild2" presStyleCnt="0"/>
      <dgm:spPr/>
    </dgm:pt>
    <dgm:pt modelId="{47DC6F22-01C4-4E9E-8B6F-48CE657B0E24}" type="pres">
      <dgm:prSet presAssocID="{324E887C-436A-4C22-A8EF-D103F8FC6A42}" presName="Name37" presStyleLbl="parChTrans1D2" presStyleIdx="0" presStyleCnt="4"/>
      <dgm:spPr>
        <a:custGeom>
          <a:avLst/>
          <a:gdLst/>
          <a:ahLst/>
          <a:cxnLst/>
          <a:rect l="0" t="0" r="0" b="0"/>
          <a:pathLst>
            <a:path>
              <a:moveTo>
                <a:pt x="1493521" y="0"/>
              </a:moveTo>
              <a:lnTo>
                <a:pt x="1493521" y="755352"/>
              </a:lnTo>
              <a:lnTo>
                <a:pt x="0" y="755352"/>
              </a:lnTo>
              <a:lnTo>
                <a:pt x="0" y="852565"/>
              </a:lnTo>
            </a:path>
          </a:pathLst>
        </a:custGeom>
      </dgm:spPr>
      <dgm:t>
        <a:bodyPr/>
        <a:lstStyle/>
        <a:p>
          <a:endParaRPr lang="ru-RU"/>
        </a:p>
      </dgm:t>
    </dgm:pt>
    <dgm:pt modelId="{AA4B14C0-CB40-4804-AE6A-1B4D5F35F7D3}" type="pres">
      <dgm:prSet presAssocID="{1123CD68-1CEA-400A-8B4F-5874430A4E5A}" presName="hierRoot2" presStyleCnt="0">
        <dgm:presLayoutVars>
          <dgm:hierBranch val="init"/>
        </dgm:presLayoutVars>
      </dgm:prSet>
      <dgm:spPr/>
    </dgm:pt>
    <dgm:pt modelId="{A7F2E53A-C16A-4394-A334-BA9FDCA8DC9B}" type="pres">
      <dgm:prSet presAssocID="{1123CD68-1CEA-400A-8B4F-5874430A4E5A}" presName="rootComposite" presStyleCnt="0"/>
      <dgm:spPr/>
    </dgm:pt>
    <dgm:pt modelId="{C372FDED-3B9C-4AD8-BC8E-76D7ADACF430}" type="pres">
      <dgm:prSet presAssocID="{1123CD68-1CEA-400A-8B4F-5874430A4E5A}" presName="rootText" presStyleLbl="node2" presStyleIdx="0" presStyleCnt="3">
        <dgm:presLayoutVars>
          <dgm:chPref val="3"/>
        </dgm:presLayoutVars>
      </dgm:prSet>
      <dgm:spPr>
        <a:prstGeom prst="rect">
          <a:avLst/>
        </a:prstGeom>
      </dgm:spPr>
      <dgm:t>
        <a:bodyPr/>
        <a:lstStyle/>
        <a:p>
          <a:endParaRPr lang="ru-RU"/>
        </a:p>
      </dgm:t>
    </dgm:pt>
    <dgm:pt modelId="{5D074284-0E9F-4680-9387-66E12FD782AF}" type="pres">
      <dgm:prSet presAssocID="{1123CD68-1CEA-400A-8B4F-5874430A4E5A}" presName="rootConnector" presStyleLbl="node2" presStyleIdx="0" presStyleCnt="3"/>
      <dgm:spPr/>
      <dgm:t>
        <a:bodyPr/>
        <a:lstStyle/>
        <a:p>
          <a:endParaRPr lang="ru-RU"/>
        </a:p>
      </dgm:t>
    </dgm:pt>
    <dgm:pt modelId="{6D0D230B-8C4B-496D-BFC3-9EB9D0AD6E75}" type="pres">
      <dgm:prSet presAssocID="{1123CD68-1CEA-400A-8B4F-5874430A4E5A}" presName="hierChild4" presStyleCnt="0"/>
      <dgm:spPr/>
    </dgm:pt>
    <dgm:pt modelId="{AD52B66D-B8E4-4E0F-871E-8D325CB579B2}" type="pres">
      <dgm:prSet presAssocID="{7401D5C5-0E10-4767-B23B-80BB78C18E00}" presName="Name37" presStyleLbl="parChTrans1D3" presStyleIdx="0" presStyleCnt="4"/>
      <dgm:spPr>
        <a:custGeom>
          <a:avLst/>
          <a:gdLst/>
          <a:ahLst/>
          <a:cxnLst/>
          <a:rect l="0" t="0" r="0" b="0"/>
          <a:pathLst>
            <a:path>
              <a:moveTo>
                <a:pt x="0" y="0"/>
              </a:moveTo>
              <a:lnTo>
                <a:pt x="0" y="425884"/>
              </a:lnTo>
              <a:lnTo>
                <a:pt x="138875" y="425884"/>
              </a:lnTo>
            </a:path>
          </a:pathLst>
        </a:custGeom>
      </dgm:spPr>
      <dgm:t>
        <a:bodyPr/>
        <a:lstStyle/>
        <a:p>
          <a:endParaRPr lang="ru-RU"/>
        </a:p>
      </dgm:t>
    </dgm:pt>
    <dgm:pt modelId="{9998644B-4FC5-4A6C-94ED-E8BBC64B9E8B}" type="pres">
      <dgm:prSet presAssocID="{EB755F24-6484-40C9-8B2B-116B14EFC1C9}" presName="hierRoot2" presStyleCnt="0">
        <dgm:presLayoutVars>
          <dgm:hierBranch val="init"/>
        </dgm:presLayoutVars>
      </dgm:prSet>
      <dgm:spPr/>
    </dgm:pt>
    <dgm:pt modelId="{83556D89-81D3-4812-B655-EAC995D5AF08}" type="pres">
      <dgm:prSet presAssocID="{EB755F24-6484-40C9-8B2B-116B14EFC1C9}" presName="rootComposite" presStyleCnt="0"/>
      <dgm:spPr/>
    </dgm:pt>
    <dgm:pt modelId="{9DEE60ED-7F4A-486E-8305-FEDFBEC49459}" type="pres">
      <dgm:prSet presAssocID="{EB755F24-6484-40C9-8B2B-116B14EFC1C9}" presName="rootText" presStyleLbl="node3" presStyleIdx="0" presStyleCnt="4" custScaleX="116049">
        <dgm:presLayoutVars>
          <dgm:chPref val="3"/>
        </dgm:presLayoutVars>
      </dgm:prSet>
      <dgm:spPr>
        <a:prstGeom prst="rect">
          <a:avLst/>
        </a:prstGeom>
      </dgm:spPr>
      <dgm:t>
        <a:bodyPr/>
        <a:lstStyle/>
        <a:p>
          <a:endParaRPr lang="ru-RU"/>
        </a:p>
      </dgm:t>
    </dgm:pt>
    <dgm:pt modelId="{59391823-BCA9-4C7E-A52E-520326032148}" type="pres">
      <dgm:prSet presAssocID="{EB755F24-6484-40C9-8B2B-116B14EFC1C9}" presName="rootConnector" presStyleLbl="node3" presStyleIdx="0" presStyleCnt="4"/>
      <dgm:spPr/>
      <dgm:t>
        <a:bodyPr/>
        <a:lstStyle/>
        <a:p>
          <a:endParaRPr lang="ru-RU"/>
        </a:p>
      </dgm:t>
    </dgm:pt>
    <dgm:pt modelId="{E8B86FFC-EBF1-4A63-A2B7-9752B779AE22}" type="pres">
      <dgm:prSet presAssocID="{EB755F24-6484-40C9-8B2B-116B14EFC1C9}" presName="hierChild4" presStyleCnt="0"/>
      <dgm:spPr/>
    </dgm:pt>
    <dgm:pt modelId="{6EAEE6BD-1981-4EA8-882D-69A53539067C}" type="pres">
      <dgm:prSet presAssocID="{EB755F24-6484-40C9-8B2B-116B14EFC1C9}" presName="hierChild5" presStyleCnt="0"/>
      <dgm:spPr/>
    </dgm:pt>
    <dgm:pt modelId="{7D4FF0D6-B647-4E2F-9A46-454CF8176A60}" type="pres">
      <dgm:prSet presAssocID="{4E9D6826-DBBA-4440-A41D-DD13F3BA7D3C}" presName="Name37" presStyleLbl="parChTrans1D3" presStyleIdx="1" presStyleCnt="4"/>
      <dgm:spPr>
        <a:custGeom>
          <a:avLst/>
          <a:gdLst/>
          <a:ahLst/>
          <a:cxnLst/>
          <a:rect l="0" t="0" r="0" b="0"/>
          <a:pathLst>
            <a:path>
              <a:moveTo>
                <a:pt x="0" y="0"/>
              </a:moveTo>
              <a:lnTo>
                <a:pt x="0" y="1135148"/>
              </a:lnTo>
              <a:lnTo>
                <a:pt x="138875" y="1135148"/>
              </a:lnTo>
            </a:path>
          </a:pathLst>
        </a:custGeom>
      </dgm:spPr>
      <dgm:t>
        <a:bodyPr/>
        <a:lstStyle/>
        <a:p>
          <a:endParaRPr lang="ru-RU"/>
        </a:p>
      </dgm:t>
    </dgm:pt>
    <dgm:pt modelId="{05F45F73-B817-415B-A4E8-6027E7CF7631}" type="pres">
      <dgm:prSet presAssocID="{2C46EFDF-D7B8-4CBD-A059-90325460F302}" presName="hierRoot2" presStyleCnt="0">
        <dgm:presLayoutVars>
          <dgm:hierBranch val="init"/>
        </dgm:presLayoutVars>
      </dgm:prSet>
      <dgm:spPr/>
    </dgm:pt>
    <dgm:pt modelId="{EC4F4CFE-E5E7-4231-9897-6EA35CC89FEA}" type="pres">
      <dgm:prSet presAssocID="{2C46EFDF-D7B8-4CBD-A059-90325460F302}" presName="rootComposite" presStyleCnt="0"/>
      <dgm:spPr/>
    </dgm:pt>
    <dgm:pt modelId="{D4B60EB8-FF51-4F5F-872B-C24F4A24B951}" type="pres">
      <dgm:prSet presAssocID="{2C46EFDF-D7B8-4CBD-A059-90325460F302}" presName="rootText" presStyleLbl="node3" presStyleIdx="1" presStyleCnt="4" custScaleX="121784" custScaleY="122432">
        <dgm:presLayoutVars>
          <dgm:chPref val="3"/>
        </dgm:presLayoutVars>
      </dgm:prSet>
      <dgm:spPr>
        <a:prstGeom prst="rect">
          <a:avLst/>
        </a:prstGeom>
      </dgm:spPr>
      <dgm:t>
        <a:bodyPr/>
        <a:lstStyle/>
        <a:p>
          <a:endParaRPr lang="ru-RU"/>
        </a:p>
      </dgm:t>
    </dgm:pt>
    <dgm:pt modelId="{9A37F7E0-F0E4-4406-A067-55E3251EE242}" type="pres">
      <dgm:prSet presAssocID="{2C46EFDF-D7B8-4CBD-A059-90325460F302}" presName="rootConnector" presStyleLbl="node3" presStyleIdx="1" presStyleCnt="4"/>
      <dgm:spPr/>
      <dgm:t>
        <a:bodyPr/>
        <a:lstStyle/>
        <a:p>
          <a:endParaRPr lang="ru-RU"/>
        </a:p>
      </dgm:t>
    </dgm:pt>
    <dgm:pt modelId="{869C5B68-802F-455D-92D5-3740A9929DE3}" type="pres">
      <dgm:prSet presAssocID="{2C46EFDF-D7B8-4CBD-A059-90325460F302}" presName="hierChild4" presStyleCnt="0"/>
      <dgm:spPr/>
    </dgm:pt>
    <dgm:pt modelId="{B67FA190-2C8E-4537-8C0C-518F53A83F69}" type="pres">
      <dgm:prSet presAssocID="{2C46EFDF-D7B8-4CBD-A059-90325460F302}" presName="hierChild5" presStyleCnt="0"/>
      <dgm:spPr/>
    </dgm:pt>
    <dgm:pt modelId="{F9AA1800-6BA3-4148-8B22-CE5D5C68759B}" type="pres">
      <dgm:prSet presAssocID="{1123CD68-1CEA-400A-8B4F-5874430A4E5A}" presName="hierChild5" presStyleCnt="0"/>
      <dgm:spPr/>
    </dgm:pt>
    <dgm:pt modelId="{FF0CDCE1-3F4B-48B3-AD70-3A41B8EFE1E4}" type="pres">
      <dgm:prSet presAssocID="{E1F6DF2B-F988-4594-99F3-A70E4E4C3193}" presName="Name37" presStyleLbl="parChTrans1D2" presStyleIdx="1" presStyleCnt="4"/>
      <dgm:spPr>
        <a:custGeom>
          <a:avLst/>
          <a:gdLst/>
          <a:ahLst/>
          <a:cxnLst/>
          <a:rect l="0" t="0" r="0" b="0"/>
          <a:pathLst>
            <a:path>
              <a:moveTo>
                <a:pt x="171575" y="0"/>
              </a:moveTo>
              <a:lnTo>
                <a:pt x="171575" y="755352"/>
              </a:lnTo>
              <a:lnTo>
                <a:pt x="0" y="755352"/>
              </a:lnTo>
              <a:lnTo>
                <a:pt x="0" y="852565"/>
              </a:lnTo>
            </a:path>
          </a:pathLst>
        </a:custGeom>
      </dgm:spPr>
      <dgm:t>
        <a:bodyPr/>
        <a:lstStyle/>
        <a:p>
          <a:endParaRPr lang="ru-RU"/>
        </a:p>
      </dgm:t>
    </dgm:pt>
    <dgm:pt modelId="{DC8EE35F-6666-4283-833A-EEBE72B057B5}" type="pres">
      <dgm:prSet presAssocID="{8850AFE5-9CF0-4BA0-B161-B46E69956A75}" presName="hierRoot2" presStyleCnt="0">
        <dgm:presLayoutVars>
          <dgm:hierBranch val="init"/>
        </dgm:presLayoutVars>
      </dgm:prSet>
      <dgm:spPr/>
    </dgm:pt>
    <dgm:pt modelId="{F5FD2303-39F6-48DA-8067-3A7B1A470310}" type="pres">
      <dgm:prSet presAssocID="{8850AFE5-9CF0-4BA0-B161-B46E69956A75}" presName="rootComposite" presStyleCnt="0"/>
      <dgm:spPr/>
    </dgm:pt>
    <dgm:pt modelId="{5BC890AB-8736-493A-AD11-96EDB5E84205}" type="pres">
      <dgm:prSet presAssocID="{8850AFE5-9CF0-4BA0-B161-B46E69956A75}" presName="rootText" presStyleLbl="node2" presStyleIdx="1" presStyleCnt="3" custScaleX="103874">
        <dgm:presLayoutVars>
          <dgm:chPref val="3"/>
        </dgm:presLayoutVars>
      </dgm:prSet>
      <dgm:spPr>
        <a:prstGeom prst="rect">
          <a:avLst/>
        </a:prstGeom>
      </dgm:spPr>
      <dgm:t>
        <a:bodyPr/>
        <a:lstStyle/>
        <a:p>
          <a:endParaRPr lang="ru-RU"/>
        </a:p>
      </dgm:t>
    </dgm:pt>
    <dgm:pt modelId="{B452908D-E0D5-4471-899E-4DA725B737DF}" type="pres">
      <dgm:prSet presAssocID="{8850AFE5-9CF0-4BA0-B161-B46E69956A75}" presName="rootConnector" presStyleLbl="node2" presStyleIdx="1" presStyleCnt="3"/>
      <dgm:spPr/>
      <dgm:t>
        <a:bodyPr/>
        <a:lstStyle/>
        <a:p>
          <a:endParaRPr lang="ru-RU"/>
        </a:p>
      </dgm:t>
    </dgm:pt>
    <dgm:pt modelId="{9E2767C0-185B-42D9-B43F-EE2987830817}" type="pres">
      <dgm:prSet presAssocID="{8850AFE5-9CF0-4BA0-B161-B46E69956A75}" presName="hierChild4" presStyleCnt="0"/>
      <dgm:spPr/>
    </dgm:pt>
    <dgm:pt modelId="{694B6800-ACCC-4637-B5BD-3B2C0511D2C1}" type="pres">
      <dgm:prSet presAssocID="{FFE44468-9C74-4FAA-808F-EF244B972A39}" presName="Name37" presStyleLbl="parChTrans1D3" presStyleIdx="2" presStyleCnt="4"/>
      <dgm:spPr>
        <a:custGeom>
          <a:avLst/>
          <a:gdLst/>
          <a:ahLst/>
          <a:cxnLst/>
          <a:rect l="0" t="0" r="0" b="0"/>
          <a:pathLst>
            <a:path>
              <a:moveTo>
                <a:pt x="0" y="0"/>
              </a:moveTo>
              <a:lnTo>
                <a:pt x="0" y="425884"/>
              </a:lnTo>
              <a:lnTo>
                <a:pt x="138875" y="425884"/>
              </a:lnTo>
            </a:path>
          </a:pathLst>
        </a:custGeom>
      </dgm:spPr>
      <dgm:t>
        <a:bodyPr/>
        <a:lstStyle/>
        <a:p>
          <a:endParaRPr lang="ru-RU"/>
        </a:p>
      </dgm:t>
    </dgm:pt>
    <dgm:pt modelId="{A0BCFCE0-4FFD-4FDF-B0C9-0C2602F8946B}" type="pres">
      <dgm:prSet presAssocID="{730D25FB-5E00-444B-921A-59250938AC1A}" presName="hierRoot2" presStyleCnt="0">
        <dgm:presLayoutVars>
          <dgm:hierBranch val="init"/>
        </dgm:presLayoutVars>
      </dgm:prSet>
      <dgm:spPr/>
    </dgm:pt>
    <dgm:pt modelId="{42B5F741-73DD-45CF-B5F8-6B9AB3B26605}" type="pres">
      <dgm:prSet presAssocID="{730D25FB-5E00-444B-921A-59250938AC1A}" presName="rootComposite" presStyleCnt="0"/>
      <dgm:spPr/>
    </dgm:pt>
    <dgm:pt modelId="{417DBE25-C3A4-4AB3-8BB9-CD023450FCD2}" type="pres">
      <dgm:prSet presAssocID="{730D25FB-5E00-444B-921A-59250938AC1A}" presName="rootText" presStyleLbl="node3" presStyleIdx="2" presStyleCnt="4">
        <dgm:presLayoutVars>
          <dgm:chPref val="3"/>
        </dgm:presLayoutVars>
      </dgm:prSet>
      <dgm:spPr>
        <a:prstGeom prst="rect">
          <a:avLst/>
        </a:prstGeom>
      </dgm:spPr>
      <dgm:t>
        <a:bodyPr/>
        <a:lstStyle/>
        <a:p>
          <a:endParaRPr lang="ru-RU"/>
        </a:p>
      </dgm:t>
    </dgm:pt>
    <dgm:pt modelId="{ECE78534-CA9D-4EAB-9310-22D5E3C3DD7B}" type="pres">
      <dgm:prSet presAssocID="{730D25FB-5E00-444B-921A-59250938AC1A}" presName="rootConnector" presStyleLbl="node3" presStyleIdx="2" presStyleCnt="4"/>
      <dgm:spPr/>
      <dgm:t>
        <a:bodyPr/>
        <a:lstStyle/>
        <a:p>
          <a:endParaRPr lang="ru-RU"/>
        </a:p>
      </dgm:t>
    </dgm:pt>
    <dgm:pt modelId="{D154E1B2-9814-4CB0-89DC-B16A124C0331}" type="pres">
      <dgm:prSet presAssocID="{730D25FB-5E00-444B-921A-59250938AC1A}" presName="hierChild4" presStyleCnt="0"/>
      <dgm:spPr/>
    </dgm:pt>
    <dgm:pt modelId="{3EDA4809-4540-4754-A488-5887BC4B8419}" type="pres">
      <dgm:prSet presAssocID="{730D25FB-5E00-444B-921A-59250938AC1A}" presName="hierChild5" presStyleCnt="0"/>
      <dgm:spPr/>
    </dgm:pt>
    <dgm:pt modelId="{46788EAE-D72C-437E-9BE5-3B3471BB26E5}" type="pres">
      <dgm:prSet presAssocID="{1FB26FF2-066F-4278-A29C-1EBE37CFCAF7}" presName="Name37" presStyleLbl="parChTrans1D3" presStyleIdx="3" presStyleCnt="4"/>
      <dgm:spPr>
        <a:custGeom>
          <a:avLst/>
          <a:gdLst/>
          <a:ahLst/>
          <a:cxnLst/>
          <a:rect l="0" t="0" r="0" b="0"/>
          <a:pathLst>
            <a:path>
              <a:moveTo>
                <a:pt x="0" y="0"/>
              </a:moveTo>
              <a:lnTo>
                <a:pt x="0" y="1084028"/>
              </a:lnTo>
              <a:lnTo>
                <a:pt x="138875" y="1084028"/>
              </a:lnTo>
            </a:path>
          </a:pathLst>
        </a:custGeom>
      </dgm:spPr>
      <dgm:t>
        <a:bodyPr/>
        <a:lstStyle/>
        <a:p>
          <a:endParaRPr lang="ru-RU"/>
        </a:p>
      </dgm:t>
    </dgm:pt>
    <dgm:pt modelId="{7FB49743-7911-4D24-A5B9-EB089D0AEEA4}" type="pres">
      <dgm:prSet presAssocID="{4ABBF7C9-7655-46C0-8585-1BCD2A36E554}" presName="hierRoot2" presStyleCnt="0">
        <dgm:presLayoutVars>
          <dgm:hierBranch val="init"/>
        </dgm:presLayoutVars>
      </dgm:prSet>
      <dgm:spPr/>
    </dgm:pt>
    <dgm:pt modelId="{2FD19B34-FE5B-44B3-8A1E-1AE3103FE573}" type="pres">
      <dgm:prSet presAssocID="{4ABBF7C9-7655-46C0-8585-1BCD2A36E554}" presName="rootComposite" presStyleCnt="0"/>
      <dgm:spPr/>
    </dgm:pt>
    <dgm:pt modelId="{F2285E7C-BCCA-4349-B37F-2B46130CCC77}" type="pres">
      <dgm:prSet presAssocID="{4ABBF7C9-7655-46C0-8585-1BCD2A36E554}" presName="rootText" presStyleLbl="node3" presStyleIdx="3" presStyleCnt="4" custScaleX="126039" custLinFactNeighborY="173">
        <dgm:presLayoutVars>
          <dgm:chPref val="3"/>
        </dgm:presLayoutVars>
      </dgm:prSet>
      <dgm:spPr>
        <a:prstGeom prst="rect">
          <a:avLst/>
        </a:prstGeom>
      </dgm:spPr>
      <dgm:t>
        <a:bodyPr/>
        <a:lstStyle/>
        <a:p>
          <a:endParaRPr lang="ru-RU"/>
        </a:p>
      </dgm:t>
    </dgm:pt>
    <dgm:pt modelId="{421F0389-5AB8-4477-8B6E-5BEA0CE29564}" type="pres">
      <dgm:prSet presAssocID="{4ABBF7C9-7655-46C0-8585-1BCD2A36E554}" presName="rootConnector" presStyleLbl="node3" presStyleIdx="3" presStyleCnt="4"/>
      <dgm:spPr/>
      <dgm:t>
        <a:bodyPr/>
        <a:lstStyle/>
        <a:p>
          <a:endParaRPr lang="ru-RU"/>
        </a:p>
      </dgm:t>
    </dgm:pt>
    <dgm:pt modelId="{A0403BDD-6427-4D95-A3DA-3FB888706E5E}" type="pres">
      <dgm:prSet presAssocID="{4ABBF7C9-7655-46C0-8585-1BCD2A36E554}" presName="hierChild4" presStyleCnt="0"/>
      <dgm:spPr/>
    </dgm:pt>
    <dgm:pt modelId="{B90BFED3-1C75-4302-A335-8491CBCD494D}" type="pres">
      <dgm:prSet presAssocID="{4ABBF7C9-7655-46C0-8585-1BCD2A36E554}" presName="hierChild5" presStyleCnt="0"/>
      <dgm:spPr/>
    </dgm:pt>
    <dgm:pt modelId="{F52E2576-378D-4EDA-B51D-7078F319D5A3}" type="pres">
      <dgm:prSet presAssocID="{8850AFE5-9CF0-4BA0-B161-B46E69956A75}" presName="hierChild5" presStyleCnt="0"/>
      <dgm:spPr/>
    </dgm:pt>
    <dgm:pt modelId="{1E078AE5-75A3-4E76-9B57-E280F4EB987C}" type="pres">
      <dgm:prSet presAssocID="{4EE78B72-2F7E-4640-BA7D-BD29A3ADFB3C}" presName="Name37" presStyleLbl="parChTrans1D2" presStyleIdx="2" presStyleCnt="4"/>
      <dgm:spPr>
        <a:custGeom>
          <a:avLst/>
          <a:gdLst/>
          <a:ahLst/>
          <a:cxnLst/>
          <a:rect l="0" t="0" r="0" b="0"/>
          <a:pathLst>
            <a:path>
              <a:moveTo>
                <a:pt x="0" y="0"/>
              </a:moveTo>
              <a:lnTo>
                <a:pt x="0" y="755352"/>
              </a:lnTo>
              <a:lnTo>
                <a:pt x="1193476" y="755352"/>
              </a:lnTo>
              <a:lnTo>
                <a:pt x="1193476" y="852565"/>
              </a:lnTo>
            </a:path>
          </a:pathLst>
        </a:custGeom>
      </dgm:spPr>
      <dgm:t>
        <a:bodyPr/>
        <a:lstStyle/>
        <a:p>
          <a:endParaRPr lang="ru-RU"/>
        </a:p>
      </dgm:t>
    </dgm:pt>
    <dgm:pt modelId="{D15E1AF8-5301-4065-AEFD-507293A25AB6}" type="pres">
      <dgm:prSet presAssocID="{2B3A4F7D-B545-4B33-AF75-76C6AFB74704}" presName="hierRoot2" presStyleCnt="0">
        <dgm:presLayoutVars>
          <dgm:hierBranch val="init"/>
        </dgm:presLayoutVars>
      </dgm:prSet>
      <dgm:spPr/>
    </dgm:pt>
    <dgm:pt modelId="{9F0B6E31-4D95-4A58-8FE6-183EA5593833}" type="pres">
      <dgm:prSet presAssocID="{2B3A4F7D-B545-4B33-AF75-76C6AFB74704}" presName="rootComposite" presStyleCnt="0"/>
      <dgm:spPr/>
    </dgm:pt>
    <dgm:pt modelId="{0611EA8B-2F11-4ED9-9D5B-F2DF6A7BF47D}" type="pres">
      <dgm:prSet presAssocID="{2B3A4F7D-B545-4B33-AF75-76C6AFB74704}" presName="rootText" presStyleLbl="node2" presStyleIdx="2" presStyleCnt="3" custScaleX="152880" custScaleY="138061" custLinFactNeighborX="13023" custLinFactNeighborY="2368">
        <dgm:presLayoutVars>
          <dgm:chPref val="3"/>
        </dgm:presLayoutVars>
      </dgm:prSet>
      <dgm:spPr>
        <a:prstGeom prst="rect">
          <a:avLst/>
        </a:prstGeom>
      </dgm:spPr>
      <dgm:t>
        <a:bodyPr/>
        <a:lstStyle/>
        <a:p>
          <a:endParaRPr lang="ru-RU"/>
        </a:p>
      </dgm:t>
    </dgm:pt>
    <dgm:pt modelId="{8F056BA1-7E31-4AA6-A920-8AEADA0BC32A}" type="pres">
      <dgm:prSet presAssocID="{2B3A4F7D-B545-4B33-AF75-76C6AFB74704}" presName="rootConnector" presStyleLbl="node2" presStyleIdx="2" presStyleCnt="3"/>
      <dgm:spPr/>
      <dgm:t>
        <a:bodyPr/>
        <a:lstStyle/>
        <a:p>
          <a:endParaRPr lang="ru-RU"/>
        </a:p>
      </dgm:t>
    </dgm:pt>
    <dgm:pt modelId="{07D98939-C05A-4C78-B6B6-36D8B89A3C28}" type="pres">
      <dgm:prSet presAssocID="{2B3A4F7D-B545-4B33-AF75-76C6AFB74704}" presName="hierChild4" presStyleCnt="0"/>
      <dgm:spPr/>
    </dgm:pt>
    <dgm:pt modelId="{CEAB0DC0-7E91-4EFC-A745-3295D1A208CE}" type="pres">
      <dgm:prSet presAssocID="{2B3A4F7D-B545-4B33-AF75-76C6AFB74704}" presName="hierChild5" presStyleCnt="0"/>
      <dgm:spPr/>
    </dgm:pt>
    <dgm:pt modelId="{8C91C3DF-42E4-48DD-A29D-539CED7F7B0D}" type="pres">
      <dgm:prSet presAssocID="{880791B7-30E0-4081-A7AF-B333278643F2}" presName="hierChild3" presStyleCnt="0"/>
      <dgm:spPr/>
    </dgm:pt>
    <dgm:pt modelId="{3B138611-65C5-4DA5-8BC6-011A8491E550}" type="pres">
      <dgm:prSet presAssocID="{15B82427-941A-4A40-A620-BA35A02F63E1}" presName="Name111" presStyleLbl="parChTrans1D2" presStyleIdx="3" presStyleCnt="4"/>
      <dgm:spPr>
        <a:custGeom>
          <a:avLst/>
          <a:gdLst/>
          <a:ahLst/>
          <a:cxnLst/>
          <a:rect l="0" t="0" r="0" b="0"/>
          <a:pathLst>
            <a:path>
              <a:moveTo>
                <a:pt x="124839" y="0"/>
              </a:moveTo>
              <a:lnTo>
                <a:pt x="124839" y="426680"/>
              </a:lnTo>
              <a:lnTo>
                <a:pt x="0" y="426680"/>
              </a:lnTo>
            </a:path>
          </a:pathLst>
        </a:custGeom>
      </dgm:spPr>
      <dgm:t>
        <a:bodyPr/>
        <a:lstStyle/>
        <a:p>
          <a:endParaRPr lang="ru-RU"/>
        </a:p>
      </dgm:t>
    </dgm:pt>
    <dgm:pt modelId="{5057D0C8-A2C0-4C65-8A62-9AE072A0E063}" type="pres">
      <dgm:prSet presAssocID="{B882B237-43E6-440D-9916-C715F5D24D22}" presName="hierRoot3" presStyleCnt="0">
        <dgm:presLayoutVars>
          <dgm:hierBranch val="init"/>
        </dgm:presLayoutVars>
      </dgm:prSet>
      <dgm:spPr/>
    </dgm:pt>
    <dgm:pt modelId="{45EA8111-4EED-4E48-936A-490BB164F18D}" type="pres">
      <dgm:prSet presAssocID="{B882B237-43E6-440D-9916-C715F5D24D22}" presName="rootComposite3" presStyleCnt="0"/>
      <dgm:spPr/>
    </dgm:pt>
    <dgm:pt modelId="{C6858E30-CED8-4497-AC5C-87E3B976A589}" type="pres">
      <dgm:prSet presAssocID="{B882B237-43E6-440D-9916-C715F5D24D22}" presName="rootText3" presStyleLbl="asst1" presStyleIdx="0" presStyleCnt="1">
        <dgm:presLayoutVars>
          <dgm:chPref val="3"/>
        </dgm:presLayoutVars>
      </dgm:prSet>
      <dgm:spPr>
        <a:prstGeom prst="rect">
          <a:avLst/>
        </a:prstGeom>
      </dgm:spPr>
      <dgm:t>
        <a:bodyPr/>
        <a:lstStyle/>
        <a:p>
          <a:endParaRPr lang="ru-RU"/>
        </a:p>
      </dgm:t>
    </dgm:pt>
    <dgm:pt modelId="{75445CF7-EBB6-4806-82A6-743AAB9D3902}" type="pres">
      <dgm:prSet presAssocID="{B882B237-43E6-440D-9916-C715F5D24D22}" presName="rootConnector3" presStyleLbl="asst1" presStyleIdx="0" presStyleCnt="1"/>
      <dgm:spPr/>
      <dgm:t>
        <a:bodyPr/>
        <a:lstStyle/>
        <a:p>
          <a:endParaRPr lang="ru-RU"/>
        </a:p>
      </dgm:t>
    </dgm:pt>
    <dgm:pt modelId="{9EBBFC6B-68E4-4F6E-9B3B-256F699D86EF}" type="pres">
      <dgm:prSet presAssocID="{B882B237-43E6-440D-9916-C715F5D24D22}" presName="hierChild6" presStyleCnt="0"/>
      <dgm:spPr/>
    </dgm:pt>
    <dgm:pt modelId="{4A9DE948-6BBA-47E3-B5E9-12509B16D14F}" type="pres">
      <dgm:prSet presAssocID="{B882B237-43E6-440D-9916-C715F5D24D22}" presName="hierChild7" presStyleCnt="0"/>
      <dgm:spPr/>
    </dgm:pt>
  </dgm:ptLst>
  <dgm:cxnLst>
    <dgm:cxn modelId="{9EDC98FB-A2B8-4995-A5B2-6B9EF057312B}" type="presOf" srcId="{1FB26FF2-066F-4278-A29C-1EBE37CFCAF7}" destId="{46788EAE-D72C-437E-9BE5-3B3471BB26E5}" srcOrd="0" destOrd="0" presId="urn:microsoft.com/office/officeart/2005/8/layout/orgChart1"/>
    <dgm:cxn modelId="{0BEDED78-26A2-4B1C-BEFE-EF637503BCB2}" type="presOf" srcId="{EB755F24-6484-40C9-8B2B-116B14EFC1C9}" destId="{59391823-BCA9-4C7E-A52E-520326032148}" srcOrd="1" destOrd="0" presId="urn:microsoft.com/office/officeart/2005/8/layout/orgChart1"/>
    <dgm:cxn modelId="{3E9B83FF-E9F0-4FCD-8233-B847F95B28C5}" type="presOf" srcId="{B882B237-43E6-440D-9916-C715F5D24D22}" destId="{75445CF7-EBB6-4806-82A6-743AAB9D3902}" srcOrd="1" destOrd="0" presId="urn:microsoft.com/office/officeart/2005/8/layout/orgChart1"/>
    <dgm:cxn modelId="{D97A2628-D8BC-4CDC-9058-B3470D2AC2BF}" type="presOf" srcId="{4556695C-7D71-46A5-91E9-D56D1B721408}" destId="{4617AD30-03BE-474D-9544-E91683F8A416}" srcOrd="0" destOrd="0" presId="urn:microsoft.com/office/officeart/2005/8/layout/orgChart1"/>
    <dgm:cxn modelId="{6E0142BC-8130-4912-874A-3CF7D0762783}" type="presOf" srcId="{880791B7-30E0-4081-A7AF-B333278643F2}" destId="{F9E2FF28-315A-4E91-9B7E-1B3FAAA54B21}" srcOrd="1" destOrd="0" presId="urn:microsoft.com/office/officeart/2005/8/layout/orgChart1"/>
    <dgm:cxn modelId="{615DCB80-86E5-44A9-948F-C48B9615CD9B}" srcId="{880791B7-30E0-4081-A7AF-B333278643F2}" destId="{B882B237-43E6-440D-9916-C715F5D24D22}" srcOrd="0" destOrd="0" parTransId="{15B82427-941A-4A40-A620-BA35A02F63E1}" sibTransId="{BAAD6DD0-D6DE-4080-A91F-91F16476D3CC}"/>
    <dgm:cxn modelId="{9DA0DD01-75AC-4E84-8585-EF969760793D}" type="presOf" srcId="{E1F6DF2B-F988-4594-99F3-A70E4E4C3193}" destId="{FF0CDCE1-3F4B-48B3-AD70-3A41B8EFE1E4}" srcOrd="0" destOrd="0" presId="urn:microsoft.com/office/officeart/2005/8/layout/orgChart1"/>
    <dgm:cxn modelId="{3CC50DA0-A9E4-46BB-A536-E40EE9D46607}" srcId="{8850AFE5-9CF0-4BA0-B161-B46E69956A75}" destId="{730D25FB-5E00-444B-921A-59250938AC1A}" srcOrd="0" destOrd="0" parTransId="{FFE44468-9C74-4FAA-808F-EF244B972A39}" sibTransId="{A24C1C0C-4CF0-4EFF-A6E6-3AE57E4488E8}"/>
    <dgm:cxn modelId="{35277A16-54DF-4F99-9CEE-0FF2395C4642}" type="presOf" srcId="{4EE78B72-2F7E-4640-BA7D-BD29A3ADFB3C}" destId="{1E078AE5-75A3-4E76-9B57-E280F4EB987C}" srcOrd="0" destOrd="0" presId="urn:microsoft.com/office/officeart/2005/8/layout/orgChart1"/>
    <dgm:cxn modelId="{705DEB7F-1FA1-4285-A8C6-7A58B4A4D1C8}" type="presOf" srcId="{1123CD68-1CEA-400A-8B4F-5874430A4E5A}" destId="{5D074284-0E9F-4680-9387-66E12FD782AF}" srcOrd="1" destOrd="0" presId="urn:microsoft.com/office/officeart/2005/8/layout/orgChart1"/>
    <dgm:cxn modelId="{42F29DA9-AC3A-4BB2-BE8B-35A3680511F5}" type="presOf" srcId="{8850AFE5-9CF0-4BA0-B161-B46E69956A75}" destId="{B452908D-E0D5-4471-899E-4DA725B737DF}" srcOrd="1" destOrd="0" presId="urn:microsoft.com/office/officeart/2005/8/layout/orgChart1"/>
    <dgm:cxn modelId="{0EADD70F-46BE-43E1-9462-2BC4D1ED7867}" type="presOf" srcId="{1123CD68-1CEA-400A-8B4F-5874430A4E5A}" destId="{C372FDED-3B9C-4AD8-BC8E-76D7ADACF430}" srcOrd="0" destOrd="0" presId="urn:microsoft.com/office/officeart/2005/8/layout/orgChart1"/>
    <dgm:cxn modelId="{6EFCE57F-E694-45F7-A505-0D934162DBB2}" type="presOf" srcId="{4ABBF7C9-7655-46C0-8585-1BCD2A36E554}" destId="{421F0389-5AB8-4477-8B6E-5BEA0CE29564}" srcOrd="1" destOrd="0" presId="urn:microsoft.com/office/officeart/2005/8/layout/orgChart1"/>
    <dgm:cxn modelId="{7C61B02F-36C6-482D-93BB-6F7DF551360B}" type="presOf" srcId="{2B3A4F7D-B545-4B33-AF75-76C6AFB74704}" destId="{0611EA8B-2F11-4ED9-9D5B-F2DF6A7BF47D}" srcOrd="0" destOrd="0" presId="urn:microsoft.com/office/officeart/2005/8/layout/orgChart1"/>
    <dgm:cxn modelId="{67A3F015-3E6B-4FAE-ACF8-B6A82AD5F1A2}" type="presOf" srcId="{8850AFE5-9CF0-4BA0-B161-B46E69956A75}" destId="{5BC890AB-8736-493A-AD11-96EDB5E84205}" srcOrd="0" destOrd="0" presId="urn:microsoft.com/office/officeart/2005/8/layout/orgChart1"/>
    <dgm:cxn modelId="{B21BB272-3CB1-4A9E-8B13-86B20D45A2CE}" type="presOf" srcId="{880791B7-30E0-4081-A7AF-B333278643F2}" destId="{CAAE7276-AEF8-4967-9FEE-470E71B04B18}" srcOrd="0" destOrd="0" presId="urn:microsoft.com/office/officeart/2005/8/layout/orgChart1"/>
    <dgm:cxn modelId="{E5507392-E66D-47AB-B117-971F3CFBD1FD}" type="presOf" srcId="{7401D5C5-0E10-4767-B23B-80BB78C18E00}" destId="{AD52B66D-B8E4-4E0F-871E-8D325CB579B2}" srcOrd="0" destOrd="0" presId="urn:microsoft.com/office/officeart/2005/8/layout/orgChart1"/>
    <dgm:cxn modelId="{35565E28-3F2F-4A05-ABA9-7957920EDD11}" srcId="{8850AFE5-9CF0-4BA0-B161-B46E69956A75}" destId="{4ABBF7C9-7655-46C0-8585-1BCD2A36E554}" srcOrd="1" destOrd="0" parTransId="{1FB26FF2-066F-4278-A29C-1EBE37CFCAF7}" sibTransId="{1768276A-D76E-499F-AB84-48E5DE85A0CF}"/>
    <dgm:cxn modelId="{57B407BB-F302-4785-A63E-787D61B0963B}" type="presOf" srcId="{2C46EFDF-D7B8-4CBD-A059-90325460F302}" destId="{9A37F7E0-F0E4-4406-A067-55E3251EE242}" srcOrd="1" destOrd="0" presId="urn:microsoft.com/office/officeart/2005/8/layout/orgChart1"/>
    <dgm:cxn modelId="{1DD1ED59-2811-49D0-8E19-E2DDE19D174C}" srcId="{1123CD68-1CEA-400A-8B4F-5874430A4E5A}" destId="{EB755F24-6484-40C9-8B2B-116B14EFC1C9}" srcOrd="0" destOrd="0" parTransId="{7401D5C5-0E10-4767-B23B-80BB78C18E00}" sibTransId="{C71CB1B0-A7F7-446D-9EDB-168895A0496C}"/>
    <dgm:cxn modelId="{2949FFBB-4163-4672-89E4-225382735756}" type="presOf" srcId="{4ABBF7C9-7655-46C0-8585-1BCD2A36E554}" destId="{F2285E7C-BCCA-4349-B37F-2B46130CCC77}" srcOrd="0" destOrd="0" presId="urn:microsoft.com/office/officeart/2005/8/layout/orgChart1"/>
    <dgm:cxn modelId="{3B47B568-2DFC-4DF8-B38B-CAABCDD36F0A}" srcId="{4556695C-7D71-46A5-91E9-D56D1B721408}" destId="{880791B7-30E0-4081-A7AF-B333278643F2}" srcOrd="0" destOrd="0" parTransId="{F4D15637-6733-4491-9919-42B0D4208FD9}" sibTransId="{3D116CF9-0275-436E-A5F7-301608096A17}"/>
    <dgm:cxn modelId="{3E21557F-B897-484C-B51D-0E1966BDB0ED}" type="presOf" srcId="{4E9D6826-DBBA-4440-A41D-DD13F3BA7D3C}" destId="{7D4FF0D6-B647-4E2F-9A46-454CF8176A60}" srcOrd="0" destOrd="0" presId="urn:microsoft.com/office/officeart/2005/8/layout/orgChart1"/>
    <dgm:cxn modelId="{95B1954C-C4C6-4604-8088-A48A9CAF9B96}" srcId="{880791B7-30E0-4081-A7AF-B333278643F2}" destId="{1123CD68-1CEA-400A-8B4F-5874430A4E5A}" srcOrd="1" destOrd="0" parTransId="{324E887C-436A-4C22-A8EF-D103F8FC6A42}" sibTransId="{4F43B19D-5149-473F-BCF7-655A6D33152B}"/>
    <dgm:cxn modelId="{2F6FDF84-2052-4DEF-85D9-E1A36631D4E3}" type="presOf" srcId="{2B3A4F7D-B545-4B33-AF75-76C6AFB74704}" destId="{8F056BA1-7E31-4AA6-A920-8AEADA0BC32A}" srcOrd="1" destOrd="0" presId="urn:microsoft.com/office/officeart/2005/8/layout/orgChart1"/>
    <dgm:cxn modelId="{0F711288-F5E0-46D8-96C3-1218896F8A30}" type="presOf" srcId="{FFE44468-9C74-4FAA-808F-EF244B972A39}" destId="{694B6800-ACCC-4637-B5BD-3B2C0511D2C1}" srcOrd="0" destOrd="0" presId="urn:microsoft.com/office/officeart/2005/8/layout/orgChart1"/>
    <dgm:cxn modelId="{22B2715A-28CE-4869-BDE0-8432279BAED9}" type="presOf" srcId="{730D25FB-5E00-444B-921A-59250938AC1A}" destId="{ECE78534-CA9D-4EAB-9310-22D5E3C3DD7B}" srcOrd="1" destOrd="0" presId="urn:microsoft.com/office/officeart/2005/8/layout/orgChart1"/>
    <dgm:cxn modelId="{AFA42557-662F-4FC6-A1D1-92CE90E3EE7A}" srcId="{1123CD68-1CEA-400A-8B4F-5874430A4E5A}" destId="{2C46EFDF-D7B8-4CBD-A059-90325460F302}" srcOrd="1" destOrd="0" parTransId="{4E9D6826-DBBA-4440-A41D-DD13F3BA7D3C}" sibTransId="{2EA2B342-477C-45BB-9F80-E2A5E17B1C3C}"/>
    <dgm:cxn modelId="{69604EC9-0A40-42DB-853A-DC6FC720CD1C}" type="presOf" srcId="{15B82427-941A-4A40-A620-BA35A02F63E1}" destId="{3B138611-65C5-4DA5-8BC6-011A8491E550}" srcOrd="0" destOrd="0" presId="urn:microsoft.com/office/officeart/2005/8/layout/orgChart1"/>
    <dgm:cxn modelId="{9860984E-7F22-4740-B01A-41A7439BC03E}" type="presOf" srcId="{324E887C-436A-4C22-A8EF-D103F8FC6A42}" destId="{47DC6F22-01C4-4E9E-8B6F-48CE657B0E24}" srcOrd="0" destOrd="0" presId="urn:microsoft.com/office/officeart/2005/8/layout/orgChart1"/>
    <dgm:cxn modelId="{08386F7F-A398-4C65-8D15-7DF3DC6FE8A1}" type="presOf" srcId="{B882B237-43E6-440D-9916-C715F5D24D22}" destId="{C6858E30-CED8-4497-AC5C-87E3B976A589}" srcOrd="0" destOrd="0" presId="urn:microsoft.com/office/officeart/2005/8/layout/orgChart1"/>
    <dgm:cxn modelId="{B245EF24-1358-409D-A4C3-44D590DC72DE}" srcId="{880791B7-30E0-4081-A7AF-B333278643F2}" destId="{8850AFE5-9CF0-4BA0-B161-B46E69956A75}" srcOrd="2" destOrd="0" parTransId="{E1F6DF2B-F988-4594-99F3-A70E4E4C3193}" sibTransId="{38DE6C87-D9C5-450B-A803-4B159F531F9A}"/>
    <dgm:cxn modelId="{5DF1E221-BF04-4E06-BA4E-AA8BD970F4CD}" type="presOf" srcId="{EB755F24-6484-40C9-8B2B-116B14EFC1C9}" destId="{9DEE60ED-7F4A-486E-8305-FEDFBEC49459}" srcOrd="0" destOrd="0" presId="urn:microsoft.com/office/officeart/2005/8/layout/orgChart1"/>
    <dgm:cxn modelId="{91656F73-8347-46AF-9203-6FED191D7B4D}" srcId="{880791B7-30E0-4081-A7AF-B333278643F2}" destId="{2B3A4F7D-B545-4B33-AF75-76C6AFB74704}" srcOrd="3" destOrd="0" parTransId="{4EE78B72-2F7E-4640-BA7D-BD29A3ADFB3C}" sibTransId="{C94C5FBA-BD31-4FFE-9AF0-72250DA18584}"/>
    <dgm:cxn modelId="{45BF42EC-DDF8-4DCD-BFAA-7F55C79F3C48}" type="presOf" srcId="{2C46EFDF-D7B8-4CBD-A059-90325460F302}" destId="{D4B60EB8-FF51-4F5F-872B-C24F4A24B951}" srcOrd="0" destOrd="0" presId="urn:microsoft.com/office/officeart/2005/8/layout/orgChart1"/>
    <dgm:cxn modelId="{2811AD7A-C463-4193-B6D5-7E94255D7025}" type="presOf" srcId="{730D25FB-5E00-444B-921A-59250938AC1A}" destId="{417DBE25-C3A4-4AB3-8BB9-CD023450FCD2}" srcOrd="0" destOrd="0" presId="urn:microsoft.com/office/officeart/2005/8/layout/orgChart1"/>
    <dgm:cxn modelId="{B07D2B45-6252-41EC-B28D-0F9FFA99441C}" type="presParOf" srcId="{4617AD30-03BE-474D-9544-E91683F8A416}" destId="{854D4969-F811-4D12-97D8-E480964A342A}" srcOrd="0" destOrd="0" presId="urn:microsoft.com/office/officeart/2005/8/layout/orgChart1"/>
    <dgm:cxn modelId="{8DE450B2-C2FC-498A-BB17-A89916801EEF}" type="presParOf" srcId="{854D4969-F811-4D12-97D8-E480964A342A}" destId="{5D078637-47F3-42EC-84DD-6A6021900AB8}" srcOrd="0" destOrd="0" presId="urn:microsoft.com/office/officeart/2005/8/layout/orgChart1"/>
    <dgm:cxn modelId="{526424E5-473E-47D0-BAE3-39E5D65A4F59}" type="presParOf" srcId="{5D078637-47F3-42EC-84DD-6A6021900AB8}" destId="{CAAE7276-AEF8-4967-9FEE-470E71B04B18}" srcOrd="0" destOrd="0" presId="urn:microsoft.com/office/officeart/2005/8/layout/orgChart1"/>
    <dgm:cxn modelId="{6D6305DE-2CE1-4B59-9EC0-BDEF1DC5CDF7}" type="presParOf" srcId="{5D078637-47F3-42EC-84DD-6A6021900AB8}" destId="{F9E2FF28-315A-4E91-9B7E-1B3FAAA54B21}" srcOrd="1" destOrd="0" presId="urn:microsoft.com/office/officeart/2005/8/layout/orgChart1"/>
    <dgm:cxn modelId="{5B525644-0738-45EE-A54F-FA873B1CB4EF}" type="presParOf" srcId="{854D4969-F811-4D12-97D8-E480964A342A}" destId="{EBD626DC-2B87-4575-A6DC-CAF40C425AE7}" srcOrd="1" destOrd="0" presId="urn:microsoft.com/office/officeart/2005/8/layout/orgChart1"/>
    <dgm:cxn modelId="{C2F7E339-6783-42DA-B8EF-E29E3A0721A9}" type="presParOf" srcId="{EBD626DC-2B87-4575-A6DC-CAF40C425AE7}" destId="{47DC6F22-01C4-4E9E-8B6F-48CE657B0E24}" srcOrd="0" destOrd="0" presId="urn:microsoft.com/office/officeart/2005/8/layout/orgChart1"/>
    <dgm:cxn modelId="{3C4343A2-1824-43A9-BAA9-7569B2830A65}" type="presParOf" srcId="{EBD626DC-2B87-4575-A6DC-CAF40C425AE7}" destId="{AA4B14C0-CB40-4804-AE6A-1B4D5F35F7D3}" srcOrd="1" destOrd="0" presId="urn:microsoft.com/office/officeart/2005/8/layout/orgChart1"/>
    <dgm:cxn modelId="{8928B242-6AD9-4349-977C-76FDE13EE3B7}" type="presParOf" srcId="{AA4B14C0-CB40-4804-AE6A-1B4D5F35F7D3}" destId="{A7F2E53A-C16A-4394-A334-BA9FDCA8DC9B}" srcOrd="0" destOrd="0" presId="urn:microsoft.com/office/officeart/2005/8/layout/orgChart1"/>
    <dgm:cxn modelId="{E1D0782E-FBBF-4E76-9C63-7F43884C8A09}" type="presParOf" srcId="{A7F2E53A-C16A-4394-A334-BA9FDCA8DC9B}" destId="{C372FDED-3B9C-4AD8-BC8E-76D7ADACF430}" srcOrd="0" destOrd="0" presId="urn:microsoft.com/office/officeart/2005/8/layout/orgChart1"/>
    <dgm:cxn modelId="{A6FA2470-AFFE-4EDD-9E66-F250C299E718}" type="presParOf" srcId="{A7F2E53A-C16A-4394-A334-BA9FDCA8DC9B}" destId="{5D074284-0E9F-4680-9387-66E12FD782AF}" srcOrd="1" destOrd="0" presId="urn:microsoft.com/office/officeart/2005/8/layout/orgChart1"/>
    <dgm:cxn modelId="{F800CD48-3C0D-437A-A2E2-0BF65C1CC6E2}" type="presParOf" srcId="{AA4B14C0-CB40-4804-AE6A-1B4D5F35F7D3}" destId="{6D0D230B-8C4B-496D-BFC3-9EB9D0AD6E75}" srcOrd="1" destOrd="0" presId="urn:microsoft.com/office/officeart/2005/8/layout/orgChart1"/>
    <dgm:cxn modelId="{37744970-886D-4809-847F-9A199C6046D9}" type="presParOf" srcId="{6D0D230B-8C4B-496D-BFC3-9EB9D0AD6E75}" destId="{AD52B66D-B8E4-4E0F-871E-8D325CB579B2}" srcOrd="0" destOrd="0" presId="urn:microsoft.com/office/officeart/2005/8/layout/orgChart1"/>
    <dgm:cxn modelId="{7E090790-7260-4A12-994F-D8136E955EDC}" type="presParOf" srcId="{6D0D230B-8C4B-496D-BFC3-9EB9D0AD6E75}" destId="{9998644B-4FC5-4A6C-94ED-E8BBC64B9E8B}" srcOrd="1" destOrd="0" presId="urn:microsoft.com/office/officeart/2005/8/layout/orgChart1"/>
    <dgm:cxn modelId="{D027EDEC-5293-4521-B54C-9576FBDA125F}" type="presParOf" srcId="{9998644B-4FC5-4A6C-94ED-E8BBC64B9E8B}" destId="{83556D89-81D3-4812-B655-EAC995D5AF08}" srcOrd="0" destOrd="0" presId="urn:microsoft.com/office/officeart/2005/8/layout/orgChart1"/>
    <dgm:cxn modelId="{79A03EF8-CB3B-41E5-8C17-9C01BE1A07EE}" type="presParOf" srcId="{83556D89-81D3-4812-B655-EAC995D5AF08}" destId="{9DEE60ED-7F4A-486E-8305-FEDFBEC49459}" srcOrd="0" destOrd="0" presId="urn:microsoft.com/office/officeart/2005/8/layout/orgChart1"/>
    <dgm:cxn modelId="{3C203A3D-0B3C-45F3-BCA8-153153839949}" type="presParOf" srcId="{83556D89-81D3-4812-B655-EAC995D5AF08}" destId="{59391823-BCA9-4C7E-A52E-520326032148}" srcOrd="1" destOrd="0" presId="urn:microsoft.com/office/officeart/2005/8/layout/orgChart1"/>
    <dgm:cxn modelId="{E085373A-6587-4AAB-8F98-3CC476FB3C50}" type="presParOf" srcId="{9998644B-4FC5-4A6C-94ED-E8BBC64B9E8B}" destId="{E8B86FFC-EBF1-4A63-A2B7-9752B779AE22}" srcOrd="1" destOrd="0" presId="urn:microsoft.com/office/officeart/2005/8/layout/orgChart1"/>
    <dgm:cxn modelId="{C3851D6E-99B0-4E89-A477-D519165A92AD}" type="presParOf" srcId="{9998644B-4FC5-4A6C-94ED-E8BBC64B9E8B}" destId="{6EAEE6BD-1981-4EA8-882D-69A53539067C}" srcOrd="2" destOrd="0" presId="urn:microsoft.com/office/officeart/2005/8/layout/orgChart1"/>
    <dgm:cxn modelId="{FD107753-68FC-4E49-88AD-120632240AAF}" type="presParOf" srcId="{6D0D230B-8C4B-496D-BFC3-9EB9D0AD6E75}" destId="{7D4FF0D6-B647-4E2F-9A46-454CF8176A60}" srcOrd="2" destOrd="0" presId="urn:microsoft.com/office/officeart/2005/8/layout/orgChart1"/>
    <dgm:cxn modelId="{9C33EBB5-9CD1-4912-BE3F-416FFB52BFB7}" type="presParOf" srcId="{6D0D230B-8C4B-496D-BFC3-9EB9D0AD6E75}" destId="{05F45F73-B817-415B-A4E8-6027E7CF7631}" srcOrd="3" destOrd="0" presId="urn:microsoft.com/office/officeart/2005/8/layout/orgChart1"/>
    <dgm:cxn modelId="{695D2405-A6AE-4032-8333-F403563FDA03}" type="presParOf" srcId="{05F45F73-B817-415B-A4E8-6027E7CF7631}" destId="{EC4F4CFE-E5E7-4231-9897-6EA35CC89FEA}" srcOrd="0" destOrd="0" presId="urn:microsoft.com/office/officeart/2005/8/layout/orgChart1"/>
    <dgm:cxn modelId="{8E92350D-74CE-4062-8A55-B97560C1F1D1}" type="presParOf" srcId="{EC4F4CFE-E5E7-4231-9897-6EA35CC89FEA}" destId="{D4B60EB8-FF51-4F5F-872B-C24F4A24B951}" srcOrd="0" destOrd="0" presId="urn:microsoft.com/office/officeart/2005/8/layout/orgChart1"/>
    <dgm:cxn modelId="{1E8297CC-1E98-485B-A18F-FD7CF262CDED}" type="presParOf" srcId="{EC4F4CFE-E5E7-4231-9897-6EA35CC89FEA}" destId="{9A37F7E0-F0E4-4406-A067-55E3251EE242}" srcOrd="1" destOrd="0" presId="urn:microsoft.com/office/officeart/2005/8/layout/orgChart1"/>
    <dgm:cxn modelId="{7BB1310B-A31A-4AFD-B168-606F3504108B}" type="presParOf" srcId="{05F45F73-B817-415B-A4E8-6027E7CF7631}" destId="{869C5B68-802F-455D-92D5-3740A9929DE3}" srcOrd="1" destOrd="0" presId="urn:microsoft.com/office/officeart/2005/8/layout/orgChart1"/>
    <dgm:cxn modelId="{E85E6AF8-2BE9-4260-B294-9776058EA3EC}" type="presParOf" srcId="{05F45F73-B817-415B-A4E8-6027E7CF7631}" destId="{B67FA190-2C8E-4537-8C0C-518F53A83F69}" srcOrd="2" destOrd="0" presId="urn:microsoft.com/office/officeart/2005/8/layout/orgChart1"/>
    <dgm:cxn modelId="{019FFE5F-6D1C-4ACC-AF68-21721181FD1C}" type="presParOf" srcId="{AA4B14C0-CB40-4804-AE6A-1B4D5F35F7D3}" destId="{F9AA1800-6BA3-4148-8B22-CE5D5C68759B}" srcOrd="2" destOrd="0" presId="urn:microsoft.com/office/officeart/2005/8/layout/orgChart1"/>
    <dgm:cxn modelId="{21BE8CCD-14E0-4AB9-A2C0-8F6B97FF45CB}" type="presParOf" srcId="{EBD626DC-2B87-4575-A6DC-CAF40C425AE7}" destId="{FF0CDCE1-3F4B-48B3-AD70-3A41B8EFE1E4}" srcOrd="2" destOrd="0" presId="urn:microsoft.com/office/officeart/2005/8/layout/orgChart1"/>
    <dgm:cxn modelId="{1100B417-D515-437C-9928-2F5B6DC38B7C}" type="presParOf" srcId="{EBD626DC-2B87-4575-A6DC-CAF40C425AE7}" destId="{DC8EE35F-6666-4283-833A-EEBE72B057B5}" srcOrd="3" destOrd="0" presId="urn:microsoft.com/office/officeart/2005/8/layout/orgChart1"/>
    <dgm:cxn modelId="{7E9884AE-669F-44CE-B9B8-6FD107AF6799}" type="presParOf" srcId="{DC8EE35F-6666-4283-833A-EEBE72B057B5}" destId="{F5FD2303-39F6-48DA-8067-3A7B1A470310}" srcOrd="0" destOrd="0" presId="urn:microsoft.com/office/officeart/2005/8/layout/orgChart1"/>
    <dgm:cxn modelId="{A0335317-60F0-4BB7-93AF-B651A067E2EF}" type="presParOf" srcId="{F5FD2303-39F6-48DA-8067-3A7B1A470310}" destId="{5BC890AB-8736-493A-AD11-96EDB5E84205}" srcOrd="0" destOrd="0" presId="urn:microsoft.com/office/officeart/2005/8/layout/orgChart1"/>
    <dgm:cxn modelId="{9BBE02A6-876F-4398-8146-02D5B13027E2}" type="presParOf" srcId="{F5FD2303-39F6-48DA-8067-3A7B1A470310}" destId="{B452908D-E0D5-4471-899E-4DA725B737DF}" srcOrd="1" destOrd="0" presId="urn:microsoft.com/office/officeart/2005/8/layout/orgChart1"/>
    <dgm:cxn modelId="{E76928F7-11F3-459A-91D2-24F173128AA0}" type="presParOf" srcId="{DC8EE35F-6666-4283-833A-EEBE72B057B5}" destId="{9E2767C0-185B-42D9-B43F-EE2987830817}" srcOrd="1" destOrd="0" presId="urn:microsoft.com/office/officeart/2005/8/layout/orgChart1"/>
    <dgm:cxn modelId="{BE24441E-8ED2-4D64-99B9-5D533805632D}" type="presParOf" srcId="{9E2767C0-185B-42D9-B43F-EE2987830817}" destId="{694B6800-ACCC-4637-B5BD-3B2C0511D2C1}" srcOrd="0" destOrd="0" presId="urn:microsoft.com/office/officeart/2005/8/layout/orgChart1"/>
    <dgm:cxn modelId="{15B78009-EF12-453E-BB51-CF242FC5C185}" type="presParOf" srcId="{9E2767C0-185B-42D9-B43F-EE2987830817}" destId="{A0BCFCE0-4FFD-4FDF-B0C9-0C2602F8946B}" srcOrd="1" destOrd="0" presId="urn:microsoft.com/office/officeart/2005/8/layout/orgChart1"/>
    <dgm:cxn modelId="{521634E5-2563-434B-A4BE-D3FD4672D591}" type="presParOf" srcId="{A0BCFCE0-4FFD-4FDF-B0C9-0C2602F8946B}" destId="{42B5F741-73DD-45CF-B5F8-6B9AB3B26605}" srcOrd="0" destOrd="0" presId="urn:microsoft.com/office/officeart/2005/8/layout/orgChart1"/>
    <dgm:cxn modelId="{9049F275-D792-46CB-B81F-DAE818474C30}" type="presParOf" srcId="{42B5F741-73DD-45CF-B5F8-6B9AB3B26605}" destId="{417DBE25-C3A4-4AB3-8BB9-CD023450FCD2}" srcOrd="0" destOrd="0" presId="urn:microsoft.com/office/officeart/2005/8/layout/orgChart1"/>
    <dgm:cxn modelId="{88554BCE-290B-4A27-A47E-349FCE225B66}" type="presParOf" srcId="{42B5F741-73DD-45CF-B5F8-6B9AB3B26605}" destId="{ECE78534-CA9D-4EAB-9310-22D5E3C3DD7B}" srcOrd="1" destOrd="0" presId="urn:microsoft.com/office/officeart/2005/8/layout/orgChart1"/>
    <dgm:cxn modelId="{F0345607-1164-4620-80A2-E9CFBE48919E}" type="presParOf" srcId="{A0BCFCE0-4FFD-4FDF-B0C9-0C2602F8946B}" destId="{D154E1B2-9814-4CB0-89DC-B16A124C0331}" srcOrd="1" destOrd="0" presId="urn:microsoft.com/office/officeart/2005/8/layout/orgChart1"/>
    <dgm:cxn modelId="{ACD7A205-6697-4BED-9AB2-3EAFFCBC86C2}" type="presParOf" srcId="{A0BCFCE0-4FFD-4FDF-B0C9-0C2602F8946B}" destId="{3EDA4809-4540-4754-A488-5887BC4B8419}" srcOrd="2" destOrd="0" presId="urn:microsoft.com/office/officeart/2005/8/layout/orgChart1"/>
    <dgm:cxn modelId="{C2EB13C3-8604-4702-93EB-5769689BBF65}" type="presParOf" srcId="{9E2767C0-185B-42D9-B43F-EE2987830817}" destId="{46788EAE-D72C-437E-9BE5-3B3471BB26E5}" srcOrd="2" destOrd="0" presId="urn:microsoft.com/office/officeart/2005/8/layout/orgChart1"/>
    <dgm:cxn modelId="{CB388492-2EB2-4863-A327-93B2CC7577FB}" type="presParOf" srcId="{9E2767C0-185B-42D9-B43F-EE2987830817}" destId="{7FB49743-7911-4D24-A5B9-EB089D0AEEA4}" srcOrd="3" destOrd="0" presId="urn:microsoft.com/office/officeart/2005/8/layout/orgChart1"/>
    <dgm:cxn modelId="{D8637239-A860-43C2-9480-ED702526C622}" type="presParOf" srcId="{7FB49743-7911-4D24-A5B9-EB089D0AEEA4}" destId="{2FD19B34-FE5B-44B3-8A1E-1AE3103FE573}" srcOrd="0" destOrd="0" presId="urn:microsoft.com/office/officeart/2005/8/layout/orgChart1"/>
    <dgm:cxn modelId="{2F731F0E-908E-484F-B14A-F5EAF8BC6A89}" type="presParOf" srcId="{2FD19B34-FE5B-44B3-8A1E-1AE3103FE573}" destId="{F2285E7C-BCCA-4349-B37F-2B46130CCC77}" srcOrd="0" destOrd="0" presId="urn:microsoft.com/office/officeart/2005/8/layout/orgChart1"/>
    <dgm:cxn modelId="{74E621C6-1BFA-4F84-A0FA-CC067CBCDC49}" type="presParOf" srcId="{2FD19B34-FE5B-44B3-8A1E-1AE3103FE573}" destId="{421F0389-5AB8-4477-8B6E-5BEA0CE29564}" srcOrd="1" destOrd="0" presId="urn:microsoft.com/office/officeart/2005/8/layout/orgChart1"/>
    <dgm:cxn modelId="{B0927A38-A40E-4ACD-96D5-B2EE6FCAE253}" type="presParOf" srcId="{7FB49743-7911-4D24-A5B9-EB089D0AEEA4}" destId="{A0403BDD-6427-4D95-A3DA-3FB888706E5E}" srcOrd="1" destOrd="0" presId="urn:microsoft.com/office/officeart/2005/8/layout/orgChart1"/>
    <dgm:cxn modelId="{C2687612-8361-4418-9209-98A9EA5A7FBF}" type="presParOf" srcId="{7FB49743-7911-4D24-A5B9-EB089D0AEEA4}" destId="{B90BFED3-1C75-4302-A335-8491CBCD494D}" srcOrd="2" destOrd="0" presId="urn:microsoft.com/office/officeart/2005/8/layout/orgChart1"/>
    <dgm:cxn modelId="{CAC76120-1EB4-4FAC-B807-5B6097268945}" type="presParOf" srcId="{DC8EE35F-6666-4283-833A-EEBE72B057B5}" destId="{F52E2576-378D-4EDA-B51D-7078F319D5A3}" srcOrd="2" destOrd="0" presId="urn:microsoft.com/office/officeart/2005/8/layout/orgChart1"/>
    <dgm:cxn modelId="{BD375B6A-8143-4C10-8CDB-50F009C7BF5F}" type="presParOf" srcId="{EBD626DC-2B87-4575-A6DC-CAF40C425AE7}" destId="{1E078AE5-75A3-4E76-9B57-E280F4EB987C}" srcOrd="4" destOrd="0" presId="urn:microsoft.com/office/officeart/2005/8/layout/orgChart1"/>
    <dgm:cxn modelId="{C35BB0BF-F4C6-4D07-8925-8842BDBCE7A0}" type="presParOf" srcId="{EBD626DC-2B87-4575-A6DC-CAF40C425AE7}" destId="{D15E1AF8-5301-4065-AEFD-507293A25AB6}" srcOrd="5" destOrd="0" presId="urn:microsoft.com/office/officeart/2005/8/layout/orgChart1"/>
    <dgm:cxn modelId="{E197196A-5CC4-469E-B114-501157E4BA5C}" type="presParOf" srcId="{D15E1AF8-5301-4065-AEFD-507293A25AB6}" destId="{9F0B6E31-4D95-4A58-8FE6-183EA5593833}" srcOrd="0" destOrd="0" presId="urn:microsoft.com/office/officeart/2005/8/layout/orgChart1"/>
    <dgm:cxn modelId="{EFD3CD65-1586-4DAA-B79F-29DE28641AC3}" type="presParOf" srcId="{9F0B6E31-4D95-4A58-8FE6-183EA5593833}" destId="{0611EA8B-2F11-4ED9-9D5B-F2DF6A7BF47D}" srcOrd="0" destOrd="0" presId="urn:microsoft.com/office/officeart/2005/8/layout/orgChart1"/>
    <dgm:cxn modelId="{8545180B-5D10-4ECE-91C3-C489A71C0231}" type="presParOf" srcId="{9F0B6E31-4D95-4A58-8FE6-183EA5593833}" destId="{8F056BA1-7E31-4AA6-A920-8AEADA0BC32A}" srcOrd="1" destOrd="0" presId="urn:microsoft.com/office/officeart/2005/8/layout/orgChart1"/>
    <dgm:cxn modelId="{ED94D453-0E0F-462A-AA72-9106332FF639}" type="presParOf" srcId="{D15E1AF8-5301-4065-AEFD-507293A25AB6}" destId="{07D98939-C05A-4C78-B6B6-36D8B89A3C28}" srcOrd="1" destOrd="0" presId="urn:microsoft.com/office/officeart/2005/8/layout/orgChart1"/>
    <dgm:cxn modelId="{0514E5DE-4C7B-42C5-A3EA-F649DE293C0C}" type="presParOf" srcId="{D15E1AF8-5301-4065-AEFD-507293A25AB6}" destId="{CEAB0DC0-7E91-4EFC-A745-3295D1A208CE}" srcOrd="2" destOrd="0" presId="urn:microsoft.com/office/officeart/2005/8/layout/orgChart1"/>
    <dgm:cxn modelId="{CC953212-9F59-456A-A3AC-F195171831E7}" type="presParOf" srcId="{854D4969-F811-4D12-97D8-E480964A342A}" destId="{8C91C3DF-42E4-48DD-A29D-539CED7F7B0D}" srcOrd="2" destOrd="0" presId="urn:microsoft.com/office/officeart/2005/8/layout/orgChart1"/>
    <dgm:cxn modelId="{36F62B74-F5E6-4D30-A3AD-540E7932F08D}" type="presParOf" srcId="{8C91C3DF-42E4-48DD-A29D-539CED7F7B0D}" destId="{3B138611-65C5-4DA5-8BC6-011A8491E550}" srcOrd="0" destOrd="0" presId="urn:microsoft.com/office/officeart/2005/8/layout/orgChart1"/>
    <dgm:cxn modelId="{1DD856D5-9998-4025-AC2E-B2BE27D32072}" type="presParOf" srcId="{8C91C3DF-42E4-48DD-A29D-539CED7F7B0D}" destId="{5057D0C8-A2C0-4C65-8A62-9AE072A0E063}" srcOrd="1" destOrd="0" presId="urn:microsoft.com/office/officeart/2005/8/layout/orgChart1"/>
    <dgm:cxn modelId="{B7F05447-6C54-47DF-8526-C5819ACBFF4E}" type="presParOf" srcId="{5057D0C8-A2C0-4C65-8A62-9AE072A0E063}" destId="{45EA8111-4EED-4E48-936A-490BB164F18D}" srcOrd="0" destOrd="0" presId="urn:microsoft.com/office/officeart/2005/8/layout/orgChart1"/>
    <dgm:cxn modelId="{1C85D471-7548-48DA-B8F6-A297AE8BE05D}" type="presParOf" srcId="{45EA8111-4EED-4E48-936A-490BB164F18D}" destId="{C6858E30-CED8-4497-AC5C-87E3B976A589}" srcOrd="0" destOrd="0" presId="urn:microsoft.com/office/officeart/2005/8/layout/orgChart1"/>
    <dgm:cxn modelId="{CEC78E2A-7FC8-4F68-B714-4B7DF6DF71EF}" type="presParOf" srcId="{45EA8111-4EED-4E48-936A-490BB164F18D}" destId="{75445CF7-EBB6-4806-82A6-743AAB9D3902}" srcOrd="1" destOrd="0" presId="urn:microsoft.com/office/officeart/2005/8/layout/orgChart1"/>
    <dgm:cxn modelId="{360E39DB-4B43-4E42-96C1-F83CE8A686A6}" type="presParOf" srcId="{5057D0C8-A2C0-4C65-8A62-9AE072A0E063}" destId="{9EBBFC6B-68E4-4F6E-9B3B-256F699D86EF}" srcOrd="1" destOrd="0" presId="urn:microsoft.com/office/officeart/2005/8/layout/orgChart1"/>
    <dgm:cxn modelId="{ED366B3B-7EF8-410A-B8A7-775DA1BC57F3}" type="presParOf" srcId="{5057D0C8-A2C0-4C65-8A62-9AE072A0E063}" destId="{4A9DE948-6BBA-47E3-B5E9-12509B16D14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38611-65C5-4DA5-8BC6-011A8491E550}">
      <dsp:nvSpPr>
        <dsp:cNvPr id="0" name=""/>
        <dsp:cNvSpPr/>
      </dsp:nvSpPr>
      <dsp:spPr>
        <a:xfrm>
          <a:off x="2573001" y="402295"/>
          <a:ext cx="108479" cy="370766"/>
        </a:xfrm>
        <a:custGeom>
          <a:avLst/>
          <a:gdLst/>
          <a:ahLst/>
          <a:cxnLst/>
          <a:rect l="0" t="0" r="0" b="0"/>
          <a:pathLst>
            <a:path>
              <a:moveTo>
                <a:pt x="124839" y="0"/>
              </a:moveTo>
              <a:lnTo>
                <a:pt x="124839" y="426680"/>
              </a:lnTo>
              <a:lnTo>
                <a:pt x="0" y="426680"/>
              </a:lnTo>
            </a:path>
          </a:pathLst>
        </a:custGeom>
        <a:noFill/>
        <a:ln w="15875"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E078AE5-75A3-4E76-9B57-E280F4EB987C}">
      <dsp:nvSpPr>
        <dsp:cNvPr id="0" name=""/>
        <dsp:cNvSpPr/>
      </dsp:nvSpPr>
      <dsp:spPr>
        <a:xfrm>
          <a:off x="2681481" y="402295"/>
          <a:ext cx="1153535" cy="750365"/>
        </a:xfrm>
        <a:custGeom>
          <a:avLst/>
          <a:gdLst/>
          <a:ahLst/>
          <a:cxnLst/>
          <a:rect l="0" t="0" r="0" b="0"/>
          <a:pathLst>
            <a:path>
              <a:moveTo>
                <a:pt x="0" y="0"/>
              </a:moveTo>
              <a:lnTo>
                <a:pt x="0" y="755352"/>
              </a:lnTo>
              <a:lnTo>
                <a:pt x="1193476" y="755352"/>
              </a:lnTo>
              <a:lnTo>
                <a:pt x="1193476" y="852565"/>
              </a:lnTo>
            </a:path>
          </a:pathLst>
        </a:custGeom>
        <a:noFill/>
        <a:ln w="15875"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6788EAE-D72C-437E-9BE5-3B3471BB26E5}">
      <dsp:nvSpPr>
        <dsp:cNvPr id="0" name=""/>
        <dsp:cNvSpPr/>
      </dsp:nvSpPr>
      <dsp:spPr>
        <a:xfrm>
          <a:off x="2194223" y="1545390"/>
          <a:ext cx="125351" cy="941971"/>
        </a:xfrm>
        <a:custGeom>
          <a:avLst/>
          <a:gdLst/>
          <a:ahLst/>
          <a:cxnLst/>
          <a:rect l="0" t="0" r="0" b="0"/>
          <a:pathLst>
            <a:path>
              <a:moveTo>
                <a:pt x="0" y="0"/>
              </a:moveTo>
              <a:lnTo>
                <a:pt x="0" y="1084028"/>
              </a:lnTo>
              <a:lnTo>
                <a:pt x="138875" y="1084028"/>
              </a:lnTo>
            </a:path>
          </a:pathLst>
        </a:custGeom>
        <a:no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94B6800-ACCC-4637-B5BD-3B2C0511D2C1}">
      <dsp:nvSpPr>
        <dsp:cNvPr id="0" name=""/>
        <dsp:cNvSpPr/>
      </dsp:nvSpPr>
      <dsp:spPr>
        <a:xfrm>
          <a:off x="2194223" y="1545390"/>
          <a:ext cx="125351" cy="370074"/>
        </a:xfrm>
        <a:custGeom>
          <a:avLst/>
          <a:gdLst/>
          <a:ahLst/>
          <a:cxnLst/>
          <a:rect l="0" t="0" r="0" b="0"/>
          <a:pathLst>
            <a:path>
              <a:moveTo>
                <a:pt x="0" y="0"/>
              </a:moveTo>
              <a:lnTo>
                <a:pt x="0" y="425884"/>
              </a:lnTo>
              <a:lnTo>
                <a:pt x="138875" y="425884"/>
              </a:lnTo>
            </a:path>
          </a:pathLst>
        </a:custGeom>
        <a:no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0CDCE1-3F4B-48B3-AD70-3A41B8EFE1E4}">
      <dsp:nvSpPr>
        <dsp:cNvPr id="0" name=""/>
        <dsp:cNvSpPr/>
      </dsp:nvSpPr>
      <dsp:spPr>
        <a:xfrm>
          <a:off x="2528494" y="402295"/>
          <a:ext cx="152987" cy="740840"/>
        </a:xfrm>
        <a:custGeom>
          <a:avLst/>
          <a:gdLst/>
          <a:ahLst/>
          <a:cxnLst/>
          <a:rect l="0" t="0" r="0" b="0"/>
          <a:pathLst>
            <a:path>
              <a:moveTo>
                <a:pt x="171575" y="0"/>
              </a:moveTo>
              <a:lnTo>
                <a:pt x="171575" y="755352"/>
              </a:lnTo>
              <a:lnTo>
                <a:pt x="0" y="755352"/>
              </a:lnTo>
              <a:lnTo>
                <a:pt x="0" y="852565"/>
              </a:lnTo>
            </a:path>
          </a:pathLst>
        </a:custGeom>
        <a:noFill/>
        <a:ln w="635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miter lim="800000"/>
        </a:ln>
        <a:effectLst/>
      </dsp:spPr>
      <dsp:style>
        <a:lnRef idx="2">
          <a:scrgbClr r="0" g="0" b="0"/>
        </a:lnRef>
        <a:fillRef idx="0">
          <a:scrgbClr r="0" g="0" b="0"/>
        </a:fillRef>
        <a:effectRef idx="0">
          <a:scrgbClr r="0" g="0" b="0"/>
        </a:effectRef>
        <a:fontRef idx="minor"/>
      </dsp:style>
    </dsp:sp>
    <dsp:sp modelId="{7D4FF0D6-B647-4E2F-9A46-454CF8176A60}">
      <dsp:nvSpPr>
        <dsp:cNvPr id="0" name=""/>
        <dsp:cNvSpPr/>
      </dsp:nvSpPr>
      <dsp:spPr>
        <a:xfrm>
          <a:off x="1050188" y="1545390"/>
          <a:ext cx="120676" cy="986392"/>
        </a:xfrm>
        <a:custGeom>
          <a:avLst/>
          <a:gdLst/>
          <a:ahLst/>
          <a:cxnLst/>
          <a:rect l="0" t="0" r="0" b="0"/>
          <a:pathLst>
            <a:path>
              <a:moveTo>
                <a:pt x="0" y="0"/>
              </a:moveTo>
              <a:lnTo>
                <a:pt x="0" y="1135148"/>
              </a:lnTo>
              <a:lnTo>
                <a:pt x="138875" y="1135148"/>
              </a:lnTo>
            </a:path>
          </a:pathLst>
        </a:custGeom>
        <a:no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D52B66D-B8E4-4E0F-871E-8D325CB579B2}">
      <dsp:nvSpPr>
        <dsp:cNvPr id="0" name=""/>
        <dsp:cNvSpPr/>
      </dsp:nvSpPr>
      <dsp:spPr>
        <a:xfrm>
          <a:off x="1050188" y="1545390"/>
          <a:ext cx="120676" cy="370074"/>
        </a:xfrm>
        <a:custGeom>
          <a:avLst/>
          <a:gdLst/>
          <a:ahLst/>
          <a:cxnLst/>
          <a:rect l="0" t="0" r="0" b="0"/>
          <a:pathLst>
            <a:path>
              <a:moveTo>
                <a:pt x="0" y="0"/>
              </a:moveTo>
              <a:lnTo>
                <a:pt x="0" y="425884"/>
              </a:lnTo>
              <a:lnTo>
                <a:pt x="138875" y="425884"/>
              </a:lnTo>
            </a:path>
          </a:pathLst>
        </a:custGeom>
        <a:no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7DC6F22-01C4-4E9E-8B6F-48CE657B0E24}">
      <dsp:nvSpPr>
        <dsp:cNvPr id="0" name=""/>
        <dsp:cNvSpPr/>
      </dsp:nvSpPr>
      <dsp:spPr>
        <a:xfrm>
          <a:off x="1371992" y="402295"/>
          <a:ext cx="1309489" cy="740840"/>
        </a:xfrm>
        <a:custGeom>
          <a:avLst/>
          <a:gdLst/>
          <a:ahLst/>
          <a:cxnLst/>
          <a:rect l="0" t="0" r="0" b="0"/>
          <a:pathLst>
            <a:path>
              <a:moveTo>
                <a:pt x="1493521" y="0"/>
              </a:moveTo>
              <a:lnTo>
                <a:pt x="1493521" y="755352"/>
              </a:lnTo>
              <a:lnTo>
                <a:pt x="0" y="755352"/>
              </a:lnTo>
              <a:lnTo>
                <a:pt x="0" y="852565"/>
              </a:lnTo>
            </a:path>
          </a:pathLst>
        </a:custGeom>
        <a:noFill/>
        <a:ln w="15875"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AAE7276-AEF8-4967-9FEE-470E71B04B18}">
      <dsp:nvSpPr>
        <dsp:cNvPr id="0" name=""/>
        <dsp:cNvSpPr/>
      </dsp:nvSpPr>
      <dsp:spPr>
        <a:xfrm>
          <a:off x="2113695" y="41"/>
          <a:ext cx="1135572"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Общее собрание акционеров</a:t>
          </a:r>
        </a:p>
      </dsp:txBody>
      <dsp:txXfrm>
        <a:off x="2113695" y="41"/>
        <a:ext cx="1135572" cy="402254"/>
      </dsp:txXfrm>
    </dsp:sp>
    <dsp:sp modelId="{C372FDED-3B9C-4AD8-BC8E-76D7ADACF430}">
      <dsp:nvSpPr>
        <dsp:cNvPr id="0" name=""/>
        <dsp:cNvSpPr/>
      </dsp:nvSpPr>
      <dsp:spPr>
        <a:xfrm>
          <a:off x="969737" y="1143135"/>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Правление</a:t>
          </a:r>
        </a:p>
      </dsp:txBody>
      <dsp:txXfrm>
        <a:off x="969737" y="1143135"/>
        <a:ext cx="804509" cy="402254"/>
      </dsp:txXfrm>
    </dsp:sp>
    <dsp:sp modelId="{9DEE60ED-7F4A-486E-8305-FEDFBEC49459}">
      <dsp:nvSpPr>
        <dsp:cNvPr id="0" name=""/>
        <dsp:cNvSpPr/>
      </dsp:nvSpPr>
      <dsp:spPr>
        <a:xfrm>
          <a:off x="1170864" y="1714337"/>
          <a:ext cx="933624"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Вице-президент</a:t>
          </a:r>
        </a:p>
      </dsp:txBody>
      <dsp:txXfrm>
        <a:off x="1170864" y="1714337"/>
        <a:ext cx="933624" cy="402254"/>
      </dsp:txXfrm>
    </dsp:sp>
    <dsp:sp modelId="{D4B60EB8-FF51-4F5F-872B-C24F4A24B951}">
      <dsp:nvSpPr>
        <dsp:cNvPr id="0" name=""/>
        <dsp:cNvSpPr/>
      </dsp:nvSpPr>
      <dsp:spPr>
        <a:xfrm>
          <a:off x="1170864" y="2285538"/>
          <a:ext cx="979763" cy="492488"/>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Ревизионная комиссия</a:t>
          </a:r>
        </a:p>
      </dsp:txBody>
      <dsp:txXfrm>
        <a:off x="1170864" y="2285538"/>
        <a:ext cx="979763" cy="492488"/>
      </dsp:txXfrm>
    </dsp:sp>
    <dsp:sp modelId="{5BC890AB-8736-493A-AD11-96EDB5E84205}">
      <dsp:nvSpPr>
        <dsp:cNvPr id="0" name=""/>
        <dsp:cNvSpPr/>
      </dsp:nvSpPr>
      <dsp:spPr>
        <a:xfrm>
          <a:off x="2110656" y="1143135"/>
          <a:ext cx="835675"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Президент</a:t>
          </a:r>
        </a:p>
      </dsp:txBody>
      <dsp:txXfrm>
        <a:off x="2110656" y="1143135"/>
        <a:ext cx="835675" cy="402254"/>
      </dsp:txXfrm>
    </dsp:sp>
    <dsp:sp modelId="{417DBE25-C3A4-4AB3-8BB9-CD023450FCD2}">
      <dsp:nvSpPr>
        <dsp:cNvPr id="0" name=""/>
        <dsp:cNvSpPr/>
      </dsp:nvSpPr>
      <dsp:spPr>
        <a:xfrm>
          <a:off x="2319575" y="1714337"/>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Филиалы</a:t>
          </a:r>
        </a:p>
      </dsp:txBody>
      <dsp:txXfrm>
        <a:off x="2319575" y="1714337"/>
        <a:ext cx="804509" cy="402254"/>
      </dsp:txXfrm>
    </dsp:sp>
    <dsp:sp modelId="{F2285E7C-BCCA-4349-B37F-2B46130CCC77}">
      <dsp:nvSpPr>
        <dsp:cNvPr id="0" name=""/>
        <dsp:cNvSpPr/>
      </dsp:nvSpPr>
      <dsp:spPr>
        <a:xfrm>
          <a:off x="2319575" y="2286234"/>
          <a:ext cx="1013995"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Исполнители</a:t>
          </a:r>
        </a:p>
      </dsp:txBody>
      <dsp:txXfrm>
        <a:off x="2319575" y="2286234"/>
        <a:ext cx="1013995" cy="402254"/>
      </dsp:txXfrm>
    </dsp:sp>
    <dsp:sp modelId="{0611EA8B-2F11-4ED9-9D5B-F2DF6A7BF47D}">
      <dsp:nvSpPr>
        <dsp:cNvPr id="0" name=""/>
        <dsp:cNvSpPr/>
      </dsp:nvSpPr>
      <dsp:spPr>
        <a:xfrm>
          <a:off x="3220050" y="1152661"/>
          <a:ext cx="1229933" cy="555356"/>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Дочерние и зависимые общества</a:t>
          </a:r>
        </a:p>
      </dsp:txBody>
      <dsp:txXfrm>
        <a:off x="3220050" y="1152661"/>
        <a:ext cx="1229933" cy="555356"/>
      </dsp:txXfrm>
    </dsp:sp>
    <dsp:sp modelId="{C6858E30-CED8-4497-AC5C-87E3B976A589}">
      <dsp:nvSpPr>
        <dsp:cNvPr id="0" name=""/>
        <dsp:cNvSpPr/>
      </dsp:nvSpPr>
      <dsp:spPr>
        <a:xfrm>
          <a:off x="1768492" y="571934"/>
          <a:ext cx="804509" cy="402254"/>
        </a:xfrm>
        <a:prstGeom prst="rect">
          <a:avLst/>
        </a:prstGeom>
        <a:solidFill>
          <a:sysClr val="window" lastClr="FFFFFF">
            <a:hueOff val="0"/>
            <a:satOff val="0"/>
            <a:lumOff val="0"/>
            <a:alphaOff val="0"/>
          </a:sysClr>
        </a:solidFill>
        <a:ln w="15875"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Совет директоров</a:t>
          </a:r>
        </a:p>
      </dsp:txBody>
      <dsp:txXfrm>
        <a:off x="1768492" y="571934"/>
        <a:ext cx="804509" cy="4022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Words>8986</Words>
  <Pages>46</Pages>
  <Characters>62766</Characters>
  <Application>WPS Office</Application>
  <DocSecurity>0</DocSecurity>
  <Paragraphs>1107</Paragraphs>
  <ScaleCrop>false</ScaleCrop>
  <LinksUpToDate>false</LinksUpToDate>
  <CharactersWithSpaces>71178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2020-08-19T10:29:00Z</dcterms:created>
  <dc:creator>user</dc:creator>
  <lastModifiedBy>Redmi Note 5A</lastModifiedBy>
  <dcterms:modified xsi:type="dcterms:W3CDTF">2020-08-28T17:00:40Z</dcterms:modified>
  <revision>33</revision>
</coreProperties>
</file>

<file path=docProps/custom.xml><?xml version="1.0" encoding="utf-8"?>
<Properties xmlns="http://schemas.openxmlformats.org/officeDocument/2006/custom-properties" xmlns:vt="http://schemas.openxmlformats.org/officeDocument/2006/docPropsVTypes"/>
</file>