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Ресторан будет предлагать своим посетителям широкий ассортимент блюд кухни в виде шведского стола. В заведении будет находиться бар, в котором представлен выбор напитков, алкогольных и безалкогольных коктейлей.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Ассортимент продукции:</w:t>
      </w:r>
    </w:p>
    <w:p w:rsidR="006167C4" w:rsidRPr="006167C4" w:rsidRDefault="006167C4" w:rsidP="006167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Салаты и холодные закуски</w:t>
      </w:r>
    </w:p>
    <w:p w:rsidR="006167C4" w:rsidRPr="006167C4" w:rsidRDefault="006167C4" w:rsidP="006167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Супы</w:t>
      </w:r>
    </w:p>
    <w:p w:rsidR="006167C4" w:rsidRPr="006167C4" w:rsidRDefault="006167C4" w:rsidP="006167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Вторые горячие блюда и горячие закуски</w:t>
      </w:r>
    </w:p>
    <w:p w:rsidR="006167C4" w:rsidRPr="006167C4" w:rsidRDefault="006167C4" w:rsidP="006167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Десерты, мороженное</w:t>
      </w:r>
    </w:p>
    <w:p w:rsidR="006167C4" w:rsidRPr="006167C4" w:rsidRDefault="006167C4" w:rsidP="006167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Алкогольные и безалкогольные напитки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b/>
          <w:sz w:val="28"/>
        </w:rPr>
        <w:t>Маркетинговый анализ</w:t>
      </w:r>
      <w:r w:rsidRPr="006167C4">
        <w:rPr>
          <w:rFonts w:ascii="Times New Roman" w:eastAsia="Calibri" w:hAnsi="Times New Roman" w:cs="Times New Roman"/>
          <w:sz w:val="28"/>
        </w:rPr>
        <w:t xml:space="preserve">. 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Для обеспечения прибыльности планируемого проекта необходимо применить маркетинговые технологии.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При этом следует разделять методы стимулирования различных категорий потребителей - постоянных и спонтанных.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 xml:space="preserve">Со второй группой - случайными клиентами работать проще. Для них из всех рекламно-маркетинговых средств целесообразно использовать средства наружной рекламы. Обычно это достигается за счет </w:t>
      </w:r>
      <w:proofErr w:type="spellStart"/>
      <w:r w:rsidRPr="006167C4">
        <w:rPr>
          <w:rFonts w:ascii="Times New Roman" w:eastAsia="Calibri" w:hAnsi="Times New Roman" w:cs="Times New Roman"/>
          <w:sz w:val="28"/>
        </w:rPr>
        <w:t>штендера</w:t>
      </w:r>
      <w:proofErr w:type="spellEnd"/>
      <w:r w:rsidRPr="006167C4">
        <w:rPr>
          <w:rFonts w:ascii="Times New Roman" w:eastAsia="Calibri" w:hAnsi="Times New Roman" w:cs="Times New Roman"/>
          <w:sz w:val="28"/>
        </w:rPr>
        <w:t xml:space="preserve"> перед входом (или его аналога - щита на стене, промоутера, раздающего листочки с приглашением посетить ресторан и т.п.).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Для постоянных клиентов продвижение услуги для ресторана будет немного сложнее.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Сначала нужно сделать хороший бизнес-ланч, который включает в себя следующие составляющие: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- цена - та, которую могут заплатить работающие рядом с рестораном,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- разнообразие меню в течение дня и каждый день,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- качество и скорость обслуживания.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Привлечение потенциальных постоянных клиентов и их удержание сводится к следующему.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lastRenderedPageBreak/>
        <w:t xml:space="preserve">При введении услуги бизнес-ланча в виде шведского стола необходимо пройти по близ расположенным офисам. Потенциальных посетителей нужно проинформировать и пригласить клиентов в ресторан, так как большинство из них скорее всего не обратит внимания на появление данной услуги без личного приглашения. Для подкрепления устного приглашения нужно распространить рекламные материалы, содержащие информацию о цене, ассортименте, частоте обновления (меню на неделю), возможность скидок. Для первого посещения такой рекламный листок может являться </w:t>
      </w:r>
      <w:proofErr w:type="spellStart"/>
      <w:r w:rsidRPr="006167C4">
        <w:rPr>
          <w:rFonts w:ascii="Times New Roman" w:eastAsia="Calibri" w:hAnsi="Times New Roman" w:cs="Times New Roman"/>
          <w:sz w:val="28"/>
        </w:rPr>
        <w:t>скидочным</w:t>
      </w:r>
      <w:proofErr w:type="spellEnd"/>
      <w:r w:rsidRPr="006167C4">
        <w:rPr>
          <w:rFonts w:ascii="Times New Roman" w:eastAsia="Calibri" w:hAnsi="Times New Roman" w:cs="Times New Roman"/>
          <w:sz w:val="28"/>
        </w:rPr>
        <w:t xml:space="preserve"> талоном.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Те же самые рекламные материалы можно разместить и внутри заведения на столиках таким образом, чтоб их можно было взять с собой и передать своим коллегам.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Целесообразно делать скидки на коллективные посещения, поскольку обслуживание группы клиентов одновременно легче и выгоднее для ресторана, чем-то же количество посетителей, «растянутое» в течении дня.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Поскольку в ресторанах, расположенных в зоне деловой застройки, люди часто еще и завтракают можно попробовать соединить эти услуги в единый пакет. Например, сделать совместную скидку при пользовании обеими услугами.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Необходимо примечать и поощрять своих самых постоянных клиентов, предоставив скидку или небольшой презент за счет заведения (например, бесплатное блюдо или сувенир с фирменным логотипом, бесплатный обед в день рождения).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Также целесообразно разместить рекламные объявления в региональных газетах и местных каналах телевидения. Это хороший повод привлечь внимание к ресторану, а также напомнить о себе.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С целью получения откликов об услуге для ее совершенствования, привлечения более широкого круга потребителей и удержания постоянных необходимо периодически проводить опрос посетителей.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b/>
          <w:sz w:val="28"/>
        </w:rPr>
        <w:t>Производственный план.</w:t>
      </w:r>
      <w:r w:rsidRPr="006167C4">
        <w:rPr>
          <w:rFonts w:ascii="Times New Roman" w:eastAsia="Calibri" w:hAnsi="Times New Roman" w:cs="Times New Roman"/>
          <w:sz w:val="28"/>
        </w:rPr>
        <w:t xml:space="preserve"> 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lastRenderedPageBreak/>
        <w:t>Производственные помещения включают в себя:</w:t>
      </w:r>
    </w:p>
    <w:p w:rsidR="006167C4" w:rsidRPr="006167C4" w:rsidRDefault="006167C4" w:rsidP="006167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заготовочные участки (мясорыбный и овощной цех)</w:t>
      </w:r>
    </w:p>
    <w:p w:rsidR="006167C4" w:rsidRPr="006167C4" w:rsidRDefault="006167C4" w:rsidP="006167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167C4">
        <w:rPr>
          <w:rFonts w:ascii="Times New Roman" w:eastAsia="Calibri" w:hAnsi="Times New Roman" w:cs="Times New Roman"/>
          <w:sz w:val="28"/>
        </w:rPr>
        <w:t>доготовочные</w:t>
      </w:r>
      <w:proofErr w:type="spellEnd"/>
      <w:r w:rsidRPr="006167C4">
        <w:rPr>
          <w:rFonts w:ascii="Times New Roman" w:eastAsia="Calibri" w:hAnsi="Times New Roman" w:cs="Times New Roman"/>
          <w:sz w:val="28"/>
        </w:rPr>
        <w:t xml:space="preserve"> участки (холодный и горячий)</w:t>
      </w:r>
    </w:p>
    <w:p w:rsidR="006167C4" w:rsidRPr="006167C4" w:rsidRDefault="006167C4" w:rsidP="006167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зона для мойки кухонной и столовой посуды.</w:t>
      </w:r>
    </w:p>
    <w:p w:rsidR="006167C4" w:rsidRPr="006167C4" w:rsidRDefault="006167C4" w:rsidP="006167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административно-бытовые помещения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Производственные участки (цеха) располагаются согласно последовательности этапов приготовления блюд, что полностью исключает:</w:t>
      </w:r>
    </w:p>
    <w:p w:rsidR="006167C4" w:rsidRPr="006167C4" w:rsidRDefault="006167C4" w:rsidP="006167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пересечение потоков сырья и готовых блюд,</w:t>
      </w:r>
    </w:p>
    <w:p w:rsidR="006167C4" w:rsidRPr="006167C4" w:rsidRDefault="006167C4" w:rsidP="006167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грязной и чистой посуды,</w:t>
      </w:r>
    </w:p>
    <w:p w:rsidR="006167C4" w:rsidRPr="006167C4" w:rsidRDefault="006167C4" w:rsidP="006167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пути движения работников и посетителей.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b/>
          <w:sz w:val="28"/>
        </w:rPr>
        <w:t>Финансовый план.</w:t>
      </w:r>
      <w:r w:rsidRPr="006167C4">
        <w:rPr>
          <w:rFonts w:ascii="Times New Roman" w:eastAsia="Calibri" w:hAnsi="Times New Roman" w:cs="Times New Roman"/>
          <w:sz w:val="28"/>
        </w:rPr>
        <w:t xml:space="preserve"> 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В таблице приложение А представлен прогноз продаж бизнес-</w:t>
      </w:r>
      <w:proofErr w:type="spellStart"/>
      <w:r w:rsidRPr="006167C4">
        <w:rPr>
          <w:rFonts w:ascii="Times New Roman" w:eastAsia="Calibri" w:hAnsi="Times New Roman" w:cs="Times New Roman"/>
          <w:sz w:val="28"/>
        </w:rPr>
        <w:t>ланчей</w:t>
      </w:r>
      <w:proofErr w:type="spellEnd"/>
      <w:r w:rsidRPr="006167C4">
        <w:rPr>
          <w:rFonts w:ascii="Times New Roman" w:eastAsia="Calibri" w:hAnsi="Times New Roman" w:cs="Times New Roman"/>
          <w:sz w:val="28"/>
        </w:rPr>
        <w:t xml:space="preserve"> в ресторанного комплекса «</w:t>
      </w:r>
      <w:proofErr w:type="spellStart"/>
      <w:r w:rsidRPr="006167C4">
        <w:rPr>
          <w:rFonts w:ascii="Times New Roman" w:eastAsia="Calibri" w:hAnsi="Times New Roman" w:cs="Times New Roman"/>
          <w:sz w:val="28"/>
        </w:rPr>
        <w:t>Rimar</w:t>
      </w:r>
      <w:proofErr w:type="spellEnd"/>
      <w:r w:rsidRPr="006167C4">
        <w:rPr>
          <w:rFonts w:ascii="Times New Roman" w:eastAsia="Calibri" w:hAnsi="Times New Roman" w:cs="Times New Roman"/>
          <w:sz w:val="28"/>
        </w:rPr>
        <w:t>» по каждому месяцу года на основании конфигурации графика «Жизненный цикл товара»; рассчитываются переменные расходы на производство товара в рамках каждого месяца планируемого года; определяются затраты каждой составляющей постоянных расходов по каждому месяцу; устанавливается процент налога на добавленную стоимость соответствующий рассматриваемому организационно-правовому статусу фирмы и виду товара; устанавливается процент налога на прибыль;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Определяются: доходы от продаж; валовая прибыль; сумма постоянных расходов; величина налога на добавленную стоимость; величина налога на прибыль; чистая прибыль.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Необходимо также разработать «План поступлений и выплат», который позволяет планировать денежную наличность. Он разрабатывается на основе «Плана доходов и расходов» (Приложение Б)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Переменные расходы на производство товара в рамках каждого месяца планируемого года рассчитаны по средним ценам поставщиков.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lastRenderedPageBreak/>
        <w:t>Затраты каждой составляющей постоянных расходов по каждому месяцу также установлены на одном уровне без изменений в течение года.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Процент налога на добавленную стоимость составляет 18%, процент налога на прибыль - 24%.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Ресторан «</w:t>
      </w:r>
      <w:proofErr w:type="spellStart"/>
      <w:r w:rsidRPr="006167C4">
        <w:rPr>
          <w:rFonts w:ascii="Times New Roman" w:eastAsia="Calibri" w:hAnsi="Times New Roman" w:cs="Times New Roman"/>
          <w:sz w:val="28"/>
          <w:lang w:val="en-US"/>
        </w:rPr>
        <w:t>Rimar</w:t>
      </w:r>
      <w:proofErr w:type="spellEnd"/>
      <w:r w:rsidRPr="006167C4">
        <w:rPr>
          <w:rFonts w:ascii="Times New Roman" w:eastAsia="Calibri" w:hAnsi="Times New Roman" w:cs="Times New Roman"/>
          <w:sz w:val="28"/>
        </w:rPr>
        <w:t>» финансирует проект совместно из собственных и заемных источников, величина получения ссуд в коммерческих банках составляет 37 500 рублей.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Чистая прибыль определена путем вычета суммы затрат и обязательных выплат из суммы выручки (доходов от продаж) и составит за полный финансовый год 661 496 рублей. Данная сумма может расходоваться на: обновление оборудования, единовременные выплаты работникам по итогам работы, на оплату повышения квалификации работников, на оплату лечения и санаторно-курортного обслуживания работников.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b/>
          <w:sz w:val="28"/>
        </w:rPr>
        <w:t>Риски, связанные с проектом.</w:t>
      </w:r>
      <w:r w:rsidRPr="006167C4">
        <w:rPr>
          <w:rFonts w:ascii="Times New Roman" w:eastAsia="Calibri" w:hAnsi="Times New Roman" w:cs="Times New Roman"/>
          <w:sz w:val="28"/>
        </w:rPr>
        <w:t xml:space="preserve"> 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В ходе принятия решений возникает множество проблем и связанных с ними потерь различных средств.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В связи с этим различают следующие виды рисков: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Инфляционный (изменение курсов валют, налогового законодательства и т.п.).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Операционный (неблагоприятные изменения среды, которая влияет на различные операции, проводимые предприятием).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Финансовый (сокращение доходов, увеличение затрат, уменьшение фондов, увеличение задолженности).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Финансовые потери являются наиболее реально ощутимыми.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Оценки показателей риска: 1-минимальная, 2-небольшая, 3-средняя, 4-довольно большая, 5-большая. (Приложение В)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Практически все перечисленные виды риска требуют осуществления мероприятий, способствующих их предупреждению или предотвращению.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Ресторан «</w:t>
      </w:r>
      <w:proofErr w:type="spellStart"/>
      <w:r w:rsidRPr="006167C4">
        <w:rPr>
          <w:rFonts w:ascii="Times New Roman" w:eastAsia="Calibri" w:hAnsi="Times New Roman" w:cs="Times New Roman"/>
          <w:sz w:val="28"/>
          <w:lang w:val="en-US"/>
        </w:rPr>
        <w:t>Rimar</w:t>
      </w:r>
      <w:proofErr w:type="spellEnd"/>
      <w:r w:rsidRPr="006167C4">
        <w:rPr>
          <w:rFonts w:ascii="Times New Roman" w:eastAsia="Calibri" w:hAnsi="Times New Roman" w:cs="Times New Roman"/>
          <w:sz w:val="28"/>
        </w:rPr>
        <w:t>» может разработать «Программу управления рисками»: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Определение рисков, которые могут вызвать потери.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lastRenderedPageBreak/>
        <w:t>Оценка того, насколько серьезными могут быть эти потери.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Выбор оптимального способа обращения с каждым отдельно взятым риском. Оптимальная комбинация методов управления рисками: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Полное избежание риска.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Уменьшение риска через самострахование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Предупреждение наступления потерь, уменьшение вероятности их появления или степени серьезности.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Переложение риска на других путем страхования.</w:t>
      </w:r>
    </w:p>
    <w:p w:rsidR="006167C4" w:rsidRPr="006167C4" w:rsidRDefault="006167C4" w:rsidP="006167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b/>
          <w:sz w:val="28"/>
        </w:rPr>
        <w:t>Эффективность проекта.</w:t>
      </w:r>
      <w:r w:rsidRPr="006167C4">
        <w:rPr>
          <w:rFonts w:ascii="Times New Roman" w:eastAsia="Calibri" w:hAnsi="Times New Roman" w:cs="Times New Roman"/>
          <w:sz w:val="28"/>
        </w:rPr>
        <w:t xml:space="preserve"> Чтобы оценить эффективность проекта были рассчитаны показатели: </w:t>
      </w:r>
    </w:p>
    <w:p w:rsidR="006167C4" w:rsidRPr="006167C4" w:rsidRDefault="006167C4" w:rsidP="006167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 xml:space="preserve">чистый дисконтированный доход (NPV) = </w:t>
      </w:r>
      <w:proofErr w:type="gramStart"/>
      <w:r w:rsidRPr="006167C4">
        <w:rPr>
          <w:rFonts w:ascii="Times New Roman" w:eastAsia="Calibri" w:hAnsi="Times New Roman" w:cs="Times New Roman"/>
          <w:sz w:val="28"/>
        </w:rPr>
        <w:t>76536 &gt;</w:t>
      </w:r>
      <w:proofErr w:type="gramEnd"/>
      <w:r w:rsidRPr="006167C4">
        <w:rPr>
          <w:rFonts w:ascii="Times New Roman" w:eastAsia="Calibri" w:hAnsi="Times New Roman" w:cs="Times New Roman"/>
          <w:sz w:val="28"/>
        </w:rPr>
        <w:t xml:space="preserve"> 0 - то бизнес - проект выгоден;</w:t>
      </w:r>
    </w:p>
    <w:p w:rsidR="006167C4" w:rsidRDefault="006167C4" w:rsidP="006167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167C4">
        <w:rPr>
          <w:rFonts w:ascii="Times New Roman" w:eastAsia="Calibri" w:hAnsi="Times New Roman" w:cs="Times New Roman"/>
          <w:sz w:val="28"/>
        </w:rPr>
        <w:t>внутренняя норма доходности (IRR) = 82 %.</w:t>
      </w:r>
    </w:p>
    <w:p w:rsidR="006167C4" w:rsidRDefault="006167C4" w:rsidP="006167C4">
      <w:pPr>
        <w:jc w:val="right"/>
      </w:pPr>
      <w:r>
        <w:t>Приложение А</w:t>
      </w:r>
    </w:p>
    <w:p w:rsidR="006167C4" w:rsidRPr="004F3628" w:rsidRDefault="006167C4" w:rsidP="006167C4">
      <w:pPr>
        <w:jc w:val="center"/>
        <w:rPr>
          <w:lang w:eastAsia="ru-RU"/>
        </w:rPr>
      </w:pPr>
      <w:r w:rsidRPr="004F3628">
        <w:rPr>
          <w:lang w:eastAsia="ru-RU"/>
        </w:rPr>
        <w:t>План доходов и расходов по месяцам в рамках года (руб.)</w:t>
      </w:r>
    </w:p>
    <w:tbl>
      <w:tblPr>
        <w:tblW w:w="11329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1463"/>
        <w:gridCol w:w="545"/>
        <w:gridCol w:w="545"/>
        <w:gridCol w:w="1057"/>
        <w:gridCol w:w="545"/>
        <w:gridCol w:w="545"/>
        <w:gridCol w:w="768"/>
        <w:gridCol w:w="545"/>
        <w:gridCol w:w="1395"/>
        <w:gridCol w:w="768"/>
        <w:gridCol w:w="545"/>
        <w:gridCol w:w="545"/>
        <w:gridCol w:w="768"/>
        <w:gridCol w:w="784"/>
      </w:tblGrid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№ п/п.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Показатели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Месяцы года (с 01.07.14 по 01.07.15)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Примечание</w:t>
            </w:r>
          </w:p>
        </w:tc>
        <w:tc>
          <w:tcPr>
            <w:tcW w:w="3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Всего: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Количество продаж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2 500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2 700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2 600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2 500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1 700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1 600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1 700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2 000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24 200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 xml:space="preserve">Цена </w:t>
            </w:r>
            <w:proofErr w:type="spellStart"/>
            <w:r w:rsidRPr="004F3628">
              <w:rPr>
                <w:lang w:eastAsia="ru-RU"/>
              </w:rPr>
              <w:t>ед.тов</w:t>
            </w:r>
            <w:proofErr w:type="spellEnd"/>
            <w:r w:rsidRPr="004F3628">
              <w:rPr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Доходы от продаж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300 000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375 000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405 000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390 000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375 000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300 000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255 000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225 000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210 000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240 000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255 000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300 000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3 630 000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Перемен. Расходы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190 000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237 500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256 500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247 000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237 500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190 000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161 500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142 500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133 000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152 000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161 500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190 000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Валовая прибыль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110 000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137 500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148 500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143 000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137 500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110 000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93 500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82 500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77 000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88 000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93 500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110 000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1 331 000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proofErr w:type="spellStart"/>
            <w:r w:rsidRPr="004F3628">
              <w:rPr>
                <w:lang w:eastAsia="ru-RU"/>
              </w:rPr>
              <w:t>Постоян</w:t>
            </w:r>
            <w:proofErr w:type="spellEnd"/>
            <w:r w:rsidRPr="004F3628">
              <w:rPr>
                <w:lang w:eastAsia="ru-RU"/>
              </w:rPr>
              <w:t>. расходы пр.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55 792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669 504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Амортизация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1 458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17 500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Заработная плата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52 800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633 600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Прочие расходы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1 533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18 400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Единый соц. налог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НДС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Налог на прибыль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Единый налог (от ВП)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23 760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23 430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15 180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17 490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6,00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 xml:space="preserve">Единый </w:t>
            </w:r>
            <w:proofErr w:type="spellStart"/>
            <w:r w:rsidRPr="004F3628">
              <w:rPr>
                <w:lang w:eastAsia="ru-RU"/>
              </w:rPr>
              <w:t>соц.налог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3 612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3 612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3 612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3 612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22,80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Налог на доб. стоим.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65182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64276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41644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47981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16,46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Стоимость патента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10 000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92 553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91 318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60 435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69 082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313 389</w:t>
            </w:r>
          </w:p>
        </w:tc>
      </w:tr>
      <w:tr w:rsidR="006167C4" w:rsidRPr="004F3628" w:rsidTr="00737AB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Чистая прибыль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54 208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81 708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92 708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87 208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81 708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54 208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37 708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26 708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21 208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32 208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37 708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54 208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4F3628" w:rsidRDefault="006167C4" w:rsidP="00737ABC">
            <w:pPr>
              <w:spacing w:line="240" w:lineRule="auto"/>
              <w:rPr>
                <w:lang w:eastAsia="ru-RU"/>
              </w:rPr>
            </w:pPr>
            <w:r w:rsidRPr="004F3628">
              <w:rPr>
                <w:lang w:eastAsia="ru-RU"/>
              </w:rPr>
              <w:t>661 496</w:t>
            </w:r>
          </w:p>
        </w:tc>
      </w:tr>
    </w:tbl>
    <w:p w:rsidR="006167C4" w:rsidRDefault="006167C4" w:rsidP="006167C4">
      <w:pPr>
        <w:jc w:val="right"/>
      </w:pPr>
    </w:p>
    <w:p w:rsidR="006167C4" w:rsidRDefault="006167C4" w:rsidP="006167C4">
      <w:r>
        <w:br w:type="page"/>
      </w:r>
    </w:p>
    <w:p w:rsidR="006167C4" w:rsidRDefault="006167C4" w:rsidP="006167C4">
      <w:pPr>
        <w:jc w:val="right"/>
      </w:pPr>
      <w:r>
        <w:lastRenderedPageBreak/>
        <w:t>Приложение Б</w:t>
      </w:r>
    </w:p>
    <w:p w:rsidR="006167C4" w:rsidRPr="00841FD9" w:rsidRDefault="006167C4" w:rsidP="006167C4">
      <w:pPr>
        <w:rPr>
          <w:lang w:eastAsia="ru-RU"/>
        </w:rPr>
      </w:pPr>
      <w:r w:rsidRPr="00841FD9">
        <w:rPr>
          <w:lang w:eastAsia="ru-RU"/>
        </w:rPr>
        <w:t>План поступлений и выплат на первый год по месяцам в рамках года (руб.)</w:t>
      </w:r>
    </w:p>
    <w:tbl>
      <w:tblPr>
        <w:tblW w:w="11399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5"/>
        <w:gridCol w:w="540"/>
        <w:gridCol w:w="540"/>
        <w:gridCol w:w="1054"/>
        <w:gridCol w:w="540"/>
        <w:gridCol w:w="540"/>
        <w:gridCol w:w="1023"/>
        <w:gridCol w:w="892"/>
        <w:gridCol w:w="540"/>
        <w:gridCol w:w="540"/>
        <w:gridCol w:w="540"/>
        <w:gridCol w:w="540"/>
        <w:gridCol w:w="952"/>
        <w:gridCol w:w="662"/>
        <w:gridCol w:w="574"/>
        <w:gridCol w:w="477"/>
      </w:tblGrid>
      <w:tr w:rsidR="006167C4" w:rsidRPr="00841FD9" w:rsidTr="00737ABC">
        <w:trPr>
          <w:gridAfter w:val="1"/>
          <w:wAfter w:w="477" w:type="dxa"/>
        </w:trPr>
        <w:tc>
          <w:tcPr>
            <w:tcW w:w="109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</w:p>
        </w:tc>
      </w:tr>
      <w:tr w:rsidR="006167C4" w:rsidRPr="00841FD9" w:rsidTr="00737ABC">
        <w:trPr>
          <w:gridAfter w:val="2"/>
          <w:wAfter w:w="1051" w:type="dxa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Показатели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Месяцы года (с 01.07.14 по 01.07.15)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Прим</w:t>
            </w:r>
          </w:p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proofErr w:type="spellStart"/>
            <w:r w:rsidRPr="00841FD9">
              <w:rPr>
                <w:lang w:eastAsia="ru-RU"/>
              </w:rPr>
              <w:t>ечание</w:t>
            </w:r>
            <w:proofErr w:type="spellEnd"/>
          </w:p>
        </w:tc>
        <w:tc>
          <w:tcPr>
            <w:tcW w:w="46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Всего: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Среднее: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Поступления </w:t>
            </w:r>
            <w:proofErr w:type="spellStart"/>
            <w:r w:rsidRPr="00841FD9">
              <w:rPr>
                <w:lang w:eastAsia="ru-RU"/>
              </w:rPr>
              <w:t>денеж</w:t>
            </w:r>
            <w:proofErr w:type="spellEnd"/>
            <w:r w:rsidRPr="00841FD9">
              <w:rPr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375 000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405 000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390 000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375 000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300 000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255 000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225 000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210 000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240 000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255 000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300</w:t>
            </w:r>
          </w:p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 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3 660 000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305 000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Расходы денежные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247 844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292 820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404 011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301 958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292 458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336 376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216 458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197 458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260 394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206 958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216 458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344 </w:t>
            </w:r>
          </w:p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666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3 317 861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276 488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proofErr w:type="spellStart"/>
            <w:r w:rsidRPr="00841FD9">
              <w:rPr>
                <w:lang w:eastAsia="ru-RU"/>
              </w:rPr>
              <w:t>Кр</w:t>
            </w:r>
            <w:proofErr w:type="spellEnd"/>
            <w:r w:rsidRPr="00841FD9">
              <w:rPr>
                <w:lang w:eastAsia="ru-RU"/>
              </w:rPr>
              <w:t>: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30 000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12,0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Перемен. расходы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190 000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237 500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256 500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247 000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237 500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190 000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161 500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142 500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133 000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152 000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161 500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190 </w:t>
            </w:r>
          </w:p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%за год: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25,0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Стоимость </w:t>
            </w:r>
            <w:proofErr w:type="spellStart"/>
            <w:r w:rsidRPr="00841FD9">
              <w:rPr>
                <w:lang w:eastAsia="ru-RU"/>
              </w:rPr>
              <w:t>оборуд</w:t>
            </w:r>
            <w:proofErr w:type="spellEnd"/>
            <w:r w:rsidRPr="00841FD9">
              <w:rPr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3 180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265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Стоимость </w:t>
            </w:r>
            <w:proofErr w:type="spellStart"/>
            <w:r w:rsidRPr="00841FD9">
              <w:rPr>
                <w:lang w:eastAsia="ru-RU"/>
              </w:rPr>
              <w:t>инвент</w:t>
            </w:r>
            <w:proofErr w:type="spellEnd"/>
            <w:r w:rsidRPr="00841FD9">
              <w:rPr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331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28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Прочие расходы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18 400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1 533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Заработная плата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633 600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52 800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lastRenderedPageBreak/>
              <w:t>Единый соц. налог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Налог на </w:t>
            </w:r>
            <w:proofErr w:type="spellStart"/>
            <w:r w:rsidRPr="00841FD9">
              <w:rPr>
                <w:lang w:eastAsia="ru-RU"/>
              </w:rPr>
              <w:t>доб.стоим</w:t>
            </w:r>
            <w:proofErr w:type="spellEnd"/>
            <w:r w:rsidRPr="00841FD9">
              <w:rPr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Налог на прибыль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Единый налог (от ВП)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23 760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23 430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15 180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17 490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79 860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6 655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Единый </w:t>
            </w:r>
            <w:proofErr w:type="spellStart"/>
            <w:r w:rsidRPr="00841FD9">
              <w:rPr>
                <w:lang w:eastAsia="ru-RU"/>
              </w:rPr>
              <w:t>соц.налог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3 612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3 612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3 612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3 612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14 446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1 204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Налог на доб. стоим.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65 182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64 276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41 644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47 981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219 083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18 257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proofErr w:type="spellStart"/>
            <w:r w:rsidRPr="00841FD9">
              <w:rPr>
                <w:lang w:eastAsia="ru-RU"/>
              </w:rPr>
              <w:t>Выплота</w:t>
            </w:r>
            <w:proofErr w:type="spellEnd"/>
            <w:r w:rsidRPr="00841FD9">
              <w:rPr>
                <w:lang w:eastAsia="ru-RU"/>
              </w:rPr>
              <w:t xml:space="preserve"> долгов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Плата за риск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362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12 000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12 462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 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Выплата по кредиту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625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31 250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37 500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37 500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Прирост </w:t>
            </w:r>
            <w:proofErr w:type="spellStart"/>
            <w:r w:rsidRPr="00841FD9">
              <w:rPr>
                <w:lang w:eastAsia="ru-RU"/>
              </w:rPr>
              <w:t>денеж.нал</w:t>
            </w:r>
            <w:proofErr w:type="spellEnd"/>
            <w:r w:rsidRPr="00841FD9">
              <w:rPr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82 156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82 180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989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88 042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82 542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-36 376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38 542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27 542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-50 394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33 042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38 542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-44 666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342 139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28 512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 xml:space="preserve">Остаток на </w:t>
            </w:r>
            <w:proofErr w:type="spellStart"/>
            <w:r w:rsidRPr="00841FD9">
              <w:rPr>
                <w:lang w:eastAsia="ru-RU"/>
              </w:rPr>
              <w:t>нач.мес</w:t>
            </w:r>
            <w:proofErr w:type="spellEnd"/>
            <w:r w:rsidRPr="00841FD9">
              <w:rPr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83 156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165 335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166 324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254 366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336 907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300 531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339 073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366 615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316 221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349 263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387 804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1 000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СД или ОК</w:t>
            </w:r>
          </w:p>
        </w:tc>
      </w:tr>
      <w:tr w:rsidR="006167C4" w:rsidRPr="00841FD9" w:rsidTr="00737ABC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proofErr w:type="spellStart"/>
            <w:r w:rsidRPr="00841FD9">
              <w:rPr>
                <w:lang w:eastAsia="ru-RU"/>
              </w:rPr>
              <w:t>Остапок</w:t>
            </w:r>
            <w:proofErr w:type="spellEnd"/>
            <w:r w:rsidRPr="00841FD9">
              <w:rPr>
                <w:lang w:eastAsia="ru-RU"/>
              </w:rPr>
              <w:t xml:space="preserve"> на </w:t>
            </w:r>
            <w:proofErr w:type="spellStart"/>
            <w:r w:rsidRPr="00841FD9">
              <w:rPr>
                <w:lang w:eastAsia="ru-RU"/>
              </w:rPr>
              <w:t>кон.м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83 156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165 335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166 324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254 366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336 907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300 531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339 073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366 615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316 221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349 263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387 804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343 139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3 408 734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lang w:eastAsia="ru-RU"/>
              </w:rPr>
            </w:pPr>
            <w:r w:rsidRPr="00841FD9">
              <w:rPr>
                <w:lang w:eastAsia="ru-RU"/>
              </w:rPr>
              <w:t>284 061</w:t>
            </w:r>
          </w:p>
        </w:tc>
      </w:tr>
    </w:tbl>
    <w:p w:rsidR="006167C4" w:rsidRPr="004903C1" w:rsidRDefault="006167C4" w:rsidP="006167C4">
      <w:pPr>
        <w:jc w:val="right"/>
      </w:pPr>
    </w:p>
    <w:p w:rsidR="006167C4" w:rsidRPr="0045581B" w:rsidRDefault="006167C4" w:rsidP="006167C4"/>
    <w:p w:rsidR="006167C4" w:rsidRDefault="006167C4" w:rsidP="006167C4">
      <w:bookmarkStart w:id="0" w:name="_GoBack"/>
      <w:bookmarkEnd w:id="0"/>
    </w:p>
    <w:p w:rsidR="006167C4" w:rsidRDefault="006167C4" w:rsidP="006167C4">
      <w:pPr>
        <w:jc w:val="right"/>
      </w:pPr>
      <w:r>
        <w:t>Приложение В</w:t>
      </w:r>
    </w:p>
    <w:p w:rsidR="006167C4" w:rsidRPr="00841FD9" w:rsidRDefault="006167C4" w:rsidP="006167C4">
      <w:pPr>
        <w:jc w:val="center"/>
        <w:rPr>
          <w:lang w:eastAsia="ru-RU"/>
        </w:rPr>
      </w:pPr>
      <w:r w:rsidRPr="00841FD9">
        <w:rPr>
          <w:lang w:eastAsia="ru-RU"/>
        </w:rPr>
        <w:t>Виды риска, их весомость и вероятность наступления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"/>
        <w:gridCol w:w="4406"/>
        <w:gridCol w:w="1363"/>
        <w:gridCol w:w="1585"/>
        <w:gridCol w:w="1629"/>
      </w:tblGrid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Сложные риски и их простые составляющие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Весомость риска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Обобщенная оценка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Неблагоприятное изменение (повышение) закупочной цены товара в процессе осуществления предпринимательского решения и не блокированное условиями договора о закупке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Непредвиденное снижение объема закупки в сравнении с намеченным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Потери товара в процессе обращения или потери качества, потребительской ценности товара, приводящие к снижению его стоимости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Увеличение издержек обращения по сравнению с намеченными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Снижение цены, по которой реализуется товар, по сравнению с проектной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Снижение объема реализации, обусловленное непредсказуемым падением спроса или потребности в товаре, вытеснением его конкурирующими товарами, ограничениями на продажу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Колебания рыночной конъюнктуры, цен, валютных курсов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Политический риск, риск неблагоприятных изменений в стране или регионе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Воровство, рэкет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67C4" w:rsidRPr="00841FD9" w:rsidTr="00737AB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Недобросовестность или несостоятельность компаньонов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7C4" w:rsidRPr="00841FD9" w:rsidRDefault="006167C4" w:rsidP="00737A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F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167C4" w:rsidRPr="006167C4" w:rsidRDefault="006167C4" w:rsidP="00616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D0134" w:rsidRPr="00886C34" w:rsidRDefault="008D0134" w:rsidP="000E42DB">
      <w:pPr>
        <w:rPr>
          <w:rFonts w:ascii="Times New Roman" w:hAnsi="Times New Roman" w:cs="Times New Roman"/>
          <w:sz w:val="28"/>
          <w:szCs w:val="28"/>
        </w:rPr>
      </w:pPr>
    </w:p>
    <w:sectPr w:rsidR="008D0134" w:rsidRPr="0088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99"/>
    <w:multiLevelType w:val="hybridMultilevel"/>
    <w:tmpl w:val="F92237BC"/>
    <w:lvl w:ilvl="0" w:tplc="36FCF0A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56F6D"/>
    <w:multiLevelType w:val="hybridMultilevel"/>
    <w:tmpl w:val="0554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866"/>
    <w:multiLevelType w:val="multilevel"/>
    <w:tmpl w:val="05F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3121"/>
    <w:multiLevelType w:val="multilevel"/>
    <w:tmpl w:val="142AD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0DC61B23"/>
    <w:multiLevelType w:val="hybridMultilevel"/>
    <w:tmpl w:val="9F341068"/>
    <w:lvl w:ilvl="0" w:tplc="FB06BC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31B3F"/>
    <w:multiLevelType w:val="hybridMultilevel"/>
    <w:tmpl w:val="3EFA6AE8"/>
    <w:lvl w:ilvl="0" w:tplc="C0A2B5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11746"/>
    <w:multiLevelType w:val="hybridMultilevel"/>
    <w:tmpl w:val="107252D6"/>
    <w:lvl w:ilvl="0" w:tplc="FB06BC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2933DB"/>
    <w:multiLevelType w:val="hybridMultilevel"/>
    <w:tmpl w:val="2A7E8758"/>
    <w:lvl w:ilvl="0" w:tplc="36FCF0A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37A17"/>
    <w:multiLevelType w:val="hybridMultilevel"/>
    <w:tmpl w:val="DBD2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6FB1"/>
    <w:multiLevelType w:val="hybridMultilevel"/>
    <w:tmpl w:val="5852A296"/>
    <w:lvl w:ilvl="0" w:tplc="113EE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3470"/>
    <w:multiLevelType w:val="hybridMultilevel"/>
    <w:tmpl w:val="EA08F8D0"/>
    <w:lvl w:ilvl="0" w:tplc="113EE1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0F190A"/>
    <w:multiLevelType w:val="multilevel"/>
    <w:tmpl w:val="4FCE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 w15:restartNumberingAfterBreak="0">
    <w:nsid w:val="3BB4294B"/>
    <w:multiLevelType w:val="hybridMultilevel"/>
    <w:tmpl w:val="D380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715E"/>
    <w:multiLevelType w:val="hybridMultilevel"/>
    <w:tmpl w:val="1332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12AE"/>
    <w:multiLevelType w:val="hybridMultilevel"/>
    <w:tmpl w:val="C55A9BC2"/>
    <w:lvl w:ilvl="0" w:tplc="36FCF0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25CF"/>
    <w:multiLevelType w:val="multilevel"/>
    <w:tmpl w:val="79842D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3F141AD2"/>
    <w:multiLevelType w:val="hybridMultilevel"/>
    <w:tmpl w:val="C77C5244"/>
    <w:lvl w:ilvl="0" w:tplc="C870E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7A7674"/>
    <w:multiLevelType w:val="hybridMultilevel"/>
    <w:tmpl w:val="2CC6F4E8"/>
    <w:lvl w:ilvl="0" w:tplc="36FCF0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34A9"/>
    <w:multiLevelType w:val="hybridMultilevel"/>
    <w:tmpl w:val="E9F27DB6"/>
    <w:lvl w:ilvl="0" w:tplc="36FCF0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73A0"/>
    <w:multiLevelType w:val="hybridMultilevel"/>
    <w:tmpl w:val="1F80B3F8"/>
    <w:lvl w:ilvl="0" w:tplc="36FCF0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25C28"/>
    <w:multiLevelType w:val="hybridMultilevel"/>
    <w:tmpl w:val="6DD03AE8"/>
    <w:lvl w:ilvl="0" w:tplc="113EE1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F032E7"/>
    <w:multiLevelType w:val="hybridMultilevel"/>
    <w:tmpl w:val="10D077D0"/>
    <w:lvl w:ilvl="0" w:tplc="FB06BC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B90724"/>
    <w:multiLevelType w:val="hybridMultilevel"/>
    <w:tmpl w:val="64104934"/>
    <w:lvl w:ilvl="0" w:tplc="36FCF0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3FE"/>
    <w:multiLevelType w:val="multilevel"/>
    <w:tmpl w:val="60A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A6000C"/>
    <w:multiLevelType w:val="hybridMultilevel"/>
    <w:tmpl w:val="13E45B14"/>
    <w:lvl w:ilvl="0" w:tplc="FB06BC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B45B15"/>
    <w:multiLevelType w:val="hybridMultilevel"/>
    <w:tmpl w:val="E8406660"/>
    <w:lvl w:ilvl="0" w:tplc="36FCF0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A54"/>
    <w:multiLevelType w:val="hybridMultilevel"/>
    <w:tmpl w:val="298ADE6A"/>
    <w:lvl w:ilvl="0" w:tplc="36FCF0A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386E50"/>
    <w:multiLevelType w:val="hybridMultilevel"/>
    <w:tmpl w:val="51EC62D2"/>
    <w:lvl w:ilvl="0" w:tplc="FB06BC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D91015"/>
    <w:multiLevelType w:val="hybridMultilevel"/>
    <w:tmpl w:val="487895FE"/>
    <w:lvl w:ilvl="0" w:tplc="36FCF0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FF0"/>
    <w:multiLevelType w:val="hybridMultilevel"/>
    <w:tmpl w:val="8DDCC736"/>
    <w:lvl w:ilvl="0" w:tplc="113EE1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4"/>
  </w:num>
  <w:num w:numId="9">
    <w:abstractNumId w:val="17"/>
  </w:num>
  <w:num w:numId="10">
    <w:abstractNumId w:val="28"/>
  </w:num>
  <w:num w:numId="11">
    <w:abstractNumId w:val="18"/>
  </w:num>
  <w:num w:numId="12">
    <w:abstractNumId w:val="22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6"/>
  </w:num>
  <w:num w:numId="25">
    <w:abstractNumId w:val="4"/>
  </w:num>
  <w:num w:numId="26">
    <w:abstractNumId w:val="23"/>
  </w:num>
  <w:num w:numId="27">
    <w:abstractNumId w:val="2"/>
  </w:num>
  <w:num w:numId="28">
    <w:abstractNumId w:val="7"/>
  </w:num>
  <w:num w:numId="29">
    <w:abstractNumId w:val="0"/>
  </w:num>
  <w:num w:numId="30">
    <w:abstractNumId w:val="26"/>
  </w:num>
  <w:num w:numId="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8"/>
    <w:rsid w:val="000E42DB"/>
    <w:rsid w:val="006167C4"/>
    <w:rsid w:val="00886C34"/>
    <w:rsid w:val="008D0134"/>
    <w:rsid w:val="00986378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3564"/>
  <w15:chartTrackingRefBased/>
  <w15:docId w15:val="{9E71041E-D879-4026-B2F0-1AAB935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7C4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67C4"/>
    <w:pPr>
      <w:keepNext/>
      <w:keepLines/>
      <w:spacing w:after="0" w:line="360" w:lineRule="auto"/>
      <w:ind w:firstLine="567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7C4"/>
    <w:pPr>
      <w:keepNext/>
      <w:keepLines/>
      <w:spacing w:before="40" w:after="0" w:line="360" w:lineRule="auto"/>
      <w:ind w:firstLine="567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4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4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167C4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6167C4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6167C4"/>
    <w:rPr>
      <w:rFonts w:ascii="Times New Roman" w:eastAsiaTheme="majorEastAsia" w:hAnsi="Times New Roman" w:cstheme="majorBidi"/>
      <w:b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167C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167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67C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167C4"/>
    <w:rPr>
      <w:rFonts w:ascii="Times New Roman" w:hAnsi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6167C4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67C4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167C4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8"/>
    </w:rPr>
  </w:style>
  <w:style w:type="character" w:styleId="ac">
    <w:name w:val="footnote reference"/>
    <w:basedOn w:val="a0"/>
    <w:uiPriority w:val="99"/>
    <w:semiHidden/>
    <w:unhideWhenUsed/>
    <w:rsid w:val="006167C4"/>
    <w:rPr>
      <w:vertAlign w:val="superscript"/>
    </w:rPr>
  </w:style>
  <w:style w:type="paragraph" w:styleId="ad">
    <w:name w:val="Normal (Web)"/>
    <w:basedOn w:val="a"/>
    <w:uiPriority w:val="99"/>
    <w:unhideWhenUsed/>
    <w:rsid w:val="006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167C4"/>
    <w:rPr>
      <w:color w:val="0000FF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6167C4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67C4"/>
    <w:pPr>
      <w:spacing w:after="10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6167C4"/>
    <w:pPr>
      <w:spacing w:after="100" w:line="360" w:lineRule="auto"/>
      <w:ind w:left="280" w:firstLine="567"/>
      <w:jc w:val="both"/>
    </w:pPr>
    <w:rPr>
      <w:rFonts w:ascii="Times New Roman" w:hAnsi="Times New Roman"/>
      <w:sz w:val="28"/>
    </w:rPr>
  </w:style>
  <w:style w:type="paragraph" w:styleId="31">
    <w:name w:val="toc 3"/>
    <w:basedOn w:val="a"/>
    <w:next w:val="a"/>
    <w:autoRedefine/>
    <w:uiPriority w:val="39"/>
    <w:unhideWhenUsed/>
    <w:rsid w:val="006167C4"/>
    <w:pPr>
      <w:spacing w:after="100" w:line="360" w:lineRule="auto"/>
      <w:ind w:left="560"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2018-12-27T08:45:00Z</dcterms:created>
  <dcterms:modified xsi:type="dcterms:W3CDTF">2018-12-27T08:45:00Z</dcterms:modified>
</cp:coreProperties>
</file>