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bookmarkStart w:id="1" w:name="OLE_LINK2"/>
    <w:bookmarkStart w:id="2" w:name="_MON_1619970513"/>
    <w:bookmarkEnd w:id="2"/>
    <w:p w14:paraId="5C1456C1" w14:textId="54ED19C5" w:rsidR="00CC6F64" w:rsidRDefault="00A3452D" w:rsidP="00A3452D">
      <w:pPr>
        <w:tabs>
          <w:tab w:val="left" w:pos="142"/>
        </w:tabs>
        <w:spacing w:after="0" w:line="360" w:lineRule="auto"/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10087" w:dyaOrig="14124" w14:anchorId="68212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pt;height:706.2pt" o:ole="">
            <v:imagedata r:id="rId8" o:title=""/>
          </v:shape>
          <o:OLEObject Type="Embed" ProgID="Word.Document.12" ShapeID="_x0000_i1025" DrawAspect="Content" ObjectID="_1619973680" r:id="rId9">
            <o:FieldCodes>\s</o:FieldCodes>
          </o:OLEObject>
        </w:object>
      </w:r>
    </w:p>
    <w:p w14:paraId="33001C1D" w14:textId="4AEF5ECA" w:rsidR="003A56C7" w:rsidRPr="005825DA" w:rsidRDefault="00AE5C3F" w:rsidP="005825DA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5DA">
        <w:rPr>
          <w:rFonts w:ascii="Times New Roman" w:hAnsi="Times New Roman"/>
          <w:sz w:val="28"/>
          <w:szCs w:val="28"/>
          <w:lang w:eastAsia="ru-RU"/>
        </w:rPr>
        <w:lastRenderedPageBreak/>
        <w:t>СОДЕРЖАНИЕ:</w:t>
      </w:r>
    </w:p>
    <w:p w14:paraId="264360B3" w14:textId="42DC485C" w:rsidR="007820F0" w:rsidRDefault="00AA2B3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r w:rsidRPr="002E0D08">
        <w:rPr>
          <w:szCs w:val="28"/>
          <w:lang w:eastAsia="ru-RU"/>
        </w:rPr>
        <w:fldChar w:fldCharType="begin"/>
      </w:r>
      <w:r w:rsidR="003A56C7">
        <w:rPr>
          <w:szCs w:val="28"/>
          <w:lang w:eastAsia="ru-RU"/>
        </w:rPr>
        <w:instrText xml:space="preserve"> TOC \o "1-3" \h \z \u </w:instrText>
      </w:r>
      <w:r w:rsidRPr="002E0D08">
        <w:rPr>
          <w:szCs w:val="28"/>
          <w:lang w:eastAsia="ru-RU"/>
        </w:rPr>
        <w:fldChar w:fldCharType="separate"/>
      </w:r>
      <w:hyperlink w:anchor="_Toc9208816" w:history="1">
        <w:r w:rsidR="007820F0" w:rsidRPr="00B476C8">
          <w:rPr>
            <w:rStyle w:val="a3"/>
            <w:noProof/>
          </w:rPr>
          <w:t>ВВЕДЕНИЕ</w:t>
        </w:r>
        <w:r w:rsidR="007820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E1768B" w14:textId="795B9B51" w:rsidR="007820F0" w:rsidRDefault="008E060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17" w:history="1">
        <w:r w:rsidR="007820F0" w:rsidRPr="00B476C8">
          <w:rPr>
            <w:rStyle w:val="a3"/>
            <w:noProof/>
          </w:rPr>
          <w:t>1 ОСОБЕННОСТИ СТАНОВЛЕНИЯ И РАЗВИТИЯ ЕВРОЗОНЫ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_Toc9208817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5</w:t>
        </w:r>
        <w:r w:rsidR="00AA2B33">
          <w:rPr>
            <w:noProof/>
            <w:webHidden/>
          </w:rPr>
          <w:fldChar w:fldCharType="end"/>
        </w:r>
      </w:hyperlink>
    </w:p>
    <w:p w14:paraId="418D58DC" w14:textId="3D899F99" w:rsidR="007820F0" w:rsidRDefault="008E060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18" w:history="1">
        <w:r w:rsidR="007820F0" w:rsidRPr="00B476C8">
          <w:rPr>
            <w:rStyle w:val="a3"/>
            <w:noProof/>
            <w:lang w:eastAsia="ru-RU"/>
          </w:rPr>
          <w:t>1.1 История еврозоны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_Toc9208818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5</w:t>
        </w:r>
        <w:r w:rsidR="00AA2B33">
          <w:rPr>
            <w:noProof/>
            <w:webHidden/>
          </w:rPr>
          <w:fldChar w:fldCharType="end"/>
        </w:r>
      </w:hyperlink>
    </w:p>
    <w:p w14:paraId="6696C9C3" w14:textId="52E0855D" w:rsidR="007820F0" w:rsidRDefault="008E060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19" w:history="1">
        <w:r w:rsidR="007820F0" w:rsidRPr="00B476C8">
          <w:rPr>
            <w:rStyle w:val="a3"/>
            <w:noProof/>
            <w:lang w:eastAsia="ru-RU"/>
          </w:rPr>
          <w:t>1.2 Сущность и особенности еврозоны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_Toc9208819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8</w:t>
        </w:r>
        <w:r w:rsidR="00AA2B33">
          <w:rPr>
            <w:noProof/>
            <w:webHidden/>
          </w:rPr>
          <w:fldChar w:fldCharType="end"/>
        </w:r>
      </w:hyperlink>
    </w:p>
    <w:p w14:paraId="41C72684" w14:textId="7D5A5BDB" w:rsidR="007820F0" w:rsidRDefault="008E060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20" w:history="1">
        <w:r w:rsidR="007820F0" w:rsidRPr="00B476C8">
          <w:rPr>
            <w:rStyle w:val="a3"/>
            <w:noProof/>
            <w:lang w:eastAsia="ru-RU"/>
          </w:rPr>
          <w:t>1.3 Механизмы регулирования внешних дисбалансов в европейском экономическом и валютном союзе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_Toc9208820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11</w:t>
        </w:r>
        <w:r w:rsidR="00AA2B33">
          <w:rPr>
            <w:noProof/>
            <w:webHidden/>
          </w:rPr>
          <w:fldChar w:fldCharType="end"/>
        </w:r>
      </w:hyperlink>
    </w:p>
    <w:p w14:paraId="101D6648" w14:textId="4A6073C4" w:rsidR="007820F0" w:rsidRDefault="008E060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21" w:history="1">
        <w:r w:rsidR="007820F0" w:rsidRPr="00B476C8">
          <w:rPr>
            <w:rStyle w:val="a3"/>
            <w:noProof/>
          </w:rPr>
          <w:t>2 АНАЛИЗ РАСШИРЕНИЯ ЗОНЫ ЕВРО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_Toc9208821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23</w:t>
        </w:r>
        <w:r w:rsidR="00AA2B33">
          <w:rPr>
            <w:noProof/>
            <w:webHidden/>
          </w:rPr>
          <w:fldChar w:fldCharType="end"/>
        </w:r>
      </w:hyperlink>
    </w:p>
    <w:p w14:paraId="52E980D7" w14:textId="26F506BA" w:rsidR="007820F0" w:rsidRDefault="008E060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22" w:history="1">
        <w:r w:rsidR="007820F0" w:rsidRPr="00B476C8">
          <w:rPr>
            <w:rStyle w:val="a3"/>
            <w:noProof/>
            <w:lang w:eastAsia="ru-RU"/>
          </w:rPr>
          <w:t>2.1 Влияние Брексита на евро зону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_Toc9208822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23</w:t>
        </w:r>
        <w:r w:rsidR="00AA2B33">
          <w:rPr>
            <w:noProof/>
            <w:webHidden/>
          </w:rPr>
          <w:fldChar w:fldCharType="end"/>
        </w:r>
      </w:hyperlink>
    </w:p>
    <w:p w14:paraId="6300AA25" w14:textId="79B4BE3F" w:rsidR="007820F0" w:rsidRDefault="008E060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23" w:history="1">
        <w:r w:rsidR="007820F0" w:rsidRPr="00B476C8">
          <w:rPr>
            <w:rStyle w:val="a3"/>
            <w:noProof/>
            <w:lang w:eastAsia="ru-RU"/>
          </w:rPr>
          <w:t>2.2 Анализ замедления экономического роста стран еврозоны, дисбалансы европейского финансового рынка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_Toc9208823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31</w:t>
        </w:r>
        <w:r w:rsidR="00AA2B33">
          <w:rPr>
            <w:noProof/>
            <w:webHidden/>
          </w:rPr>
          <w:fldChar w:fldCharType="end"/>
        </w:r>
      </w:hyperlink>
    </w:p>
    <w:p w14:paraId="2B8C38D1" w14:textId="054CA037" w:rsidR="007820F0" w:rsidRDefault="008E060D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24" w:history="1">
        <w:r w:rsidR="007820F0" w:rsidRPr="00B476C8">
          <w:rPr>
            <w:rStyle w:val="a3"/>
            <w:noProof/>
            <w:lang w:eastAsia="ru-RU"/>
          </w:rPr>
          <w:t>2.3 Перспективы расширения зоны евро на Балканы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_Toc9208824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37</w:t>
        </w:r>
        <w:r w:rsidR="00AA2B33">
          <w:rPr>
            <w:noProof/>
            <w:webHidden/>
          </w:rPr>
          <w:fldChar w:fldCharType="end"/>
        </w:r>
      </w:hyperlink>
    </w:p>
    <w:p w14:paraId="3D6C6891" w14:textId="26E3BD09" w:rsidR="007820F0" w:rsidRDefault="008E060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25" w:history="1">
        <w:r w:rsidR="007820F0" w:rsidRPr="00B476C8">
          <w:rPr>
            <w:rStyle w:val="a3"/>
            <w:noProof/>
          </w:rPr>
          <w:t>ЗАКЛЮЧЕНИЕ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_Toc9208825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43</w:t>
        </w:r>
        <w:r w:rsidR="00AA2B33">
          <w:rPr>
            <w:noProof/>
            <w:webHidden/>
          </w:rPr>
          <w:fldChar w:fldCharType="end"/>
        </w:r>
      </w:hyperlink>
    </w:p>
    <w:p w14:paraId="02F456D3" w14:textId="3436089E" w:rsidR="007820F0" w:rsidRDefault="008E060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9208826" w:history="1">
        <w:r w:rsidR="007820F0" w:rsidRPr="00B476C8">
          <w:rPr>
            <w:rStyle w:val="a3"/>
            <w:noProof/>
          </w:rPr>
          <w:t>СПИСОК ИСПОЛЬЗОВАННЫХ ИСТОЧНИКОВ</w:t>
        </w:r>
        <w:r w:rsidR="007820F0">
          <w:rPr>
            <w:noProof/>
            <w:webHidden/>
          </w:rPr>
          <w:tab/>
        </w:r>
        <w:r w:rsidR="00AA2B33">
          <w:rPr>
            <w:noProof/>
            <w:webHidden/>
          </w:rPr>
          <w:fldChar w:fldCharType="begin"/>
        </w:r>
        <w:r w:rsidR="007820F0">
          <w:rPr>
            <w:noProof/>
            <w:webHidden/>
          </w:rPr>
          <w:instrText xml:space="preserve"> PAGEREF _Toc9208826 \h </w:instrText>
        </w:r>
        <w:r w:rsidR="00AA2B33">
          <w:rPr>
            <w:noProof/>
            <w:webHidden/>
          </w:rPr>
        </w:r>
        <w:r w:rsidR="00AA2B33">
          <w:rPr>
            <w:noProof/>
            <w:webHidden/>
          </w:rPr>
          <w:fldChar w:fldCharType="separate"/>
        </w:r>
        <w:r w:rsidR="005825DA">
          <w:rPr>
            <w:noProof/>
            <w:webHidden/>
          </w:rPr>
          <w:t>45</w:t>
        </w:r>
        <w:r w:rsidR="00AA2B33">
          <w:rPr>
            <w:noProof/>
            <w:webHidden/>
          </w:rPr>
          <w:fldChar w:fldCharType="end"/>
        </w:r>
      </w:hyperlink>
    </w:p>
    <w:p w14:paraId="72B38F73" w14:textId="77777777" w:rsidR="003A56C7" w:rsidRPr="00876F4D" w:rsidRDefault="00AA2B33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2E0D08"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14:paraId="6D9334D3" w14:textId="77777777" w:rsidR="003A56C7" w:rsidRPr="007226C2" w:rsidRDefault="003A56C7" w:rsidP="003A56C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" w:name="_Toc9208816"/>
      <w:r w:rsidR="00AE5C3F" w:rsidRPr="008B18BB">
        <w:rPr>
          <w:rFonts w:ascii="Times New Roman" w:hAnsi="Times New Roman" w:cs="Times New Roman"/>
          <w:b w:val="0"/>
          <w:sz w:val="28"/>
          <w:szCs w:val="28"/>
        </w:rPr>
        <w:lastRenderedPageBreak/>
        <w:t>ВВЕДЕНИЕ</w:t>
      </w:r>
      <w:bookmarkEnd w:id="3"/>
    </w:p>
    <w:p w14:paraId="435E71C5" w14:textId="77777777" w:rsidR="006C4A32" w:rsidRPr="006C4A32" w:rsidRDefault="0078473A" w:rsidP="006C4A32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Актуальность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работы.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глобализации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все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большая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интеграция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стран,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что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их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экономическому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росту,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налаживанию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между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собой,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взаимопроникновению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культур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одних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этносов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другие.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Одним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из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таких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влиятельных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крупных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экономико</w:t>
      </w:r>
      <w:r w:rsidR="006C4A32">
        <w:rPr>
          <w:rFonts w:ascii="Times New Roman" w:hAnsi="Times New Roman"/>
          <w:sz w:val="28"/>
          <w:szCs w:val="28"/>
          <w:lang w:eastAsia="ru-RU"/>
        </w:rPr>
        <w:t>-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объединений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выступает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Европейский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союз,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состоящий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из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28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европейских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государств.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Евросоюз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готов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принимать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свои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ряды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все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новые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новые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страны,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однако,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если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раньше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члены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ЕС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находились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примерно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на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одном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уровне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имели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схожий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менталитет,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то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сейчас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вступление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новых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стран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может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повлечь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за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собой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ряд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проблем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поспособствовать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дезинтеграции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мирового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6C4A32">
        <w:rPr>
          <w:rFonts w:ascii="Times New Roman" w:hAnsi="Times New Roman"/>
          <w:sz w:val="28"/>
          <w:szCs w:val="28"/>
          <w:lang w:eastAsia="ru-RU"/>
        </w:rPr>
        <w:t>пространства.</w:t>
      </w:r>
    </w:p>
    <w:p w14:paraId="193F7ACB" w14:textId="77777777" w:rsidR="0078473A" w:rsidRDefault="006C4A32" w:rsidP="006C4A32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A32">
        <w:rPr>
          <w:rFonts w:ascii="Times New Roman" w:hAnsi="Times New Roman"/>
          <w:sz w:val="28"/>
          <w:szCs w:val="28"/>
          <w:lang w:eastAsia="ru-RU"/>
        </w:rPr>
        <w:t>Говоря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предпосылках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ЕС,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стоит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что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первоначально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цель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данной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заключалась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улучшении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сотрудничества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стран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сфере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экономики.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При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этом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существовал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принцип,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что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все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страны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участники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должны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быть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взаимозависимыми,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что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предполагало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избежание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различного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рода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конфликтов.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1958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г.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было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создано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Европейское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Экономическое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Сообщество,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которое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входило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6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стран: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Германия,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Италия,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Люксембург,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Франция,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Бельгия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Голландия.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этого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момента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свое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расширение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начал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так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называемый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большой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единый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рынок,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который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позволял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европейцам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реализовать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свои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полной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мере.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Из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основополагающих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целей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ЕС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отметим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важные: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устранение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ограничений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торговле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между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странами-участницами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свободное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перемещение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товаров;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ликвидация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препятствий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для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свободного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передвижения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«людей,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капиталов,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услуг»;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общей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области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хозяйства;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валютного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союза;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унификация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системы;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сближение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законодательств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стран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между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собой;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доступность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образования;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разработка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согласования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A32">
        <w:rPr>
          <w:rFonts w:ascii="Times New Roman" w:hAnsi="Times New Roman"/>
          <w:sz w:val="28"/>
          <w:szCs w:val="28"/>
          <w:lang w:eastAsia="ru-RU"/>
        </w:rPr>
        <w:t>политик.</w:t>
      </w:r>
    </w:p>
    <w:p w14:paraId="33568AA0" w14:textId="77777777" w:rsidR="0078473A" w:rsidRDefault="0078473A" w:rsidP="0078473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Целью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является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>
        <w:rPr>
          <w:rFonts w:ascii="Times New Roman" w:hAnsi="Times New Roman"/>
          <w:sz w:val="28"/>
          <w:szCs w:val="28"/>
        </w:rPr>
        <w:t>проблем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6C4A32" w:rsidRPr="00FD367F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6C4A32">
        <w:rPr>
          <w:rFonts w:ascii="Times New Roman" w:hAnsi="Times New Roman"/>
          <w:sz w:val="28"/>
          <w:szCs w:val="28"/>
        </w:rPr>
        <w:t>перспектив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6C4A32" w:rsidRPr="00FD367F">
        <w:rPr>
          <w:rFonts w:ascii="Times New Roman" w:hAnsi="Times New Roman"/>
          <w:sz w:val="28"/>
          <w:szCs w:val="28"/>
        </w:rPr>
        <w:t>расширения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6C4A32" w:rsidRPr="00FD367F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6C4A32" w:rsidRPr="00FD367F">
        <w:rPr>
          <w:rFonts w:ascii="Times New Roman" w:hAnsi="Times New Roman"/>
          <w:sz w:val="28"/>
          <w:szCs w:val="28"/>
        </w:rPr>
        <w:t>евро</w:t>
      </w:r>
      <w:r w:rsidR="006C4A32">
        <w:rPr>
          <w:rFonts w:ascii="Times New Roman" w:hAnsi="Times New Roman"/>
          <w:sz w:val="28"/>
          <w:szCs w:val="28"/>
        </w:rPr>
        <w:t>.</w:t>
      </w:r>
      <w:r w:rsidR="00936B20">
        <w:rPr>
          <w:rFonts w:ascii="Times New Roman" w:hAnsi="Times New Roman"/>
          <w:sz w:val="28"/>
          <w:szCs w:val="28"/>
        </w:rPr>
        <w:t xml:space="preserve"> </w:t>
      </w:r>
    </w:p>
    <w:p w14:paraId="1A10DD8A" w14:textId="77777777" w:rsidR="0078473A" w:rsidRPr="008B18BB" w:rsidRDefault="0078473A" w:rsidP="0078473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Объектом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является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6C2" w:rsidRPr="008B18BB">
        <w:rPr>
          <w:rFonts w:ascii="Times New Roman" w:hAnsi="Times New Roman"/>
          <w:sz w:val="28"/>
          <w:szCs w:val="28"/>
          <w:lang w:eastAsia="ru-RU"/>
        </w:rPr>
        <w:t xml:space="preserve">экономическое положение стран </w:t>
      </w:r>
      <w:r w:rsidR="006C4A32" w:rsidRPr="008B18BB">
        <w:rPr>
          <w:rFonts w:ascii="Times New Roman" w:hAnsi="Times New Roman"/>
          <w:sz w:val="28"/>
          <w:szCs w:val="28"/>
          <w:lang w:eastAsia="ru-RU"/>
        </w:rPr>
        <w:t>зон</w:t>
      </w:r>
      <w:r w:rsidR="007226C2" w:rsidRPr="008B18BB">
        <w:rPr>
          <w:rFonts w:ascii="Times New Roman" w:hAnsi="Times New Roman"/>
          <w:sz w:val="28"/>
          <w:szCs w:val="28"/>
          <w:lang w:eastAsia="ru-RU"/>
        </w:rPr>
        <w:t>ы</w:t>
      </w:r>
      <w:r w:rsidR="00936B20" w:rsidRPr="008B18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 w:rsidRPr="008B18BB">
        <w:rPr>
          <w:rFonts w:ascii="Times New Roman" w:hAnsi="Times New Roman"/>
          <w:sz w:val="28"/>
          <w:szCs w:val="28"/>
          <w:lang w:eastAsia="ru-RU"/>
        </w:rPr>
        <w:t>евро.</w:t>
      </w:r>
    </w:p>
    <w:p w14:paraId="140FC091" w14:textId="77777777" w:rsidR="007226C2" w:rsidRDefault="0078473A" w:rsidP="0078473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BB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936B20" w:rsidRPr="008B18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sz w:val="28"/>
          <w:szCs w:val="28"/>
          <w:lang w:eastAsia="ru-RU"/>
        </w:rPr>
        <w:t>работы</w:t>
      </w:r>
      <w:r w:rsidR="00936B20" w:rsidRPr="008B18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sz w:val="28"/>
          <w:szCs w:val="28"/>
          <w:lang w:eastAsia="ru-RU"/>
        </w:rPr>
        <w:t>явля</w:t>
      </w:r>
      <w:r w:rsidR="006C4A32" w:rsidRPr="008B18BB">
        <w:rPr>
          <w:rFonts w:ascii="Times New Roman" w:hAnsi="Times New Roman"/>
          <w:sz w:val="28"/>
          <w:szCs w:val="28"/>
          <w:lang w:eastAsia="ru-RU"/>
        </w:rPr>
        <w:t>ю</w:t>
      </w:r>
      <w:r w:rsidRPr="008B18BB">
        <w:rPr>
          <w:rFonts w:ascii="Times New Roman" w:hAnsi="Times New Roman"/>
          <w:sz w:val="28"/>
          <w:szCs w:val="28"/>
          <w:lang w:eastAsia="ru-RU"/>
        </w:rPr>
        <w:t>тся</w:t>
      </w:r>
      <w:r w:rsidR="00936B20" w:rsidRPr="008B18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6C2" w:rsidRPr="008B18BB">
        <w:rPr>
          <w:rFonts w:ascii="Times New Roman" w:hAnsi="Times New Roman"/>
          <w:sz w:val="28"/>
          <w:szCs w:val="28"/>
          <w:lang w:eastAsia="ru-RU"/>
        </w:rPr>
        <w:t>экономические отношения, возникающие в процессе развития стран еврозоны.</w:t>
      </w:r>
      <w:r w:rsidR="007226C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B5B2E74" w14:textId="77777777" w:rsidR="0078473A" w:rsidRDefault="0078473A" w:rsidP="0078473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Задачами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являются: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11DF53" w14:textId="77777777" w:rsidR="009C2B87" w:rsidRDefault="00FD6576" w:rsidP="009C2B8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еврозоны;</w:t>
      </w:r>
    </w:p>
    <w:p w14:paraId="2CB13C0F" w14:textId="77777777" w:rsidR="00FD6576" w:rsidRDefault="00FD6576" w:rsidP="009C2B8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AD1B70">
        <w:rPr>
          <w:rFonts w:ascii="Times New Roman" w:hAnsi="Times New Roman"/>
          <w:sz w:val="28"/>
          <w:szCs w:val="28"/>
          <w:lang w:eastAsia="ru-RU"/>
        </w:rPr>
        <w:t>с</w:t>
      </w:r>
      <w:r w:rsidR="00AD1B70" w:rsidRPr="005E44F8">
        <w:rPr>
          <w:rFonts w:ascii="Times New Roman" w:hAnsi="Times New Roman"/>
          <w:sz w:val="28"/>
          <w:szCs w:val="28"/>
          <w:lang w:eastAsia="ru-RU"/>
        </w:rPr>
        <w:t>ущност</w:t>
      </w:r>
      <w:r w:rsidR="00AD1B70">
        <w:rPr>
          <w:rFonts w:ascii="Times New Roman" w:hAnsi="Times New Roman"/>
          <w:sz w:val="28"/>
          <w:szCs w:val="28"/>
          <w:lang w:eastAsia="ru-RU"/>
        </w:rPr>
        <w:t>и</w:t>
      </w:r>
      <w:r w:rsidR="00AD1B70" w:rsidRPr="005E44F8">
        <w:rPr>
          <w:rFonts w:ascii="Times New Roman" w:hAnsi="Times New Roman"/>
          <w:sz w:val="28"/>
          <w:szCs w:val="28"/>
          <w:lang w:eastAsia="ru-RU"/>
        </w:rPr>
        <w:t xml:space="preserve"> и особенност</w:t>
      </w:r>
      <w:r w:rsidR="00AD1B70">
        <w:rPr>
          <w:rFonts w:ascii="Times New Roman" w:hAnsi="Times New Roman"/>
          <w:sz w:val="28"/>
          <w:szCs w:val="28"/>
          <w:lang w:eastAsia="ru-RU"/>
        </w:rPr>
        <w:t>ей</w:t>
      </w:r>
      <w:r w:rsidR="00AD1B70" w:rsidRPr="005E44F8">
        <w:rPr>
          <w:rFonts w:ascii="Times New Roman" w:hAnsi="Times New Roman"/>
          <w:sz w:val="28"/>
          <w:szCs w:val="28"/>
          <w:lang w:eastAsia="ru-RU"/>
        </w:rPr>
        <w:t xml:space="preserve"> еврозоны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659DB2D" w14:textId="77777777" w:rsidR="006A173A" w:rsidRDefault="00FD6576" w:rsidP="009C2B8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изучение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7D34B4">
        <w:rPr>
          <w:rFonts w:ascii="Times New Roman" w:hAnsi="Times New Roman"/>
          <w:sz w:val="28"/>
          <w:szCs w:val="28"/>
          <w:lang w:eastAsia="ru-RU"/>
        </w:rPr>
        <w:t>еханизм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4B4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4B4">
        <w:rPr>
          <w:rFonts w:ascii="Times New Roman" w:hAnsi="Times New Roman"/>
          <w:sz w:val="28"/>
          <w:szCs w:val="28"/>
          <w:lang w:eastAsia="ru-RU"/>
        </w:rPr>
        <w:t>внешних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4B4">
        <w:rPr>
          <w:rFonts w:ascii="Times New Roman" w:hAnsi="Times New Roman"/>
          <w:sz w:val="28"/>
          <w:szCs w:val="28"/>
          <w:lang w:eastAsia="ru-RU"/>
        </w:rPr>
        <w:t>дисбалансов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4B4">
        <w:rPr>
          <w:rFonts w:ascii="Times New Roman" w:hAnsi="Times New Roman"/>
          <w:sz w:val="28"/>
          <w:szCs w:val="28"/>
          <w:lang w:eastAsia="ru-RU"/>
        </w:rPr>
        <w:t>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4B4">
        <w:rPr>
          <w:rFonts w:ascii="Times New Roman" w:hAnsi="Times New Roman"/>
          <w:sz w:val="28"/>
          <w:szCs w:val="28"/>
          <w:lang w:eastAsia="ru-RU"/>
        </w:rPr>
        <w:t>европейском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4B4">
        <w:rPr>
          <w:rFonts w:ascii="Times New Roman" w:hAnsi="Times New Roman"/>
          <w:sz w:val="28"/>
          <w:szCs w:val="28"/>
          <w:lang w:eastAsia="ru-RU"/>
        </w:rPr>
        <w:t>экономическом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4B4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4B4">
        <w:rPr>
          <w:rFonts w:ascii="Times New Roman" w:hAnsi="Times New Roman"/>
          <w:sz w:val="28"/>
          <w:szCs w:val="28"/>
          <w:lang w:eastAsia="ru-RU"/>
        </w:rPr>
        <w:t>валютном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34B4">
        <w:rPr>
          <w:rFonts w:ascii="Times New Roman" w:hAnsi="Times New Roman"/>
          <w:sz w:val="28"/>
          <w:szCs w:val="28"/>
          <w:lang w:eastAsia="ru-RU"/>
        </w:rPr>
        <w:t>союзе</w:t>
      </w:r>
      <w:r w:rsidR="006A173A">
        <w:rPr>
          <w:rFonts w:ascii="Times New Roman" w:hAnsi="Times New Roman"/>
          <w:sz w:val="28"/>
          <w:szCs w:val="28"/>
          <w:lang w:eastAsia="ru-RU"/>
        </w:rPr>
        <w:t>;</w:t>
      </w:r>
    </w:p>
    <w:p w14:paraId="603A0B03" w14:textId="77777777" w:rsidR="006A173A" w:rsidRDefault="006A173A" w:rsidP="009C2B8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анализ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влияния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10AB">
        <w:rPr>
          <w:rFonts w:ascii="Times New Roman" w:hAnsi="Times New Roman"/>
          <w:sz w:val="28"/>
          <w:szCs w:val="28"/>
          <w:lang w:eastAsia="ru-RU"/>
        </w:rPr>
        <w:t>Брексита</w:t>
      </w:r>
      <w:proofErr w:type="spellEnd"/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0AB">
        <w:rPr>
          <w:rFonts w:ascii="Times New Roman" w:hAnsi="Times New Roman"/>
          <w:sz w:val="28"/>
          <w:szCs w:val="28"/>
          <w:lang w:eastAsia="ru-RU"/>
        </w:rPr>
        <w:t>на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0AB">
        <w:rPr>
          <w:rFonts w:ascii="Times New Roman" w:hAnsi="Times New Roman"/>
          <w:sz w:val="28"/>
          <w:szCs w:val="28"/>
          <w:lang w:eastAsia="ru-RU"/>
        </w:rPr>
        <w:t>евро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0AB">
        <w:rPr>
          <w:rFonts w:ascii="Times New Roman" w:hAnsi="Times New Roman"/>
          <w:sz w:val="28"/>
          <w:szCs w:val="28"/>
          <w:lang w:eastAsia="ru-RU"/>
        </w:rPr>
        <w:t>зону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DC55EBD" w14:textId="77777777" w:rsidR="006A173A" w:rsidRDefault="006A173A" w:rsidP="009C2B8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B70">
        <w:rPr>
          <w:rFonts w:ascii="Times New Roman" w:hAnsi="Times New Roman"/>
          <w:sz w:val="28"/>
          <w:szCs w:val="28"/>
          <w:lang w:eastAsia="ru-RU"/>
        </w:rPr>
        <w:t>а</w:t>
      </w:r>
      <w:r w:rsidR="00AD1B70" w:rsidRPr="005E44F8">
        <w:rPr>
          <w:rFonts w:ascii="Times New Roman" w:hAnsi="Times New Roman"/>
          <w:sz w:val="28"/>
          <w:szCs w:val="28"/>
          <w:lang w:eastAsia="ru-RU"/>
        </w:rPr>
        <w:t>нализ замедления экономического роста стран еврозоны, дисбалансы европейского финансового рынка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7D03AAD" w14:textId="77777777" w:rsidR="006A173A" w:rsidRDefault="006A173A" w:rsidP="009C2B8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рассмотрение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перспектив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0AB">
        <w:rPr>
          <w:rFonts w:ascii="Times New Roman" w:hAnsi="Times New Roman"/>
          <w:sz w:val="28"/>
          <w:szCs w:val="28"/>
          <w:lang w:eastAsia="ru-RU"/>
        </w:rPr>
        <w:t>расширения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0AB">
        <w:rPr>
          <w:rFonts w:ascii="Times New Roman" w:hAnsi="Times New Roman"/>
          <w:sz w:val="28"/>
          <w:szCs w:val="28"/>
          <w:lang w:eastAsia="ru-RU"/>
        </w:rPr>
        <w:t>зоны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0AB">
        <w:rPr>
          <w:rFonts w:ascii="Times New Roman" w:hAnsi="Times New Roman"/>
          <w:sz w:val="28"/>
          <w:szCs w:val="28"/>
          <w:lang w:eastAsia="ru-RU"/>
        </w:rPr>
        <w:t>евро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0AB">
        <w:rPr>
          <w:rFonts w:ascii="Times New Roman" w:hAnsi="Times New Roman"/>
          <w:sz w:val="28"/>
          <w:szCs w:val="28"/>
          <w:lang w:eastAsia="ru-RU"/>
        </w:rPr>
        <w:t>на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0AB">
        <w:rPr>
          <w:rFonts w:ascii="Times New Roman" w:hAnsi="Times New Roman"/>
          <w:sz w:val="28"/>
          <w:szCs w:val="28"/>
          <w:lang w:eastAsia="ru-RU"/>
        </w:rPr>
        <w:t>Балканы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A67B34C" w14:textId="77777777" w:rsidR="009C2B87" w:rsidRDefault="009C2B87" w:rsidP="009C2B8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3168">
        <w:rPr>
          <w:rFonts w:ascii="Times New Roman" w:hAnsi="Times New Roman"/>
          <w:sz w:val="28"/>
          <w:szCs w:val="28"/>
        </w:rPr>
        <w:t>Степень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разработанности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проблемы.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основу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разработки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исследования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FD6576">
        <w:rPr>
          <w:rFonts w:ascii="Times New Roman" w:hAnsi="Times New Roman"/>
          <w:sz w:val="28"/>
          <w:szCs w:val="28"/>
        </w:rPr>
        <w:t>п</w:t>
      </w:r>
      <w:r w:rsidR="00FD6576" w:rsidRPr="00FD367F">
        <w:rPr>
          <w:rFonts w:ascii="Times New Roman" w:hAnsi="Times New Roman"/>
          <w:sz w:val="28"/>
          <w:szCs w:val="28"/>
        </w:rPr>
        <w:t>роблем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FD6576" w:rsidRPr="00FD367F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FD6576" w:rsidRPr="00FD367F">
        <w:rPr>
          <w:rFonts w:ascii="Times New Roman" w:hAnsi="Times New Roman"/>
          <w:sz w:val="28"/>
          <w:szCs w:val="28"/>
        </w:rPr>
        <w:t>перспектив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FD6576" w:rsidRPr="00FD367F">
        <w:rPr>
          <w:rFonts w:ascii="Times New Roman" w:hAnsi="Times New Roman"/>
          <w:sz w:val="28"/>
          <w:szCs w:val="28"/>
        </w:rPr>
        <w:t>расширения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FD6576" w:rsidRPr="00FD367F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FD6576" w:rsidRPr="00FD367F">
        <w:rPr>
          <w:rFonts w:ascii="Times New Roman" w:hAnsi="Times New Roman"/>
          <w:sz w:val="28"/>
          <w:szCs w:val="28"/>
        </w:rPr>
        <w:t>евро</w:t>
      </w:r>
      <w:r w:rsidRPr="00AF3168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были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положены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труды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известных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отечественных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зарубежных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F3168">
        <w:rPr>
          <w:rFonts w:ascii="Times New Roman" w:hAnsi="Times New Roman"/>
          <w:sz w:val="28"/>
          <w:szCs w:val="28"/>
        </w:rPr>
        <w:t>ученых.</w:t>
      </w:r>
    </w:p>
    <w:p w14:paraId="57564A24" w14:textId="77777777" w:rsidR="009C2B87" w:rsidRDefault="009C2B87" w:rsidP="009C2B8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F2D">
        <w:rPr>
          <w:rFonts w:ascii="Times New Roman" w:hAnsi="Times New Roman"/>
          <w:sz w:val="28"/>
          <w:szCs w:val="28"/>
        </w:rPr>
        <w:t>Практическая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значимость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исследования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определяется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тем,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что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теоретические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методические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результаты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доведены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до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практических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выводов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рекомендаций,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используемых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417F2D">
        <w:rPr>
          <w:rFonts w:ascii="Times New Roman" w:hAnsi="Times New Roman"/>
          <w:sz w:val="28"/>
          <w:szCs w:val="28"/>
        </w:rPr>
        <w:t>практике.</w:t>
      </w:r>
    </w:p>
    <w:p w14:paraId="2467379F" w14:textId="77777777" w:rsidR="007E40BA" w:rsidRPr="00B24ACB" w:rsidRDefault="007E40BA" w:rsidP="007E40B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781">
        <w:rPr>
          <w:rFonts w:ascii="Times New Roman" w:hAnsi="Times New Roman"/>
          <w:sz w:val="28"/>
          <w:szCs w:val="28"/>
          <w:lang w:eastAsia="ru-RU"/>
        </w:rPr>
        <w:t>Методы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2781">
        <w:rPr>
          <w:rFonts w:ascii="Times New Roman" w:hAnsi="Times New Roman"/>
          <w:sz w:val="28"/>
          <w:szCs w:val="28"/>
          <w:lang w:eastAsia="ru-RU"/>
        </w:rPr>
        <w:t>исследования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анализ,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наблюдение,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изучение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обобщение,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</w:t>
      </w:r>
      <w:r w:rsidR="00D853EF">
        <w:rPr>
          <w:rFonts w:ascii="Times New Roman" w:hAnsi="Times New Roman"/>
          <w:sz w:val="28"/>
          <w:szCs w:val="28"/>
          <w:lang w:eastAsia="ru-RU"/>
        </w:rPr>
        <w:t>матизация,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3EF">
        <w:rPr>
          <w:rFonts w:ascii="Times New Roman" w:hAnsi="Times New Roman"/>
          <w:sz w:val="28"/>
          <w:szCs w:val="28"/>
          <w:lang w:eastAsia="ru-RU"/>
        </w:rPr>
        <w:t>сравнение,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3EF">
        <w:rPr>
          <w:rFonts w:ascii="Times New Roman" w:hAnsi="Times New Roman"/>
          <w:sz w:val="28"/>
          <w:szCs w:val="28"/>
          <w:lang w:eastAsia="ru-RU"/>
        </w:rPr>
        <w:t>измерение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6CDA1DC" w14:textId="77777777" w:rsidR="007E40BA" w:rsidRPr="00C96611" w:rsidRDefault="007E40BA" w:rsidP="007E40B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C96611">
        <w:rPr>
          <w:rFonts w:ascii="Times New Roman" w:hAnsi="Times New Roman"/>
          <w:sz w:val="28"/>
          <w:szCs w:val="28"/>
          <w:lang w:eastAsia="ru-RU"/>
        </w:rPr>
        <w:t>еоретическ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611"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611">
        <w:rPr>
          <w:rFonts w:ascii="Times New Roman" w:hAnsi="Times New Roman"/>
          <w:sz w:val="28"/>
          <w:szCs w:val="28"/>
          <w:lang w:eastAsia="ru-RU"/>
        </w:rPr>
        <w:t>эмпирическ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611">
        <w:rPr>
          <w:rFonts w:ascii="Times New Roman" w:hAnsi="Times New Roman"/>
          <w:sz w:val="28"/>
          <w:szCs w:val="28"/>
          <w:lang w:eastAsia="ru-RU"/>
        </w:rPr>
        <w:t>баз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послужили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данные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литературы,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научных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статей,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периодической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литературы,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ресурсы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сети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Интернет.</w:t>
      </w:r>
    </w:p>
    <w:p w14:paraId="39C73942" w14:textId="77777777" w:rsidR="007E40BA" w:rsidRPr="00C96611" w:rsidRDefault="007E40BA" w:rsidP="007E40BA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96611">
        <w:rPr>
          <w:rFonts w:ascii="Times New Roman" w:hAnsi="Times New Roman"/>
          <w:sz w:val="28"/>
          <w:szCs w:val="28"/>
          <w:lang w:eastAsia="ru-RU"/>
        </w:rPr>
        <w:t>труктура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состоит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введения,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A32">
        <w:rPr>
          <w:rFonts w:ascii="Times New Roman" w:hAnsi="Times New Roman"/>
          <w:sz w:val="28"/>
          <w:szCs w:val="28"/>
          <w:lang w:eastAsia="ru-RU"/>
        </w:rPr>
        <w:t>двух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глав,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заключения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списка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использованных</w:t>
      </w:r>
      <w:r w:rsidR="00936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источников</w:t>
      </w:r>
      <w:r w:rsidR="00187595">
        <w:rPr>
          <w:rFonts w:ascii="Times New Roman" w:hAnsi="Times New Roman"/>
          <w:sz w:val="28"/>
          <w:szCs w:val="28"/>
          <w:lang w:eastAsia="ru-RU"/>
        </w:rPr>
        <w:t>.</w:t>
      </w:r>
    </w:p>
    <w:p w14:paraId="2AEC65A1" w14:textId="77777777" w:rsidR="003A56C7" w:rsidRPr="00876F4D" w:rsidRDefault="003A56C7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03A45C" w14:textId="77777777" w:rsidR="003A56C7" w:rsidRDefault="003A56C7" w:rsidP="003A56C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C53338" w14:textId="77777777" w:rsidR="003A56C7" w:rsidRPr="008B18BB" w:rsidRDefault="00E0491A" w:rsidP="007226C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9208817"/>
      <w:r w:rsidRPr="008B18BB"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="00936B20" w:rsidRPr="008B18BB">
        <w:rPr>
          <w:rFonts w:ascii="Times New Roman" w:hAnsi="Times New Roman"/>
          <w:b w:val="0"/>
          <w:sz w:val="28"/>
          <w:szCs w:val="28"/>
        </w:rPr>
        <w:t xml:space="preserve"> </w:t>
      </w:r>
      <w:r w:rsidR="00F90BFB" w:rsidRPr="008B18BB">
        <w:rPr>
          <w:rFonts w:ascii="Times New Roman" w:hAnsi="Times New Roman"/>
          <w:b w:val="0"/>
          <w:sz w:val="28"/>
          <w:szCs w:val="28"/>
        </w:rPr>
        <w:t>ОСОБЕННОСТИ СТАНОВЛЕНИЯ И РАЗВИТИЯ ЕВРОЗОНЫ</w:t>
      </w:r>
      <w:bookmarkEnd w:id="4"/>
    </w:p>
    <w:p w14:paraId="104A9E00" w14:textId="77777777" w:rsidR="003A56C7" w:rsidRPr="007226C2" w:rsidRDefault="007D34B4" w:rsidP="007226C2">
      <w:pPr>
        <w:pStyle w:val="2"/>
        <w:spacing w:before="240" w:after="6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" w:name="_Toc9208818"/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1.1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История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еврозоны</w:t>
      </w:r>
      <w:bookmarkEnd w:id="5"/>
    </w:p>
    <w:p w14:paraId="199C1163" w14:textId="77777777" w:rsidR="003A56C7" w:rsidRDefault="003A56C7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353BCF6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феврале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1992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городе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Маастрихт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(Нидерланды)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подписан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документ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образовании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(ЕС,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документ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вступил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силу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1993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году),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тексте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которого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определение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целей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путей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создания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валютного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Западной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Европе.</w:t>
      </w:r>
      <w:r w:rsidR="008A2F2D">
        <w:rPr>
          <w:rStyle w:val="ae"/>
          <w:rFonts w:ascii="Times New Roman" w:hAnsi="Times New Roman"/>
          <w:sz w:val="28"/>
          <w:szCs w:val="28"/>
        </w:rPr>
        <w:footnoteReference w:id="1"/>
      </w:r>
    </w:p>
    <w:p w14:paraId="0E84F37A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После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подписания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этого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договора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перешли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проведению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общей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экономической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политики,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конечной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целью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которой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объявлено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введение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единой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валюты.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установлены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требования,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необходимые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вступления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</w:t>
      </w:r>
      <w:proofErr w:type="spellStart"/>
      <w:r w:rsidRPr="00117323">
        <w:rPr>
          <w:rFonts w:ascii="Times New Roman" w:hAnsi="Times New Roman"/>
          <w:sz w:val="28"/>
          <w:szCs w:val="28"/>
        </w:rPr>
        <w:t>маастрихтские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критерии).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Среди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нулевой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профицитный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государственный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бюджет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исключительных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случаях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дефицит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более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3%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ВВП),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госдолг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более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60%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ВВП,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годовая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инфляция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более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2%,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стабильность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обменного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курса.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декабря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1995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совет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утвердил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название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общей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валюты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«евро».</w:t>
      </w:r>
    </w:p>
    <w:p w14:paraId="1D7D3516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мае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1998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Еврокомиссия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назвала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входящих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тот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момент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ЕС,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экономические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показатели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которых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соответствовали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«</w:t>
      </w:r>
      <w:proofErr w:type="spellStart"/>
      <w:r w:rsidRPr="00117323">
        <w:rPr>
          <w:rFonts w:ascii="Times New Roman" w:hAnsi="Times New Roman"/>
          <w:sz w:val="28"/>
          <w:szCs w:val="28"/>
        </w:rPr>
        <w:t>маастрихтским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критериям».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список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вошли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Австрия,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Бельгия,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Германия,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Голландия,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Ирландия,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Испания,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Италия,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Люксембург,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Португалия,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Финляндия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Франция.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Соответствовавшие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критериям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Дания,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Великобритания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Швеция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отказались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использования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Указанные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государств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ввели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безналичный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расчет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января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1999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Считается,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что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этот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день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образована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еврозона.</w:t>
      </w:r>
    </w:p>
    <w:p w14:paraId="676A5572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январе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2002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введен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наличное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обращение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наряду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национальными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валютами.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марта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2002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членах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национальные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валюты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прекратили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свое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хождение,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единственной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денежной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единицей.</w:t>
      </w:r>
    </w:p>
    <w:p w14:paraId="755CE90D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lastRenderedPageBreak/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мере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достижения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соответствия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«</w:t>
      </w:r>
      <w:proofErr w:type="spellStart"/>
      <w:r w:rsidRPr="00117323">
        <w:rPr>
          <w:rFonts w:ascii="Times New Roman" w:hAnsi="Times New Roman"/>
          <w:sz w:val="28"/>
          <w:szCs w:val="28"/>
        </w:rPr>
        <w:t>маастрихтским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критериям»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начали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присоединяться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другие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ЕС.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2001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12-м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членом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Греция.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Затем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присоединились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Словения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(2007),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Кипр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Мальта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(2008),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Словакия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(2009),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Эстония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(2011),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Латвия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(2014),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Литва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(2015).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настоящее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время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участниками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являются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стран.</w:t>
      </w:r>
      <w:r w:rsidR="00042F9B">
        <w:rPr>
          <w:rStyle w:val="ae"/>
          <w:rFonts w:ascii="Times New Roman" w:hAnsi="Times New Roman"/>
          <w:sz w:val="28"/>
          <w:szCs w:val="28"/>
        </w:rPr>
        <w:footnoteReference w:id="2"/>
      </w:r>
    </w:p>
    <w:p w14:paraId="0865947B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Кроме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того,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используют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территории,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находящиеся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составе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членов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Азорские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острова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остров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Мадейра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(автономные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регионы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Португалии),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Канарские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острова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(автономная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область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Испании),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Французская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Гвиана,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Гваделупа,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Мартиника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Реюньон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(заморские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департаменты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Франции),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острова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Сен-Пьер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Микелон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Майотта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(заморские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сообщества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Франции).</w:t>
      </w:r>
    </w:p>
    <w:p w14:paraId="3BFDF6CB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Еще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несколько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входящих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ЕС,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осуществляют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расчеты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соответствии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Соглашением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денежных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отношениях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Монако,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Сан-Марино,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Андорра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Ватикан.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Без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заключения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соглашения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используют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Косово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(часть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Сербии),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Черногория,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Сен-</w:t>
      </w:r>
      <w:proofErr w:type="spellStart"/>
      <w:r w:rsidRPr="00117323">
        <w:rPr>
          <w:rFonts w:ascii="Times New Roman" w:hAnsi="Times New Roman"/>
          <w:sz w:val="28"/>
          <w:szCs w:val="28"/>
        </w:rPr>
        <w:t>Бартельми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Сен-Мартен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(заморские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сообщества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Франции),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французские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Южные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Антарктические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земли.</w:t>
      </w:r>
    </w:p>
    <w:p w14:paraId="18F1A7DC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валютный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союз,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проводит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единую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кредитно-денежную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политику.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Контроль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реализацией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осуществляется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общим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органом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управления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Европейским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центральным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банком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(ЕЦБ),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который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создан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1998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году.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Свои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действия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согласовывает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национальными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323">
        <w:rPr>
          <w:rFonts w:ascii="Times New Roman" w:hAnsi="Times New Roman"/>
          <w:sz w:val="28"/>
          <w:szCs w:val="28"/>
        </w:rPr>
        <w:t>центробанками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еврозоны.</w:t>
      </w:r>
    </w:p>
    <w:p w14:paraId="09C15BCC" w14:textId="77777777" w:rsidR="00EF5063" w:rsidRPr="00EF5063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t>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января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2019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исполнилось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20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лет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момента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введения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единой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европейской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валюты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безналичных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расчетов.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2002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году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вошло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наличное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обращение.</w:t>
      </w:r>
    </w:p>
    <w:p w14:paraId="59EB4F6A" w14:textId="77777777" w:rsidR="00EF5063" w:rsidRPr="00EF5063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основе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символа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обозначения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(€)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послужила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греческая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буква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"эпсилон",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две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параллельные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линии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–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стабильность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валюты.</w:t>
      </w:r>
    </w:p>
    <w:p w14:paraId="33527917" w14:textId="77777777" w:rsidR="00EF5063" w:rsidRPr="00EF5063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lastRenderedPageBreak/>
        <w:t>Создание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валютного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было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предложено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еще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конце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1960-х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годов.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Основными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аргументами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пользу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принятия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были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повышение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экономической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стабильности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облегчение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торговли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между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странами.</w:t>
      </w:r>
    </w:p>
    <w:p w14:paraId="7DFC2A30" w14:textId="77777777" w:rsidR="00EF5063" w:rsidRPr="00EF5063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начал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свою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историю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1999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году,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когда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11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(Австрия,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Бельгия,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Финляндия,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Франция,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Германия,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Ирландия,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Италия,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Люксембург,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Нидерланды,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Португалия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Испания)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зафиксировали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свои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курсы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обмена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создали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новую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валюту,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денежно-кредитная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политика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которой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перешла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Европейскому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центральному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банку.</w:t>
      </w:r>
    </w:p>
    <w:p w14:paraId="4DEB748A" w14:textId="77777777" w:rsidR="00EF5063" w:rsidRPr="00EF5063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начале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был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"невидимой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валютой"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использовался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только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бухгалтерских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целях.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Через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три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официально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вступил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обращение,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при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этом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национальные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валюты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постепенно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изымались.</w:t>
      </w:r>
    </w:p>
    <w:p w14:paraId="5CE2AAC6" w14:textId="77777777" w:rsidR="00EF5063" w:rsidRPr="00EF5063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эти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годы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клубу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присоединились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еще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(Кипр,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Эстония,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Греция,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Латвия,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Литва,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Мальта,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Словакия,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Словения)</w:t>
      </w:r>
    </w:p>
    <w:p w14:paraId="7EBE4332" w14:textId="77777777" w:rsidR="00EF5063" w:rsidRPr="00EF5063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t>Первые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10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лет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существования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ознаменовались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установлением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расширением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валюты.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Второе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десятилетие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было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значительной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степени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омрачено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кризисом.</w:t>
      </w:r>
    </w:p>
    <w:p w14:paraId="6424CA20" w14:textId="77777777" w:rsidR="00EF5063" w:rsidRPr="00EF5063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t>Пять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(Ирландия,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Испания,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Португалия,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Кипр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Греция)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были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вынуждены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обратиться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помощью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из-за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кризиса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последующего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кризиса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суверенного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долга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фоне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возросших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спекуляций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поводу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выхода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еврозоны.</w:t>
      </w:r>
    </w:p>
    <w:p w14:paraId="726B1C4B" w14:textId="77777777" w:rsidR="00EF5063" w:rsidRPr="00EF5063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t>Были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приняты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чрезвычайные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меры,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включая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создание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механизма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стабильности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-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учреждения,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призванного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оказывать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помощь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странам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еврозоны,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находящимся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тяжелом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финансовом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положении.</w:t>
      </w:r>
    </w:p>
    <w:p w14:paraId="12294DF4" w14:textId="77777777" w:rsidR="002259A0" w:rsidRDefault="00EF5063" w:rsidP="00EF506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5063">
        <w:rPr>
          <w:rFonts w:ascii="Times New Roman" w:hAnsi="Times New Roman"/>
          <w:sz w:val="28"/>
          <w:szCs w:val="28"/>
        </w:rPr>
        <w:t>Необходимость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банковском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союзе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возникла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того,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чтобы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предотвратить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повторение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кризиса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будущем,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когда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7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оставшихся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государств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должны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будут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присоединиться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еврозоне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(Венгрия,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Польша,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Румыния,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Хорватия,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Чешская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Республика,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Швеция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Болгария),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только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они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будут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соответствовать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критериям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F5063">
        <w:rPr>
          <w:rFonts w:ascii="Times New Roman" w:hAnsi="Times New Roman"/>
          <w:sz w:val="28"/>
          <w:szCs w:val="28"/>
        </w:rPr>
        <w:t>конвергенции.</w:t>
      </w:r>
    </w:p>
    <w:p w14:paraId="55A041E9" w14:textId="77777777" w:rsidR="00337DF4" w:rsidRPr="00117323" w:rsidRDefault="00337DF4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00D714C" w14:textId="77777777" w:rsidR="003A56C7" w:rsidRPr="008B18BB" w:rsidRDefault="00B11B56" w:rsidP="003A56C7">
      <w:pPr>
        <w:pStyle w:val="2"/>
        <w:spacing w:before="240" w:after="6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Toc9208819"/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lastRenderedPageBreak/>
        <w:t>1.2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="005E44F8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Сущность и особенности еврозоны</w:t>
      </w:r>
      <w:bookmarkEnd w:id="6"/>
    </w:p>
    <w:p w14:paraId="1EC0286F" w14:textId="77777777" w:rsidR="003A56C7" w:rsidRDefault="003A56C7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DBEA2A" w14:textId="77777777" w:rsidR="00E879B2" w:rsidRPr="00E72C17" w:rsidRDefault="00E879B2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2C17">
        <w:rPr>
          <w:rFonts w:ascii="Times New Roman" w:hAnsi="Times New Roman"/>
          <w:sz w:val="28"/>
          <w:szCs w:val="28"/>
        </w:rPr>
        <w:t xml:space="preserve">Стремительно развивающийся процесс интернационализации производства неразрывно связан с международной экономической интеграцией (МЭИ), которая собой представляет </w:t>
      </w:r>
      <w:proofErr w:type="spellStart"/>
      <w:r w:rsidRPr="00E72C17">
        <w:rPr>
          <w:rFonts w:ascii="Times New Roman" w:hAnsi="Times New Roman"/>
          <w:sz w:val="28"/>
          <w:szCs w:val="28"/>
        </w:rPr>
        <w:t>взаимосближение</w:t>
      </w:r>
      <w:proofErr w:type="spellEnd"/>
      <w:r w:rsidRPr="00E72C1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72C17">
        <w:rPr>
          <w:rFonts w:ascii="Times New Roman" w:hAnsi="Times New Roman"/>
          <w:sz w:val="28"/>
          <w:szCs w:val="28"/>
        </w:rPr>
        <w:t>взаимоприспособление</w:t>
      </w:r>
      <w:proofErr w:type="spellEnd"/>
      <w:r w:rsidRPr="00E72C17">
        <w:rPr>
          <w:rFonts w:ascii="Times New Roman" w:hAnsi="Times New Roman"/>
          <w:sz w:val="28"/>
          <w:szCs w:val="28"/>
        </w:rPr>
        <w:t xml:space="preserve"> национальных экономик, при проведении согласованной и гармоничной межгосударственной экономической политики. Определение 1 Таким образом, международная экономическая интеграция представляет собой процесс экономического и политического объединения стран на основе развития устойчивых и глубоких хозяйственных взаимосвязей, кооперации и специализации на различных уровнях и в различных формах. На микроуровне данный процесс осуществляется посредством взаимодействия отдельных предприятий близлежащих стран на базе формирования различных экономических отношений между ними (</w:t>
      </w:r>
      <w:r w:rsidR="00482EEC" w:rsidRPr="00E72C17">
        <w:rPr>
          <w:rFonts w:ascii="Times New Roman" w:hAnsi="Times New Roman"/>
          <w:sz w:val="28"/>
          <w:szCs w:val="28"/>
        </w:rPr>
        <w:t>в частности,</w:t>
      </w:r>
      <w:r w:rsidRPr="00E72C17">
        <w:rPr>
          <w:rFonts w:ascii="Times New Roman" w:hAnsi="Times New Roman"/>
          <w:sz w:val="28"/>
          <w:szCs w:val="28"/>
        </w:rPr>
        <w:t xml:space="preserve"> путем создания филиалов за рубежом). На межгосударственном уровне (макроуровне) международная интеграция осуществляется на основе формирования экономических объединений стран, а также гармонизации национальных политик.</w:t>
      </w:r>
    </w:p>
    <w:p w14:paraId="2BB32B72" w14:textId="77777777" w:rsidR="00E879B2" w:rsidRPr="00E72C17" w:rsidRDefault="00E879B2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2C17">
        <w:rPr>
          <w:rFonts w:ascii="Times New Roman" w:hAnsi="Times New Roman"/>
          <w:sz w:val="28"/>
          <w:szCs w:val="28"/>
        </w:rPr>
        <w:t>Основной причиной МЭИ развитых стран можно в первую очередь назвать противоречия между значительным уровнем развития производительных сил и тесными рамками национальных экономик. Помимо этого, немаловажными факторами являются растущая глобализация и интернационализация производства. Наиболее известные примеры интеграционных объединений стран: ЕС, НАФТА, МЕРКОСУР, АСЕАН, АТЭС, БРИКС и т.д.</w:t>
      </w:r>
    </w:p>
    <w:p w14:paraId="13967442" w14:textId="77777777" w:rsidR="00E72C17" w:rsidRDefault="00E72C17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2C17">
        <w:rPr>
          <w:rFonts w:ascii="Times New Roman" w:hAnsi="Times New Roman"/>
          <w:sz w:val="28"/>
          <w:szCs w:val="28"/>
        </w:rPr>
        <w:t xml:space="preserve">Своей наибольшей зрелости международная экономическая интеграция достигла в Европе. Европейский союз (ЕС, Евросоюз) — это экономическое и политическое объединение, состоящее из 28 европейских стран. </w:t>
      </w:r>
    </w:p>
    <w:p w14:paraId="0DF6B22A" w14:textId="77777777" w:rsidR="00E72C17" w:rsidRDefault="00E72C17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2C17">
        <w:rPr>
          <w:rFonts w:ascii="Times New Roman" w:hAnsi="Times New Roman"/>
          <w:sz w:val="28"/>
          <w:szCs w:val="28"/>
        </w:rPr>
        <w:t xml:space="preserve">Европейский союз юридически был закреплён Маастрихтским договором в 1992 г. Доля Евросоюза в мировом ВВП в 2012 г. составляла </w:t>
      </w:r>
      <w:r w:rsidRPr="00E72C17">
        <w:rPr>
          <w:rFonts w:ascii="Times New Roman" w:hAnsi="Times New Roman"/>
          <w:sz w:val="28"/>
          <w:szCs w:val="28"/>
        </w:rPr>
        <w:lastRenderedPageBreak/>
        <w:t xml:space="preserve">около 23 % ($ 16,6 трлн). 19 стран ЕС образовали так называемую еврозону, введя в обращение единую валюту – евро. 16,6 трлн). 19 стран ЕС образовали так называемую еврозону, введя в обращение единую валюту – евро. </w:t>
      </w:r>
    </w:p>
    <w:p w14:paraId="4C1DB2D9" w14:textId="77777777" w:rsidR="00E879B2" w:rsidRDefault="00E72C17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2C17">
        <w:rPr>
          <w:rFonts w:ascii="Times New Roman" w:hAnsi="Times New Roman"/>
          <w:sz w:val="28"/>
          <w:szCs w:val="28"/>
        </w:rPr>
        <w:t>ЕС – это субъект международного права, у которого есть полномочия участвовать в международных отношениях и заключать международные договора.</w:t>
      </w:r>
    </w:p>
    <w:p w14:paraId="2A631483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Валютный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союз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должен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обеспечивать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стабильность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(гарантируется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ЕЦБ)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общую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финансовую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стабильность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отвечают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национальные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правительства).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Дефолт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государственным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обязательствам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хотя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одной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-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участниц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приведет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падению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спроса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государственные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бумаги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других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случае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покрытие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дефицитов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бюджетов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всех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будет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значительно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осложнено.</w:t>
      </w:r>
      <w:r w:rsidR="004E18D4">
        <w:rPr>
          <w:rStyle w:val="ae"/>
          <w:rFonts w:ascii="Times New Roman" w:hAnsi="Times New Roman"/>
          <w:sz w:val="28"/>
          <w:szCs w:val="28"/>
        </w:rPr>
        <w:footnoteReference w:id="3"/>
      </w:r>
    </w:p>
    <w:p w14:paraId="3616ABB9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Долговой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кризис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разразился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2009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году,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когда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возникла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угроза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дефолта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Греции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(дефицит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бюджета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достиг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почти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13%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ВВП,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госдолг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-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€300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млрд,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115%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ВВП).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Затем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такая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же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ситуация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сложилась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Португалии,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Испании,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Италии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Ирландии.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поддержки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членов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критическим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финансовым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состоянием,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которые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самостоятельно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смогли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реструктурировать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долги,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мае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2010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созданы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механизм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стабильности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фонд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стабильности.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декабре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же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заменил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стабилизационный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механизм.</w:t>
      </w:r>
      <w:r w:rsidR="006730C7">
        <w:rPr>
          <w:rStyle w:val="ae"/>
          <w:rFonts w:ascii="Times New Roman" w:hAnsi="Times New Roman"/>
          <w:sz w:val="28"/>
          <w:szCs w:val="28"/>
        </w:rPr>
        <w:footnoteReference w:id="4"/>
      </w:r>
    </w:p>
    <w:p w14:paraId="1EC6B2A6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После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завершения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программ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помощи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2018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(последней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Греция,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лет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получила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более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€240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млрд)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возникла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необходимость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реформирования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рядом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предложений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выступили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Франция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Германия,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частности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созданию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отдельного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бюджета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внутри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бюджета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ЕС.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планируют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lastRenderedPageBreak/>
        <w:t>сформировать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2021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году,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предполагается,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что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все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решения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будут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принимать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только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еврозоны.</w:t>
      </w:r>
    </w:p>
    <w:p w14:paraId="47C046FF" w14:textId="77777777" w:rsidR="00117323" w:rsidRP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случае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принятия,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будет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пополняться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основе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национальных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отчислений,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частности,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направления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части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средств,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получаемых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виде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налога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корпорации,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также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перевода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средств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вводимого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ближайшем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будущем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отдельного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налога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корпорации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цифровых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технологий.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Фонд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предназначается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более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активного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инвестирования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экономику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валютного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сообщества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целью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укрепления,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финансирования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проектов,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которые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направлены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выравнивание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уровня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развития,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противодействия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кризисам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странах,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где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имеет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хождение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евро.</w:t>
      </w:r>
      <w:r w:rsidR="00936B20">
        <w:rPr>
          <w:rStyle w:val="ae"/>
          <w:rFonts w:ascii="Times New Roman" w:hAnsi="Times New Roman"/>
          <w:sz w:val="28"/>
          <w:szCs w:val="28"/>
        </w:rPr>
        <w:footnoteReference w:id="5"/>
      </w:r>
    </w:p>
    <w:p w14:paraId="3670836C" w14:textId="77777777" w:rsidR="00117323" w:rsidRDefault="00117323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Помимо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бюджета,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среди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планов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реформирования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-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преобразование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стабилизационного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механизма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валютный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фонд,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который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станет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аналогом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МВФ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Европы.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Запланирована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также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разработка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единых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банковских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правил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учреждение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поста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министра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еврозоны.</w:t>
      </w:r>
    </w:p>
    <w:p w14:paraId="156E9776" w14:textId="77777777" w:rsidR="00936B20" w:rsidRPr="00936B20" w:rsidRDefault="00936B20" w:rsidP="00936B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вопросе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беженцев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тщетно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пытаются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найти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компромисс.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вовсе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настроены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поиску.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Ангелу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Меркель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остро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критиковали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политику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беженцев,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итоге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936B20">
          <w:rPr>
            <w:rFonts w:ascii="Times New Roman" w:hAnsi="Times New Roman"/>
            <w:sz w:val="28"/>
            <w:szCs w:val="28"/>
          </w:rPr>
          <w:t>подписано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соглашение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с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Турцией,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ослабило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напряжение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вопросе.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продления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политически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спорного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отвечала,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всего,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Меркель.</w:t>
      </w:r>
    </w:p>
    <w:p w14:paraId="4EB53972" w14:textId="77777777" w:rsidR="00936B20" w:rsidRPr="00936B20" w:rsidRDefault="00936B20" w:rsidP="00936B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6B20">
        <w:rPr>
          <w:rFonts w:ascii="Times New Roman" w:hAnsi="Times New Roman"/>
          <w:sz w:val="28"/>
          <w:szCs w:val="28"/>
        </w:rPr>
        <w:t>Франция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хочет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Германией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механизмы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стабильности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евро: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еврозона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лучше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готова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разного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кризисам.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непонятно,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французский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лидер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планами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рассчитывать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Меркель.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канцлер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поддержит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Макрона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общеевропейский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оборонный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бюджет,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lastRenderedPageBreak/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нужна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Ангела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Меркель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сильными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позициями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Берлине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полноценного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банковского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обрести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форму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декабрьском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саммите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Евросоюза.</w:t>
      </w:r>
    </w:p>
    <w:p w14:paraId="1969B15E" w14:textId="77777777" w:rsidR="00936B20" w:rsidRPr="00936B20" w:rsidRDefault="00936B20" w:rsidP="00936B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36B20">
          <w:rPr>
            <w:rFonts w:ascii="Times New Roman" w:hAnsi="Times New Roman"/>
            <w:sz w:val="28"/>
            <w:szCs w:val="28"/>
          </w:rPr>
          <w:t>Италия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становится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все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более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непредсказуемым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фактором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риска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финансовой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сфере.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Комиссар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экономическим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Пьер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B20">
        <w:rPr>
          <w:rFonts w:ascii="Times New Roman" w:hAnsi="Times New Roman"/>
          <w:sz w:val="28"/>
          <w:szCs w:val="28"/>
        </w:rPr>
        <w:t>Московиси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опасается,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спор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итальянском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госбюджете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выйти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из-под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Германия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выступит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переговорщика.</w:t>
      </w:r>
      <w:r>
        <w:rPr>
          <w:rStyle w:val="ae"/>
          <w:rFonts w:ascii="Times New Roman" w:hAnsi="Times New Roman"/>
          <w:sz w:val="28"/>
          <w:szCs w:val="28"/>
        </w:rPr>
        <w:footnoteReference w:id="6"/>
      </w:r>
    </w:p>
    <w:p w14:paraId="06C62CA8" w14:textId="77777777" w:rsidR="00936B20" w:rsidRPr="00936B20" w:rsidRDefault="00936B20" w:rsidP="00936B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6B2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фантазии,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представить,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ослабнет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шаткая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дисциплина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Европейского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консенсуса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брюссельских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саммитах,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Берлин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отступит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переговорщика.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авторитетного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канцлера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ФРГ,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Европарламенте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консервативную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фракцию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Европейской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партии,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Венгрия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20">
        <w:rPr>
          <w:rFonts w:ascii="Times New Roman" w:hAnsi="Times New Roman"/>
          <w:sz w:val="28"/>
          <w:szCs w:val="28"/>
        </w:rPr>
        <w:t>Польша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936B20">
          <w:rPr>
            <w:rFonts w:ascii="Times New Roman" w:hAnsi="Times New Roman"/>
            <w:sz w:val="28"/>
            <w:szCs w:val="28"/>
          </w:rPr>
          <w:t>продолжат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все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больше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отдаляться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от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принципа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верховенства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36B20">
          <w:rPr>
            <w:rFonts w:ascii="Times New Roman" w:hAnsi="Times New Roman"/>
            <w:sz w:val="28"/>
            <w:szCs w:val="28"/>
          </w:rPr>
          <w:t>права.</w:t>
        </w:r>
      </w:hyperlink>
    </w:p>
    <w:p w14:paraId="7BABE3C6" w14:textId="77777777" w:rsidR="00337DF4" w:rsidRPr="007D34B4" w:rsidRDefault="00337DF4" w:rsidP="0011732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C4E0C5B" w14:textId="77777777" w:rsidR="003A56C7" w:rsidRPr="008B18BB" w:rsidRDefault="007D34B4" w:rsidP="003A56C7">
      <w:pPr>
        <w:pStyle w:val="2"/>
        <w:spacing w:before="240" w:after="6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_Toc9208820"/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1.3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Механизмы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регулирования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внешних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дисбалансов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в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европейском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экономическом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и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валютном</w:t>
      </w:r>
      <w:r w:rsidR="00936B20"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союзе</w:t>
      </w:r>
      <w:bookmarkEnd w:id="7"/>
    </w:p>
    <w:p w14:paraId="293CC86A" w14:textId="77777777" w:rsidR="003A56C7" w:rsidRPr="007D34B4" w:rsidRDefault="003A56C7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BE15DAE" w14:textId="77777777" w:rsidR="00882DE9" w:rsidRPr="00882DE9" w:rsidRDefault="00882DE9" w:rsidP="00337DF4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7DF4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настоящее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время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государства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члены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Евразийского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соответствии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распоряжением,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принятым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26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декабря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2016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заседании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Высшего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евразийского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совета,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разрабатывают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нормативно-правовую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базу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создания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общего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рынка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ЕАЭС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целях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инновационного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развития,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устранения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E9">
        <w:rPr>
          <w:rFonts w:ascii="Times New Roman" w:hAnsi="Times New Roman"/>
          <w:sz w:val="28"/>
          <w:szCs w:val="28"/>
        </w:rPr>
        <w:t>межстрановых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структурных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диспропорций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расширения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инвестиций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реальный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сектор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экономики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интегрируемых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стран.</w:t>
      </w:r>
      <w:r w:rsidR="0080536B">
        <w:rPr>
          <w:rStyle w:val="ae"/>
          <w:rFonts w:ascii="Times New Roman" w:hAnsi="Times New Roman"/>
          <w:sz w:val="28"/>
          <w:szCs w:val="28"/>
        </w:rPr>
        <w:footnoteReference w:id="7"/>
      </w:r>
    </w:p>
    <w:p w14:paraId="2FD3A784" w14:textId="77777777" w:rsidR="00882DE9" w:rsidRPr="00882DE9" w:rsidRDefault="00882DE9" w:rsidP="00337DF4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период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после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мирового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финансово-экономического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кризиса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2008-2009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гг.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между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странами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обострились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проблемы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дисбаланса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внешнего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lastRenderedPageBreak/>
        <w:t>кредитования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финансирования,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числе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результате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реализации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широкомасштабных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антикризисных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программ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количественного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смягчения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центрального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банка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(далее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ЕЦБ),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направленных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преодоление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затянувшейся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рецессии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дефляции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регионе.</w:t>
      </w:r>
    </w:p>
    <w:p w14:paraId="65CE3B7B" w14:textId="77777777" w:rsidR="00882DE9" w:rsidRPr="00882DE9" w:rsidRDefault="00882DE9" w:rsidP="00337DF4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последние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годы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накоплены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значительные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дисбалансы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внешнего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кредитования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финансирования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показателям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чистого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внешнего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долга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чистой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международной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инвестиционной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2DE9">
        <w:rPr>
          <w:rFonts w:ascii="Times New Roman" w:hAnsi="Times New Roman"/>
          <w:sz w:val="28"/>
          <w:szCs w:val="28"/>
        </w:rPr>
        <w:t>позиции.</w:t>
      </w:r>
    </w:p>
    <w:p w14:paraId="33CCD74B" w14:textId="77777777" w:rsidR="00882DE9" w:rsidRPr="00882DE9" w:rsidRDefault="00882DE9" w:rsidP="00337DF4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2DE9">
        <w:rPr>
          <w:rFonts w:ascii="Times New Roman" w:hAnsi="Times New Roman"/>
          <w:sz w:val="28"/>
          <w:szCs w:val="28"/>
        </w:rPr>
        <w:t>При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общем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объеме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чистого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внешнего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долга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ЭВС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размере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1,1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трлн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наиболее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крупную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внешнюю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задолженность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евро,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учетом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абсолютных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относительных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показателей,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имеют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Греция,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Испания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3039">
        <w:rPr>
          <w:rFonts w:ascii="Times New Roman" w:hAnsi="Times New Roman"/>
          <w:sz w:val="28"/>
          <w:szCs w:val="28"/>
        </w:rPr>
        <w:t>Италия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3039">
        <w:rPr>
          <w:rFonts w:ascii="Times New Roman" w:hAnsi="Times New Roman"/>
          <w:sz w:val="28"/>
          <w:szCs w:val="28"/>
        </w:rPr>
        <w:t>(табл.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3039">
        <w:rPr>
          <w:rFonts w:ascii="Times New Roman" w:hAnsi="Times New Roman"/>
          <w:sz w:val="28"/>
          <w:szCs w:val="28"/>
        </w:rPr>
        <w:t>1).</w:t>
      </w:r>
      <w:r w:rsidR="00245937" w:rsidRPr="00883039">
        <w:rPr>
          <w:rStyle w:val="ae"/>
          <w:rFonts w:ascii="Times New Roman" w:hAnsi="Times New Roman"/>
          <w:sz w:val="28"/>
          <w:szCs w:val="28"/>
        </w:rPr>
        <w:footnoteReference w:id="8"/>
      </w:r>
    </w:p>
    <w:p w14:paraId="546C2A84" w14:textId="77777777" w:rsidR="0080536B" w:rsidRPr="00882DE9" w:rsidRDefault="0080536B" w:rsidP="0080536B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DE9">
        <w:rPr>
          <w:rFonts w:ascii="Times New Roman" w:hAnsi="Times New Roman"/>
          <w:sz w:val="28"/>
          <w:szCs w:val="28"/>
        </w:rPr>
        <w:t>Таблица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Чистый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внешний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долг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ЕС,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201</w:t>
      </w:r>
      <w:r w:rsidR="00742092">
        <w:rPr>
          <w:rFonts w:ascii="Times New Roman" w:hAnsi="Times New Roman"/>
          <w:sz w:val="28"/>
          <w:szCs w:val="28"/>
        </w:rPr>
        <w:t>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(в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%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ВВП)</w:t>
      </w:r>
      <w:r w:rsidR="00936B2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3206"/>
        <w:gridCol w:w="3221"/>
      </w:tblGrid>
      <w:tr w:rsidR="0080536B" w:rsidRPr="0080536B" w14:paraId="551B1464" w14:textId="77777777" w:rsidTr="006879D1">
        <w:trPr>
          <w:trHeight w:val="57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A7F4BA" w14:textId="77777777" w:rsidR="0080536B" w:rsidRPr="00882DE9" w:rsidRDefault="007226C2" w:rsidP="00722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645731" w14:textId="77777777" w:rsidR="0080536B" w:rsidRPr="008D2788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Чистый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внешний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долг</w:t>
            </w:r>
            <w:r w:rsidRPr="008D278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млрд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евро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71C18E" w14:textId="77777777" w:rsidR="0080536B" w:rsidRPr="0080536B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Чистый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внешний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долг</w:t>
            </w:r>
            <w:r w:rsidRPr="0080536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0536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%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ВВП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536B" w:rsidRPr="00882DE9" w14:paraId="47582AAE" w14:textId="77777777" w:rsidTr="006879D1">
        <w:trPr>
          <w:trHeight w:val="26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EA15D3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Страны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Евросоюза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3FCCB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1096,2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15D9FB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10,2</w:t>
            </w:r>
          </w:p>
        </w:tc>
      </w:tr>
      <w:tr w:rsidR="0080536B" w:rsidRPr="008D2788" w14:paraId="305C9A3E" w14:textId="77777777" w:rsidTr="006879D1">
        <w:trPr>
          <w:trHeight w:val="276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6A2D67" w14:textId="77777777" w:rsidR="0080536B" w:rsidRPr="008D2788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Основные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страны</w:t>
            </w:r>
            <w:r w:rsidRPr="008D278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-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кредиторы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ЕС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размеру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чистого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внешнего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долга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536B" w:rsidRPr="00882DE9" w14:paraId="35490FEA" w14:textId="77777777" w:rsidTr="006879D1">
        <w:trPr>
          <w:trHeight w:val="26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95FD7C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Бельгия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A6A64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-112,4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407158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-26,6</w:t>
            </w:r>
          </w:p>
        </w:tc>
      </w:tr>
      <w:tr w:rsidR="0080536B" w:rsidRPr="00882DE9" w14:paraId="50BFD0BF" w14:textId="77777777" w:rsidTr="006879D1">
        <w:trPr>
          <w:trHeight w:val="26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F460C5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Германия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313A77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-458,9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9C92FD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-14,6</w:t>
            </w:r>
          </w:p>
        </w:tc>
      </w:tr>
      <w:tr w:rsidR="0080536B" w:rsidRPr="00882DE9" w14:paraId="59D52F35" w14:textId="77777777" w:rsidTr="006879D1">
        <w:trPr>
          <w:trHeight w:val="25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B80B3F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Ирландия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946440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-1015,7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D6C876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-368,6</w:t>
            </w:r>
          </w:p>
        </w:tc>
      </w:tr>
      <w:tr w:rsidR="0080536B" w:rsidRPr="00882DE9" w14:paraId="22891217" w14:textId="77777777" w:rsidTr="006879D1">
        <w:trPr>
          <w:trHeight w:val="26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80E403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Люксембург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B8262D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-994,1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9D5315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-1875,5</w:t>
            </w:r>
          </w:p>
        </w:tc>
      </w:tr>
      <w:tr w:rsidR="0080536B" w:rsidRPr="00882DE9" w14:paraId="15A1D6D6" w14:textId="77777777" w:rsidTr="006879D1">
        <w:trPr>
          <w:trHeight w:val="251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87BE70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Основные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страны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-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должники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ЕС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размеру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чистого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внешнего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долга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536B" w:rsidRPr="00882DE9" w14:paraId="54117027" w14:textId="77777777" w:rsidTr="006879D1">
        <w:trPr>
          <w:trHeight w:val="25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BB84DD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Греция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E50A2C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239,6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C40570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137,5</w:t>
            </w:r>
          </w:p>
        </w:tc>
      </w:tr>
      <w:tr w:rsidR="0080536B" w:rsidRPr="00882DE9" w14:paraId="7A29154E" w14:textId="77777777" w:rsidTr="006879D1">
        <w:trPr>
          <w:trHeight w:val="25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87989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Испания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B4FCB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993,4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A0DC1E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88,8</w:t>
            </w:r>
          </w:p>
        </w:tc>
      </w:tr>
      <w:tr w:rsidR="0080536B" w:rsidRPr="00882DE9" w14:paraId="2F5F5951" w14:textId="77777777" w:rsidTr="006879D1">
        <w:trPr>
          <w:trHeight w:val="25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234A33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Италия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E2398F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925,7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C6CACF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55,1</w:t>
            </w:r>
          </w:p>
        </w:tc>
      </w:tr>
      <w:tr w:rsidR="0080536B" w:rsidRPr="00882DE9" w14:paraId="1A16E14A" w14:textId="77777777" w:rsidTr="006879D1">
        <w:trPr>
          <w:trHeight w:val="24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F24466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Нидерланды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37044D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306,4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DACD290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43,6</w:t>
            </w:r>
          </w:p>
        </w:tc>
      </w:tr>
      <w:tr w:rsidR="0080536B" w:rsidRPr="00882DE9" w14:paraId="084BF4DD" w14:textId="77777777" w:rsidTr="006879D1">
        <w:trPr>
          <w:trHeight w:val="23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CD9AD6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BA0478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835,7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A4BD5" w14:textId="77777777" w:rsidR="0080536B" w:rsidRPr="00882DE9" w:rsidRDefault="0080536B" w:rsidP="006879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DE9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37,5</w:t>
            </w:r>
          </w:p>
        </w:tc>
      </w:tr>
    </w:tbl>
    <w:p w14:paraId="64FD6487" w14:textId="77777777" w:rsidR="00883039" w:rsidRDefault="00882DE9" w:rsidP="00EE2BC2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2DE9">
        <w:rPr>
          <w:rFonts w:ascii="Times New Roman" w:hAnsi="Times New Roman"/>
          <w:sz w:val="28"/>
          <w:szCs w:val="28"/>
        </w:rPr>
        <w:t>Показатель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чистой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МИП,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характеризующий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дисбаланс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соотношению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внешних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активов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внешних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обязательств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странах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ЕС,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является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одним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наиболее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репрезентативных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индикаторов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внешней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финансово-экономической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устойчивости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страны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региона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целом.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Страны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целом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являются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чистыми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должниками: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согласно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данным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Евростата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201</w:t>
      </w:r>
      <w:r w:rsidR="00742092">
        <w:rPr>
          <w:rFonts w:ascii="Times New Roman" w:hAnsi="Times New Roman"/>
          <w:sz w:val="28"/>
          <w:szCs w:val="28"/>
        </w:rPr>
        <w:t>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показатель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общей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отрицательной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чистой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МИП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составил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свыше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1,1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трлн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евро.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отношении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ВВП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размер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чистой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отрицательной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МИП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lastRenderedPageBreak/>
        <w:t>целом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составляет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22,0%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ВВП,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82DE9">
        <w:rPr>
          <w:rFonts w:ascii="Times New Roman" w:hAnsi="Times New Roman"/>
          <w:sz w:val="28"/>
          <w:szCs w:val="28"/>
        </w:rPr>
        <w:t>числе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неустойчивости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острота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проблемы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обусловлена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накоплением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отрицательной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чистой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МИП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течение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длительного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времени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сочетании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обострением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проблемы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текущего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платежного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034A60" w:rsidRPr="00337DF4">
        <w:rPr>
          <w:rFonts w:ascii="Times New Roman" w:hAnsi="Times New Roman"/>
          <w:sz w:val="28"/>
          <w:szCs w:val="28"/>
        </w:rPr>
        <w:t>баланса.</w:t>
      </w:r>
      <w:r w:rsidR="00883039">
        <w:rPr>
          <w:rStyle w:val="ae"/>
          <w:rFonts w:ascii="Times New Roman" w:hAnsi="Times New Roman"/>
          <w:sz w:val="28"/>
          <w:szCs w:val="28"/>
        </w:rPr>
        <w:footnoteReference w:id="9"/>
      </w:r>
    </w:p>
    <w:p w14:paraId="68066941" w14:textId="77777777" w:rsidR="00EE2BC2" w:rsidRPr="00337DF4" w:rsidRDefault="00034A60" w:rsidP="00EE2BC2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7DF4">
        <w:rPr>
          <w:rFonts w:ascii="Times New Roman" w:hAnsi="Times New Roman"/>
          <w:sz w:val="28"/>
          <w:szCs w:val="28"/>
        </w:rPr>
        <w:t>Продолжительный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период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долгового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дисбаланса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стран-заемщиков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предкризисный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период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обусловил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образование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них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значительного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объема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внешних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обязательств.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Одновременно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накапливалось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положительное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сальдо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текущего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платежного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баланса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кредиторов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увеличивался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объем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зарубежных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активов.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Темпы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накопления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дельных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странах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зоны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евро.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Одним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из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таких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показателей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является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соотношение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чистой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МИП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к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объему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ВВП,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по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которому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установлен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порог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перехода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в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рисковую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зону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на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уровне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Pr="008B18BB">
        <w:rPr>
          <w:rFonts w:ascii="Times New Roman" w:hAnsi="Times New Roman"/>
          <w:sz w:val="27"/>
          <w:szCs w:val="27"/>
        </w:rPr>
        <w:t>-35%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ВВП,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в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том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числе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в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зоне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евро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—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7,4%</w:t>
      </w:r>
      <w:r w:rsidR="00936B20" w:rsidRPr="008B18BB">
        <w:rPr>
          <w:rFonts w:ascii="Times New Roman" w:hAnsi="Times New Roman"/>
          <w:sz w:val="27"/>
          <w:szCs w:val="27"/>
        </w:rPr>
        <w:t xml:space="preserve"> </w:t>
      </w:r>
      <w:r w:rsidR="00EE2BC2" w:rsidRPr="008B18BB">
        <w:rPr>
          <w:rFonts w:ascii="Times New Roman" w:hAnsi="Times New Roman"/>
          <w:sz w:val="27"/>
          <w:szCs w:val="27"/>
        </w:rPr>
        <w:t>ВВП.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Значительные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дисбалансы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между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странами-кредиторами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>
        <w:rPr>
          <w:rFonts w:ascii="Times New Roman" w:hAnsi="Times New Roman"/>
          <w:sz w:val="28"/>
          <w:szCs w:val="28"/>
        </w:rPr>
        <w:t>странами-дол</w:t>
      </w:r>
      <w:r w:rsidR="00EE2BC2" w:rsidRPr="00337DF4">
        <w:rPr>
          <w:rFonts w:ascii="Times New Roman" w:hAnsi="Times New Roman"/>
          <w:sz w:val="28"/>
          <w:szCs w:val="28"/>
        </w:rPr>
        <w:t>жниками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показателю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чистой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международной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инвестиционной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337DF4">
        <w:rPr>
          <w:rFonts w:ascii="Times New Roman" w:hAnsi="Times New Roman"/>
          <w:sz w:val="28"/>
          <w:szCs w:val="28"/>
        </w:rPr>
        <w:t>позиции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3039">
        <w:rPr>
          <w:rFonts w:ascii="Times New Roman" w:hAnsi="Times New Roman"/>
          <w:sz w:val="28"/>
          <w:szCs w:val="28"/>
        </w:rPr>
        <w:t>подтверждают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3039">
        <w:rPr>
          <w:rFonts w:ascii="Times New Roman" w:hAnsi="Times New Roman"/>
          <w:sz w:val="28"/>
          <w:szCs w:val="28"/>
        </w:rPr>
        <w:t>данные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3039">
        <w:rPr>
          <w:rFonts w:ascii="Times New Roman" w:hAnsi="Times New Roman"/>
          <w:sz w:val="28"/>
          <w:szCs w:val="28"/>
        </w:rPr>
        <w:t>табл.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E2BC2" w:rsidRPr="00883039">
        <w:rPr>
          <w:rFonts w:ascii="Times New Roman" w:hAnsi="Times New Roman"/>
          <w:sz w:val="28"/>
          <w:szCs w:val="28"/>
        </w:rPr>
        <w:t>2.</w:t>
      </w:r>
      <w:r w:rsidR="001240B1" w:rsidRPr="00883039">
        <w:rPr>
          <w:rStyle w:val="ae"/>
          <w:rFonts w:ascii="Times New Roman" w:hAnsi="Times New Roman"/>
          <w:sz w:val="28"/>
          <w:szCs w:val="28"/>
        </w:rPr>
        <w:footnoteReference w:id="10"/>
      </w:r>
    </w:p>
    <w:p w14:paraId="5900D720" w14:textId="77777777" w:rsidR="00034A60" w:rsidRPr="00C07F8B" w:rsidRDefault="00034A60" w:rsidP="00C07F8B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DF4">
        <w:rPr>
          <w:rFonts w:ascii="Times New Roman" w:hAnsi="Times New Roman"/>
          <w:sz w:val="28"/>
          <w:szCs w:val="28"/>
        </w:rPr>
        <w:t>Таблица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2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C07F8B">
        <w:rPr>
          <w:rFonts w:ascii="Times New Roman" w:hAnsi="Times New Roman"/>
          <w:sz w:val="28"/>
          <w:szCs w:val="28"/>
        </w:rPr>
        <w:t>-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Чистая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международная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инвестиционная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позиция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отдельных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евро,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201</w:t>
      </w:r>
      <w:r w:rsidR="00742092">
        <w:rPr>
          <w:rFonts w:ascii="Times New Roman" w:hAnsi="Times New Roman"/>
          <w:sz w:val="28"/>
          <w:szCs w:val="28"/>
        </w:rPr>
        <w:t>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г.,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в%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ВВП</w:t>
      </w:r>
      <w:r w:rsidR="00936B2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3206"/>
        <w:gridCol w:w="3221"/>
      </w:tblGrid>
      <w:tr w:rsidR="00034A60" w:rsidRPr="00034A60" w14:paraId="75EC54C3" w14:textId="77777777" w:rsidTr="00EE2BC2">
        <w:trPr>
          <w:trHeight w:val="69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9D1C7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016906" w14:textId="77777777" w:rsidR="00034A60" w:rsidRPr="00E0491A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Чистая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международная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инвестиционная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позиция,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млрд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евро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27120E" w14:textId="77777777" w:rsidR="00034A60" w:rsidRPr="00E0491A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Чистая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международная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инвестиционная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позиция</w:t>
            </w:r>
            <w:r w:rsidRPr="00E0491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E0491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%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ВВП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A60" w:rsidRPr="00034A60" w14:paraId="2CD6246A" w14:textId="77777777" w:rsidTr="00EE2BC2">
        <w:trPr>
          <w:trHeight w:val="28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7CA718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Всего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страны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ЕС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22F4F2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-1145,0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1BCEB8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-22,0</w:t>
            </w:r>
          </w:p>
        </w:tc>
      </w:tr>
      <w:tr w:rsidR="00034A60" w:rsidRPr="00EE2BC2" w14:paraId="5DBBFF72" w14:textId="77777777" w:rsidTr="00EE2BC2">
        <w:trPr>
          <w:trHeight w:val="402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3FB97F" w14:textId="77777777" w:rsidR="00034A60" w:rsidRPr="00EE2BC2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Основные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страны</w:t>
            </w:r>
            <w:r w:rsidRPr="00EE2BC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-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кредиторы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ЕС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размеру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чистой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международной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инвестиционной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позиции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A60" w:rsidRPr="00034A60" w14:paraId="7F197CEE" w14:textId="77777777" w:rsidTr="00EE2BC2">
        <w:trPr>
          <w:trHeight w:val="12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43AF1B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Нидерланды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A1477F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475,5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409ED1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67,7</w:t>
            </w:r>
          </w:p>
        </w:tc>
      </w:tr>
      <w:tr w:rsidR="00034A60" w:rsidRPr="00034A60" w14:paraId="75B04B21" w14:textId="77777777" w:rsidTr="00EE2BC2">
        <w:trPr>
          <w:trHeight w:val="27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DAC1D5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4AB629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1708,9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3B1C10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54,4</w:t>
            </w:r>
          </w:p>
        </w:tc>
      </w:tr>
      <w:tr w:rsidR="00034A60" w:rsidRPr="00034A60" w14:paraId="645F44E4" w14:textId="77777777" w:rsidTr="00EE2BC2">
        <w:trPr>
          <w:trHeight w:val="27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3F2F79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Бельгия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0CD973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216,6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FED5DC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51,2</w:t>
            </w:r>
          </w:p>
        </w:tc>
      </w:tr>
      <w:tr w:rsidR="00034A60" w:rsidRPr="00034A60" w14:paraId="28B11C66" w14:textId="77777777" w:rsidTr="00EE2BC2">
        <w:trPr>
          <w:trHeight w:val="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E2D54A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Люксембург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1D5864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18,4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D4CC5F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34,7</w:t>
            </w:r>
          </w:p>
        </w:tc>
      </w:tr>
      <w:tr w:rsidR="00034A60" w:rsidRPr="00034A60" w14:paraId="37B05593" w14:textId="77777777" w:rsidTr="00EE2BC2">
        <w:trPr>
          <w:trHeight w:val="412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9B3E43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Основные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страны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-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должники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ЕС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размеру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чистой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международной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инвестиционной</w:t>
            </w:r>
            <w:r w:rsidR="00936B2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позиции</w:t>
            </w:r>
          </w:p>
        </w:tc>
      </w:tr>
      <w:tr w:rsidR="00034A60" w:rsidRPr="00034A60" w14:paraId="200C3CC9" w14:textId="77777777" w:rsidTr="00EE2BC2">
        <w:trPr>
          <w:trHeight w:val="26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CFBBF4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Ирландия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6A210E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-485,5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8316BD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-176,2</w:t>
            </w:r>
          </w:p>
        </w:tc>
      </w:tr>
      <w:tr w:rsidR="00034A60" w:rsidRPr="00034A60" w14:paraId="10A9C73C" w14:textId="77777777" w:rsidTr="00EE2BC2">
        <w:trPr>
          <w:trHeight w:val="26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84A29F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5F58B2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-242,6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DA8194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-139,3</w:t>
            </w:r>
          </w:p>
        </w:tc>
      </w:tr>
      <w:tr w:rsidR="00034A60" w:rsidRPr="00034A60" w14:paraId="58988598" w14:textId="77777777" w:rsidTr="00EE2BC2">
        <w:trPr>
          <w:trHeight w:val="11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4D12AD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Кипр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D25470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-23,2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FDFB26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-127,8</w:t>
            </w:r>
          </w:p>
        </w:tc>
      </w:tr>
      <w:tr w:rsidR="00034A60" w:rsidRPr="00034A60" w14:paraId="326C5107" w14:textId="77777777" w:rsidTr="00EE2BC2">
        <w:trPr>
          <w:trHeight w:val="26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49F92C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Португалия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E90ED6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-193,9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EAF957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-104,7</w:t>
            </w:r>
          </w:p>
        </w:tc>
      </w:tr>
      <w:tr w:rsidR="00034A60" w:rsidRPr="00034A60" w14:paraId="496B23DA" w14:textId="77777777" w:rsidTr="00EE2BC2">
        <w:trPr>
          <w:trHeight w:val="25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6D4BE5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053534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-938,4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D701C0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-83,9</w:t>
            </w:r>
          </w:p>
        </w:tc>
      </w:tr>
      <w:tr w:rsidR="00034A60" w:rsidRPr="00034A60" w14:paraId="37326C88" w14:textId="77777777" w:rsidTr="00EE2BC2">
        <w:trPr>
          <w:trHeight w:val="25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4B3AD6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1CF903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-351,0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D89B6B0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-15,7</w:t>
            </w:r>
          </w:p>
        </w:tc>
      </w:tr>
      <w:tr w:rsidR="00034A60" w:rsidRPr="00034A60" w14:paraId="22281260" w14:textId="77777777" w:rsidTr="00EE2BC2">
        <w:trPr>
          <w:trHeight w:val="1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7A7B25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D2F6D6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-165,1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432A6" w14:textId="77777777" w:rsidR="00034A60" w:rsidRPr="00034A60" w:rsidRDefault="00034A60" w:rsidP="00C07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4A6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-9,8</w:t>
            </w:r>
          </w:p>
        </w:tc>
      </w:tr>
    </w:tbl>
    <w:p w14:paraId="52E63577" w14:textId="77777777" w:rsidR="00B02939" w:rsidRDefault="00B02939" w:rsidP="00B0293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A60">
        <w:rPr>
          <w:rFonts w:ascii="Times New Roman" w:hAnsi="Times New Roman"/>
          <w:sz w:val="28"/>
          <w:szCs w:val="28"/>
        </w:rPr>
        <w:lastRenderedPageBreak/>
        <w:t>Особую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обеспокоенность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регуляторов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Евросоюзе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вызывают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показателем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отрицательной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чистой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МИП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ВВП,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именно: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Ирландия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(-176%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ВВП),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Греция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(-139%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ВВП),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Кипр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(-128%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ВВП),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Португалия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(-105%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ВВП).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A60">
        <w:rPr>
          <w:rFonts w:ascii="Times New Roman" w:hAnsi="Times New Roman"/>
          <w:sz w:val="28"/>
          <w:szCs w:val="28"/>
        </w:rPr>
        <w:t>позиций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</w:t>
      </w:r>
      <w:r w:rsidRPr="00E5306A">
        <w:rPr>
          <w:rFonts w:ascii="Times New Roman" w:hAnsi="Times New Roman"/>
          <w:sz w:val="28"/>
          <w:szCs w:val="28"/>
        </w:rPr>
        <w:t>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рисков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неустойчивости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острота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обусловлена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накоплением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отрицательной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чистой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длительного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сочетании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обострением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платежного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баланса.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Продолжительный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стран-заемщиков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предкризисный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обусловил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значительного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внешних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обязательств.</w:t>
      </w:r>
    </w:p>
    <w:p w14:paraId="649DE594" w14:textId="77777777" w:rsidR="00E5306A" w:rsidRPr="00E5306A" w:rsidRDefault="00E5306A" w:rsidP="00337DF4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Одновременно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накапливалось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положительное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сальдо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текущего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платежного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баланса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кредиторов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увеличивался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объем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зарубежных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активов.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Темпы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накопления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внешних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обязательств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стран-должников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несколько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снизились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время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глобального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кризиса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2008-2009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гг.,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стали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вновь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увеличиваться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2012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г.,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числе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результат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реализации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программ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нетрадиционной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денежно-кредитной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политики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ЕЦБ.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структуре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отрицательной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чистой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МИП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стран-заемщиков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преобладают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обязательства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портфельным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инвестициям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сочетании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быстрым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ростом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прочих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инвестиций.</w:t>
      </w:r>
    </w:p>
    <w:p w14:paraId="187D4652" w14:textId="77777777" w:rsidR="00E5306A" w:rsidRPr="00E5306A" w:rsidRDefault="00E5306A" w:rsidP="00337DF4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Проблема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побудила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власти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принятию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общих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системных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точечных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целевых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мер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регулированию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устранению.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начала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2010-х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региональном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уровне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активное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развитие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получили:</w:t>
      </w:r>
      <w:r w:rsidR="004E18D4">
        <w:rPr>
          <w:rStyle w:val="ae"/>
          <w:rFonts w:ascii="Times New Roman" w:hAnsi="Times New Roman"/>
          <w:sz w:val="28"/>
          <w:szCs w:val="28"/>
        </w:rPr>
        <w:footnoteReference w:id="11"/>
      </w:r>
    </w:p>
    <w:p w14:paraId="18FF6C51" w14:textId="77777777" w:rsidR="00E5306A" w:rsidRPr="00337DF4" w:rsidRDefault="00E5306A" w:rsidP="00337DF4">
      <w:pPr>
        <w:pStyle w:val="aa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DF4">
        <w:rPr>
          <w:rFonts w:ascii="Times New Roman" w:hAnsi="Times New Roman"/>
          <w:sz w:val="28"/>
          <w:szCs w:val="28"/>
        </w:rPr>
        <w:t>институциональные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механизмы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процедуры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общего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макроэкономического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регулирования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международных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кредитно-финансовых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отношений;</w:t>
      </w:r>
    </w:p>
    <w:p w14:paraId="19EB1F91" w14:textId="77777777" w:rsidR="00E5306A" w:rsidRPr="00337DF4" w:rsidRDefault="00E5306A" w:rsidP="00337DF4">
      <w:pPr>
        <w:pStyle w:val="aa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DF4">
        <w:rPr>
          <w:rFonts w:ascii="Times New Roman" w:hAnsi="Times New Roman"/>
          <w:sz w:val="28"/>
          <w:szCs w:val="28"/>
        </w:rPr>
        <w:t>инструменты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прямой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кредитной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поддержки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банков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других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организаций,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числе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решения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проблем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внешних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долгов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Евросоюза.</w:t>
      </w:r>
    </w:p>
    <w:p w14:paraId="6C26C3BB" w14:textId="77777777" w:rsidR="00E5306A" w:rsidRPr="00E5306A" w:rsidRDefault="00E5306A" w:rsidP="00C231F1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lastRenderedPageBreak/>
        <w:t>Система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механизмов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макроэкономического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регулирования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посткризисный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период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включает:</w:t>
      </w:r>
    </w:p>
    <w:p w14:paraId="262FD6C5" w14:textId="77777777" w:rsidR="00E5306A" w:rsidRPr="00E5306A" w:rsidRDefault="00E5306A" w:rsidP="00C231F1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а)</w:t>
      </w:r>
      <w:r w:rsidRPr="00E5306A">
        <w:rPr>
          <w:rFonts w:ascii="Times New Roman" w:hAnsi="Times New Roman"/>
          <w:sz w:val="28"/>
          <w:szCs w:val="28"/>
        </w:rPr>
        <w:tab/>
        <w:t>программы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семестра,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обеспечивающие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координацию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финансово-экономической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политики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ЕС;</w:t>
      </w:r>
    </w:p>
    <w:p w14:paraId="144F0488" w14:textId="77777777" w:rsidR="00E5306A" w:rsidRPr="00E5306A" w:rsidRDefault="00E5306A" w:rsidP="00C231F1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б)</w:t>
      </w:r>
      <w:r w:rsidRPr="00E5306A">
        <w:rPr>
          <w:rFonts w:ascii="Times New Roman" w:hAnsi="Times New Roman"/>
          <w:sz w:val="28"/>
          <w:szCs w:val="28"/>
        </w:rPr>
        <w:tab/>
        <w:t>реформированный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Пакт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стабильности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роста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основе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договора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стабильности,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координации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регулировании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ЭВС;</w:t>
      </w:r>
    </w:p>
    <w:p w14:paraId="366D9B64" w14:textId="77777777" w:rsidR="00E5306A" w:rsidRPr="00E5306A" w:rsidRDefault="00E5306A" w:rsidP="00C231F1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в)</w:t>
      </w:r>
      <w:r w:rsidRPr="00E5306A">
        <w:rPr>
          <w:rFonts w:ascii="Times New Roman" w:hAnsi="Times New Roman"/>
          <w:sz w:val="28"/>
          <w:szCs w:val="28"/>
        </w:rPr>
        <w:tab/>
        <w:t>процедуры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оценки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макроэкономических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инструментарий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макроэкономического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надзора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Евросоюзе;</w:t>
      </w:r>
    </w:p>
    <w:p w14:paraId="25EF17D5" w14:textId="77777777" w:rsidR="00E5306A" w:rsidRPr="00E5306A" w:rsidRDefault="00E5306A" w:rsidP="00C231F1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г)</w:t>
      </w:r>
      <w:r w:rsidRPr="00E5306A">
        <w:rPr>
          <w:rFonts w:ascii="Times New Roman" w:hAnsi="Times New Roman"/>
          <w:sz w:val="28"/>
          <w:szCs w:val="28"/>
        </w:rPr>
        <w:tab/>
        <w:t>механизм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макропруденциального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регулирования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кредитования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путем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консолидации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надзора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рамках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создаваемого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рынков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капитала.</w:t>
      </w:r>
    </w:p>
    <w:p w14:paraId="60720B50" w14:textId="77777777" w:rsidR="00E5306A" w:rsidRPr="00E5306A" w:rsidRDefault="00E5306A" w:rsidP="008B2E8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Координация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финансово-экономической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политики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основе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семестра.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Правила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требования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контексте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семестра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представляют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собой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ежегодный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цикл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координации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надзора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проведением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финансово-экономической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политики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отдельных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государств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стороны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властей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целями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являются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обеспечение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устойчивости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государственных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ЕС;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предупреждение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крупных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макроэкономических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дисбалансов;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проведение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структурных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реформ,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содействие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экономическому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росту,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повышению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занятости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росту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инвестиций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ЕС.</w:t>
      </w:r>
      <w:r w:rsidR="002335AB">
        <w:rPr>
          <w:rStyle w:val="ae"/>
          <w:rFonts w:ascii="Times New Roman" w:hAnsi="Times New Roman"/>
          <w:sz w:val="28"/>
          <w:szCs w:val="28"/>
        </w:rPr>
        <w:footnoteReference w:id="12"/>
      </w:r>
    </w:p>
    <w:p w14:paraId="1228DA1A" w14:textId="77777777" w:rsidR="00E5306A" w:rsidRPr="00E5306A" w:rsidRDefault="00E5306A" w:rsidP="008B2E8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Алгоритм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семестра.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соответствии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действующим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2010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алгоритмом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семестра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члены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ноябре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каждого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публикуют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три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документа: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ежегодный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обзор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состоянии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экономики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(</w:t>
      </w:r>
      <w:proofErr w:type="spellStart"/>
      <w:r w:rsidRPr="00E5306A">
        <w:rPr>
          <w:rFonts w:ascii="Times New Roman" w:hAnsi="Times New Roman"/>
          <w:sz w:val="28"/>
          <w:szCs w:val="28"/>
        </w:rPr>
        <w:t>Commission’s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Annual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Growth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Survey</w:t>
      </w:r>
      <w:proofErr w:type="spellEnd"/>
      <w:r w:rsidRPr="00E5306A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AGS);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отчет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механизмах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предупреждения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рисков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(</w:t>
      </w:r>
      <w:proofErr w:type="spellStart"/>
      <w:r w:rsidRPr="00E5306A">
        <w:rPr>
          <w:rFonts w:ascii="Times New Roman" w:hAnsi="Times New Roman"/>
          <w:sz w:val="28"/>
          <w:szCs w:val="28"/>
        </w:rPr>
        <w:t>Alert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Mechanism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Report</w:t>
      </w:r>
      <w:proofErr w:type="spellEnd"/>
      <w:r w:rsidRPr="00E5306A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AMR);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проект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отчета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рынке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занятости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(</w:t>
      </w:r>
      <w:proofErr w:type="spellStart"/>
      <w:r w:rsidRPr="00E5306A">
        <w:rPr>
          <w:rFonts w:ascii="Times New Roman" w:hAnsi="Times New Roman"/>
          <w:sz w:val="28"/>
          <w:szCs w:val="28"/>
        </w:rPr>
        <w:t>the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draft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Joint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Employment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Report</w:t>
      </w:r>
      <w:proofErr w:type="spellEnd"/>
      <w:r w:rsidRPr="00E5306A">
        <w:rPr>
          <w:rFonts w:ascii="Times New Roman" w:hAnsi="Times New Roman"/>
          <w:sz w:val="28"/>
          <w:szCs w:val="28"/>
        </w:rPr>
        <w:t>).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течение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марта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июля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каждого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представляют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комиссию4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национальные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программы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реформ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поддержания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устойчивости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lastRenderedPageBreak/>
        <w:t>конвергенции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форме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трехлетних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бюджетных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планов,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которые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учетом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обсуждения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рекомендаций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стороны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Комиссии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утверждаются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ЕС.</w:t>
      </w:r>
      <w:r w:rsidR="00380F9C">
        <w:rPr>
          <w:rStyle w:val="ae"/>
          <w:rFonts w:ascii="Times New Roman" w:hAnsi="Times New Roman"/>
          <w:sz w:val="28"/>
          <w:szCs w:val="28"/>
        </w:rPr>
        <w:footnoteReference w:id="13"/>
      </w:r>
    </w:p>
    <w:p w14:paraId="4443C959" w14:textId="77777777" w:rsidR="00E5306A" w:rsidRPr="00E5306A" w:rsidRDefault="00E5306A" w:rsidP="008B2E8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Правительства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завершающем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этапе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включают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утвержденные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рекомендации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планы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своих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реформ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бюджеты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предстоящий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трехлетний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цикл.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течение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всего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комиссия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диалоге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всеми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заинтересованными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сторонами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руководством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государств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членов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осуществляет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тщательный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мониторинг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соответствия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проводимой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странами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политики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утвержденным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отношении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рекомендациям.</w:t>
      </w:r>
    </w:p>
    <w:p w14:paraId="7790341E" w14:textId="77777777" w:rsidR="00E5306A" w:rsidRPr="00E5306A" w:rsidRDefault="00E5306A" w:rsidP="008B2E8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06A">
        <w:rPr>
          <w:rFonts w:ascii="Times New Roman" w:hAnsi="Times New Roman"/>
          <w:sz w:val="28"/>
          <w:szCs w:val="28"/>
        </w:rPr>
        <w:t>Макропруденциальное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регулирование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кредитования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путем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консолидации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надзора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рамках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создаваемого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рынков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капитала.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соответствии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соглашением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24.12.2013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надзорный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блок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представляет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собой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созданный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20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ноября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2014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контролем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ЕЦБ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Единый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надзорный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механизм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(далее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ЕНМ,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Single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Supervisory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Mechanism</w:t>
      </w:r>
      <w:proofErr w:type="spellEnd"/>
      <w:r w:rsidRPr="00E5306A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SSM),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включающий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три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группы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институтов:</w:t>
      </w:r>
    </w:p>
    <w:p w14:paraId="722C6C77" w14:textId="77777777" w:rsidR="00E5306A" w:rsidRPr="008B2E8C" w:rsidRDefault="00E5306A" w:rsidP="008B2E8C">
      <w:pPr>
        <w:pStyle w:val="aa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E8C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совет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системным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рискам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(</w:t>
      </w:r>
      <w:proofErr w:type="spellStart"/>
      <w:r w:rsidRPr="008B2E8C">
        <w:rPr>
          <w:rFonts w:ascii="Times New Roman" w:hAnsi="Times New Roman"/>
          <w:sz w:val="28"/>
          <w:szCs w:val="28"/>
        </w:rPr>
        <w:t>The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European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Systemic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Risk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Board</w:t>
      </w:r>
      <w:proofErr w:type="spellEnd"/>
      <w:r w:rsidRPr="008B2E8C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ESRB)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сегмент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макропруденциального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надзора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европейским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финансовым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сектором,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целью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которого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является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предупреждение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устранение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системных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рисков;</w:t>
      </w:r>
    </w:p>
    <w:p w14:paraId="2D49FDF4" w14:textId="77777777" w:rsidR="00E5306A" w:rsidRPr="008B2E8C" w:rsidRDefault="00E5306A" w:rsidP="008B2E8C">
      <w:pPr>
        <w:pStyle w:val="aa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E8C">
        <w:rPr>
          <w:rFonts w:ascii="Times New Roman" w:hAnsi="Times New Roman"/>
          <w:sz w:val="28"/>
          <w:szCs w:val="28"/>
        </w:rPr>
        <w:t>Европейскую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систему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надзора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сегмент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микропруденциального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надзора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(</w:t>
      </w:r>
      <w:proofErr w:type="spellStart"/>
      <w:r w:rsidRPr="008B2E8C">
        <w:rPr>
          <w:rFonts w:ascii="Times New Roman" w:hAnsi="Times New Roman"/>
          <w:sz w:val="28"/>
          <w:szCs w:val="28"/>
        </w:rPr>
        <w:t>The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European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System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of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Financial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Supervision</w:t>
      </w:r>
      <w:proofErr w:type="spellEnd"/>
      <w:r w:rsidRPr="008B2E8C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ESFS)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европейским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финансовым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рынком,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который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состоит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трех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надзорных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органов: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совет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ценным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бумагам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рынкам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(</w:t>
      </w:r>
      <w:proofErr w:type="spellStart"/>
      <w:r w:rsidRPr="008B2E8C">
        <w:rPr>
          <w:rFonts w:ascii="Times New Roman" w:hAnsi="Times New Roman"/>
          <w:sz w:val="28"/>
          <w:szCs w:val="28"/>
        </w:rPr>
        <w:t>the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European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Securities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and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Markets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Authorities</w:t>
      </w:r>
      <w:proofErr w:type="spellEnd"/>
      <w:r w:rsidRPr="008B2E8C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ESMA);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Европейское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банковское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управление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(</w:t>
      </w:r>
      <w:proofErr w:type="spellStart"/>
      <w:r w:rsidRPr="008B2E8C">
        <w:rPr>
          <w:rFonts w:ascii="Times New Roman" w:hAnsi="Times New Roman"/>
          <w:sz w:val="28"/>
          <w:szCs w:val="28"/>
        </w:rPr>
        <w:t>the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European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Banking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Authority</w:t>
      </w:r>
      <w:proofErr w:type="spellEnd"/>
      <w:r w:rsidRPr="008B2E8C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EBA);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совет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страховым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компаниям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пенсионному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обеспечению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(</w:t>
      </w:r>
      <w:proofErr w:type="spellStart"/>
      <w:r w:rsidRPr="008B2E8C">
        <w:rPr>
          <w:rFonts w:ascii="Times New Roman" w:hAnsi="Times New Roman"/>
          <w:sz w:val="28"/>
          <w:szCs w:val="28"/>
        </w:rPr>
        <w:t>the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European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Insurance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and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Occupational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Pensions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Authority</w:t>
      </w:r>
      <w:proofErr w:type="spellEnd"/>
      <w:r w:rsidRPr="008B2E8C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EIOPA);</w:t>
      </w:r>
    </w:p>
    <w:p w14:paraId="0AA042B3" w14:textId="77777777" w:rsidR="00E5306A" w:rsidRPr="008B2E8C" w:rsidRDefault="00E5306A" w:rsidP="008B2E8C">
      <w:pPr>
        <w:pStyle w:val="aa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E8C">
        <w:rPr>
          <w:rFonts w:ascii="Times New Roman" w:hAnsi="Times New Roman"/>
          <w:sz w:val="28"/>
          <w:szCs w:val="28"/>
        </w:rPr>
        <w:lastRenderedPageBreak/>
        <w:t>Объединенный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комитет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европейских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DD1A02" w:rsidRPr="008B2E8C">
        <w:rPr>
          <w:rFonts w:ascii="Times New Roman" w:hAnsi="Times New Roman"/>
          <w:sz w:val="28"/>
          <w:szCs w:val="28"/>
        </w:rPr>
        <w:t>национальных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DD1A02" w:rsidRPr="008B2E8C">
        <w:rPr>
          <w:rFonts w:ascii="Times New Roman" w:hAnsi="Times New Roman"/>
          <w:sz w:val="28"/>
          <w:szCs w:val="28"/>
        </w:rPr>
        <w:t>надзорных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DD1A02" w:rsidRPr="008B2E8C">
        <w:rPr>
          <w:rFonts w:ascii="Times New Roman" w:hAnsi="Times New Roman"/>
          <w:sz w:val="28"/>
          <w:szCs w:val="28"/>
        </w:rPr>
        <w:t>органов,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сотрудничества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(</w:t>
      </w:r>
      <w:proofErr w:type="spellStart"/>
      <w:r w:rsidRPr="008B2E8C">
        <w:rPr>
          <w:rFonts w:ascii="Times New Roman" w:hAnsi="Times New Roman"/>
          <w:sz w:val="28"/>
          <w:szCs w:val="28"/>
        </w:rPr>
        <w:t>the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Joint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Committee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of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the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European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Supervisory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Authorities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and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the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national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supervisory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E8C">
        <w:rPr>
          <w:rFonts w:ascii="Times New Roman" w:hAnsi="Times New Roman"/>
          <w:sz w:val="28"/>
          <w:szCs w:val="28"/>
        </w:rPr>
        <w:t>authorities</w:t>
      </w:r>
      <w:proofErr w:type="spellEnd"/>
      <w:r w:rsidRPr="008B2E8C">
        <w:rPr>
          <w:rFonts w:ascii="Times New Roman" w:hAnsi="Times New Roman"/>
          <w:sz w:val="28"/>
          <w:szCs w:val="28"/>
        </w:rPr>
        <w:t>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институтами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глобального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рынка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институт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координации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надзорной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деятельности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органов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региональном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национальном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8B2E8C">
        <w:rPr>
          <w:rFonts w:ascii="Times New Roman" w:hAnsi="Times New Roman"/>
          <w:sz w:val="28"/>
          <w:szCs w:val="28"/>
        </w:rPr>
        <w:t>уровне.</w:t>
      </w:r>
      <w:r w:rsidR="002335AB">
        <w:rPr>
          <w:rStyle w:val="ae"/>
          <w:rFonts w:ascii="Times New Roman" w:hAnsi="Times New Roman"/>
          <w:sz w:val="28"/>
          <w:szCs w:val="28"/>
        </w:rPr>
        <w:footnoteReference w:id="14"/>
      </w:r>
    </w:p>
    <w:p w14:paraId="412B8453" w14:textId="77777777" w:rsidR="00523AB3" w:rsidRPr="00523AB3" w:rsidRDefault="00E5306A" w:rsidP="00C717B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Учитывая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наличие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преимущественно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банковской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модели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институтов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посредничества,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особое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место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системе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надзорных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органов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отводится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созданному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январе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2011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Лондонском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финансовом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центре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Европейскому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банковскому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управлению6.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Цели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деятельности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оценка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регулирование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банковских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рисков,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поддержание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устойчивости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сектора,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обеспечение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слаженного,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эффективного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упорядоченного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функционирования.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Основной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задачей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данного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института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является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содействие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разработке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Единого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свода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правил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банковской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деятельности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внедрения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единых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гармонизированных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AB3" w:rsidRPr="00523AB3">
        <w:rPr>
          <w:rFonts w:ascii="Times New Roman" w:hAnsi="Times New Roman"/>
          <w:sz w:val="28"/>
          <w:szCs w:val="28"/>
        </w:rPr>
        <w:t>пруденциальных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правил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институтов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ЕС.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Координирующая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роль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данной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структуры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состоит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сближении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надзорной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практики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государств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членов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23AB3" w:rsidRPr="00523AB3">
        <w:rPr>
          <w:rFonts w:ascii="Times New Roman" w:hAnsi="Times New Roman"/>
          <w:sz w:val="28"/>
          <w:szCs w:val="28"/>
        </w:rPr>
        <w:t>ЕС.</w:t>
      </w:r>
      <w:r w:rsidR="004E18D4">
        <w:rPr>
          <w:rStyle w:val="ae"/>
          <w:rFonts w:ascii="Times New Roman" w:hAnsi="Times New Roman"/>
          <w:sz w:val="28"/>
          <w:szCs w:val="28"/>
        </w:rPr>
        <w:footnoteReference w:id="15"/>
      </w:r>
    </w:p>
    <w:p w14:paraId="3D803FF1" w14:textId="77777777" w:rsidR="00523AB3" w:rsidRPr="00523AB3" w:rsidRDefault="00523AB3" w:rsidP="00C717B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3AB3">
        <w:rPr>
          <w:rFonts w:ascii="Times New Roman" w:hAnsi="Times New Roman"/>
          <w:sz w:val="28"/>
          <w:szCs w:val="28"/>
        </w:rPr>
        <w:t>Единый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надзорный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механизм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совместно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ЕЦБ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осуществляет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прямой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надзор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деятельностью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наиболее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крупных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системно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значимых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активами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размере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80%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совокупных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активов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членов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еврозоны.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Проводится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тщательный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мониторинг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Единым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надзорным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механизмом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европейских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которым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требуется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значительная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дополнительная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капитализация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поддержания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устойчивости.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конечном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счете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союз7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предполагает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рамках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реформы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надзора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распространение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3AB3">
        <w:rPr>
          <w:rFonts w:ascii="Times New Roman" w:hAnsi="Times New Roman"/>
          <w:sz w:val="28"/>
          <w:szCs w:val="28"/>
        </w:rPr>
        <w:t>макропруденциальных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инструментов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все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финансовые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институты,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включая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«теневой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сектор»,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который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является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источником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нестабильности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евро.</w:t>
      </w:r>
    </w:p>
    <w:p w14:paraId="7C21C794" w14:textId="77777777" w:rsidR="00523AB3" w:rsidRPr="00523AB3" w:rsidRDefault="00523AB3" w:rsidP="00C717B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3AB3">
        <w:rPr>
          <w:rFonts w:ascii="Times New Roman" w:hAnsi="Times New Roman"/>
          <w:sz w:val="28"/>
          <w:szCs w:val="28"/>
        </w:rPr>
        <w:lastRenderedPageBreak/>
        <w:t>Новый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формат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мер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прямой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ликвидной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инвестиционной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поддержки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обострившимися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проблемами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внешнего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кредитования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финансирования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дополнен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следующим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инструментарием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программ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институциональных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механизмов:</w:t>
      </w:r>
    </w:p>
    <w:p w14:paraId="36F28076" w14:textId="77777777" w:rsidR="00523AB3" w:rsidRPr="00523AB3" w:rsidRDefault="00523AB3" w:rsidP="00C717B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3AB3">
        <w:rPr>
          <w:rFonts w:ascii="Times New Roman" w:hAnsi="Times New Roman"/>
          <w:sz w:val="28"/>
          <w:szCs w:val="28"/>
        </w:rPr>
        <w:t>а)</w:t>
      </w:r>
      <w:r w:rsidRPr="00523AB3">
        <w:rPr>
          <w:rFonts w:ascii="Times New Roman" w:hAnsi="Times New Roman"/>
          <w:sz w:val="28"/>
          <w:szCs w:val="28"/>
        </w:rPr>
        <w:tab/>
        <w:t>программы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нетрадиционной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денежно-кредитной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политики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ЕЦБ;</w:t>
      </w:r>
    </w:p>
    <w:p w14:paraId="103706E9" w14:textId="77777777" w:rsidR="00523AB3" w:rsidRPr="00523AB3" w:rsidRDefault="00523AB3" w:rsidP="00C717B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3AB3">
        <w:rPr>
          <w:rFonts w:ascii="Times New Roman" w:hAnsi="Times New Roman"/>
          <w:sz w:val="28"/>
          <w:szCs w:val="28"/>
        </w:rPr>
        <w:t>б)</w:t>
      </w:r>
      <w:r w:rsidRPr="00523AB3">
        <w:rPr>
          <w:rFonts w:ascii="Times New Roman" w:hAnsi="Times New Roman"/>
          <w:sz w:val="28"/>
          <w:szCs w:val="28"/>
        </w:rPr>
        <w:tab/>
        <w:t>конструирование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института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консолидации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сектора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ЭВС;</w:t>
      </w:r>
    </w:p>
    <w:p w14:paraId="2A10DC88" w14:textId="77777777" w:rsidR="00523AB3" w:rsidRPr="00523AB3" w:rsidRDefault="00523AB3" w:rsidP="00C717B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3AB3">
        <w:rPr>
          <w:rFonts w:ascii="Times New Roman" w:hAnsi="Times New Roman"/>
          <w:sz w:val="28"/>
          <w:szCs w:val="28"/>
        </w:rPr>
        <w:t>в)</w:t>
      </w:r>
      <w:r w:rsidRPr="00523AB3">
        <w:rPr>
          <w:rFonts w:ascii="Times New Roman" w:hAnsi="Times New Roman"/>
          <w:sz w:val="28"/>
          <w:szCs w:val="28"/>
        </w:rPr>
        <w:tab/>
        <w:t>программы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поддержки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стабилизационного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механизма;</w:t>
      </w:r>
    </w:p>
    <w:p w14:paraId="63E9169C" w14:textId="77777777" w:rsidR="00523AB3" w:rsidRPr="00523AB3" w:rsidRDefault="00523AB3" w:rsidP="00C717B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3AB3">
        <w:rPr>
          <w:rFonts w:ascii="Times New Roman" w:hAnsi="Times New Roman"/>
          <w:sz w:val="28"/>
          <w:szCs w:val="28"/>
        </w:rPr>
        <w:t>г)</w:t>
      </w:r>
      <w:r w:rsidRPr="00523AB3">
        <w:rPr>
          <w:rFonts w:ascii="Times New Roman" w:hAnsi="Times New Roman"/>
          <w:sz w:val="28"/>
          <w:szCs w:val="28"/>
        </w:rPr>
        <w:tab/>
        <w:t>инфраструктурные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инновационные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проекты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учрежденного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фонда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стратегических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инвестиций.</w:t>
      </w:r>
    </w:p>
    <w:p w14:paraId="00154A46" w14:textId="77777777" w:rsidR="00523AB3" w:rsidRPr="00523AB3" w:rsidRDefault="00523AB3" w:rsidP="006441A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3AB3">
        <w:rPr>
          <w:rFonts w:ascii="Times New Roman" w:hAnsi="Times New Roman"/>
          <w:sz w:val="28"/>
          <w:szCs w:val="28"/>
        </w:rPr>
        <w:t>Программы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ЕЦБ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расширенной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кредитной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поддержке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европейских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пике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кризиса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(2007-2009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гг.)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особенно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посткризисный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период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ЕЦБ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становится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прямым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участником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кредитных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операций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поддержке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банков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других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учреждений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государств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участников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523AB3">
        <w:rPr>
          <w:rFonts w:ascii="Times New Roman" w:hAnsi="Times New Roman"/>
          <w:sz w:val="28"/>
          <w:szCs w:val="28"/>
        </w:rPr>
        <w:t>ЭВС.</w:t>
      </w:r>
      <w:r w:rsidR="00380F9C">
        <w:rPr>
          <w:rStyle w:val="ae"/>
          <w:rFonts w:ascii="Times New Roman" w:hAnsi="Times New Roman"/>
          <w:sz w:val="28"/>
          <w:szCs w:val="28"/>
        </w:rPr>
        <w:footnoteReference w:id="16"/>
      </w:r>
    </w:p>
    <w:p w14:paraId="4BCF0C9C" w14:textId="77777777" w:rsidR="00A73631" w:rsidRPr="00A73631" w:rsidRDefault="00A73631" w:rsidP="006441A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631">
        <w:rPr>
          <w:rFonts w:ascii="Times New Roman" w:hAnsi="Times New Roman"/>
          <w:sz w:val="28"/>
          <w:szCs w:val="28"/>
        </w:rPr>
        <w:t>Ценой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определенного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положительного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эффекта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использования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нетрадиционных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методов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денежно-кредитной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политики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выхода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рецессии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2017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становятся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нарастание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системного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риска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обострение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проблемы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макроэкономических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регионе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среднесрочной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перспективе.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Мировой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финансовый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рынок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негативно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отреагировал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решение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ЕЦБ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сворачивании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программы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OE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ослаблением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курса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ростом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доходности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европейских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суверенных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бондов,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прежде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всего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итальянских.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мнению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независимых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экспертов,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прогнозируемое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вслед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отказом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количественного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смягчения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повышение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2019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ставки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рефинансирования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ЕЦБ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замедлит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рост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европейской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экономики,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приведет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удорожанию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обслуживания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суверенного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долга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Италии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ухудшит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финансовое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положение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итальянских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имеющих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своих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балансах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значительный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объем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просроченных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кредитов.</w:t>
      </w:r>
    </w:p>
    <w:p w14:paraId="6123AAD1" w14:textId="77777777" w:rsidR="00A73631" w:rsidRPr="00A73631" w:rsidRDefault="00A73631" w:rsidP="006441A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631">
        <w:rPr>
          <w:rFonts w:ascii="Times New Roman" w:hAnsi="Times New Roman"/>
          <w:sz w:val="28"/>
          <w:szCs w:val="28"/>
        </w:rPr>
        <w:lastRenderedPageBreak/>
        <w:t>Регулирование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кредитования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путем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оказания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прямой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поддержки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создания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рамках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создаваемого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рынков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капитала.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Институциональный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механизм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наряду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решением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задачи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консолидации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надзора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предупреждения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банкротства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предназначен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оказания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прямой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поддержки,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повышения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уровня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капитализации.</w:t>
      </w:r>
    </w:p>
    <w:p w14:paraId="305CFBDA" w14:textId="77777777" w:rsidR="00A73631" w:rsidRPr="00A73631" w:rsidRDefault="00A73631" w:rsidP="006441A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631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числу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конкретных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структурных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институциональных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устранению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накопившихся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власти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относят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создание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631">
        <w:rPr>
          <w:rFonts w:ascii="Times New Roman" w:hAnsi="Times New Roman"/>
          <w:sz w:val="28"/>
          <w:szCs w:val="28"/>
        </w:rPr>
        <w:t>двухопорного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включающего:</w:t>
      </w:r>
      <w:r w:rsidR="007F7578">
        <w:rPr>
          <w:rStyle w:val="ae"/>
          <w:rFonts w:ascii="Times New Roman" w:hAnsi="Times New Roman"/>
          <w:sz w:val="28"/>
          <w:szCs w:val="28"/>
        </w:rPr>
        <w:footnoteReference w:id="17"/>
      </w:r>
    </w:p>
    <w:p w14:paraId="7A36B18F" w14:textId="77777777" w:rsidR="00A73631" w:rsidRPr="00A73631" w:rsidRDefault="00A73631" w:rsidP="006441A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631">
        <w:rPr>
          <w:rFonts w:ascii="Times New Roman" w:hAnsi="Times New Roman"/>
          <w:sz w:val="28"/>
          <w:szCs w:val="28"/>
        </w:rPr>
        <w:t>а)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развитым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региональным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механизмом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бридж-финансирования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согласованной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</w:t>
      </w:r>
      <w:r w:rsidR="005D57F7" w:rsidRPr="006441A5">
        <w:rPr>
          <w:rFonts w:ascii="Times New Roman" w:hAnsi="Times New Roman"/>
          <w:sz w:val="28"/>
          <w:szCs w:val="28"/>
        </w:rPr>
        <w:t>диной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D57F7" w:rsidRPr="006441A5">
        <w:rPr>
          <w:rFonts w:ascii="Times New Roman" w:hAnsi="Times New Roman"/>
          <w:sz w:val="28"/>
          <w:szCs w:val="28"/>
        </w:rPr>
        <w:t>системой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D57F7" w:rsidRPr="006441A5">
        <w:rPr>
          <w:rFonts w:ascii="Times New Roman" w:hAnsi="Times New Roman"/>
          <w:sz w:val="28"/>
          <w:szCs w:val="28"/>
        </w:rPr>
        <w:t>депозитного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5D57F7" w:rsidRPr="006441A5">
        <w:rPr>
          <w:rFonts w:ascii="Times New Roman" w:hAnsi="Times New Roman"/>
          <w:sz w:val="28"/>
          <w:szCs w:val="28"/>
        </w:rPr>
        <w:t>стра</w:t>
      </w:r>
      <w:r w:rsidRPr="00A73631">
        <w:rPr>
          <w:rFonts w:ascii="Times New Roman" w:hAnsi="Times New Roman"/>
          <w:sz w:val="28"/>
          <w:szCs w:val="28"/>
        </w:rPr>
        <w:t>хования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эффективным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инструментарием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прямой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рекапитализации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банков;</w:t>
      </w:r>
    </w:p>
    <w:p w14:paraId="1F46B336" w14:textId="77777777" w:rsidR="00A73631" w:rsidRPr="00A73631" w:rsidRDefault="00A73631" w:rsidP="006441A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631">
        <w:rPr>
          <w:rFonts w:ascii="Times New Roman" w:hAnsi="Times New Roman"/>
          <w:sz w:val="28"/>
          <w:szCs w:val="28"/>
        </w:rPr>
        <w:t>б)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рынков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капитала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(далее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СРК)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всех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стран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полным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снятием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концу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2019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ограничений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свободное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трансграничное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передвижение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капитала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ЕС,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консолидацию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диверсификацию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институтов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посредничества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европейском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финансовом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рынке.</w:t>
      </w:r>
    </w:p>
    <w:p w14:paraId="7655E69F" w14:textId="77777777" w:rsidR="00A73631" w:rsidRPr="00A73631" w:rsidRDefault="00A73631" w:rsidP="006441A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целях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устранения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структурных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рамках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проекта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СРК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создается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фонд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стратегических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инвестиций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объеме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315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Приоритетными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целями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СРК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являются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устранение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ЕС,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повышение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роли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рынка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надежного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эффективно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действующего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канала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трансмиссии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между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сбережениями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инвестициями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экономический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рост.</w:t>
      </w:r>
    </w:p>
    <w:p w14:paraId="587D50F4" w14:textId="77777777" w:rsidR="00A73631" w:rsidRPr="00A73631" w:rsidRDefault="00A73631" w:rsidP="006441A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631">
        <w:rPr>
          <w:rFonts w:ascii="Times New Roman" w:hAnsi="Times New Roman"/>
          <w:sz w:val="28"/>
          <w:szCs w:val="28"/>
        </w:rPr>
        <w:t>Финансовая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поддержка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нуждающихся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повышении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уровня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капитализации,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возлагается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создаваемый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рамках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чрезвычайный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фонд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поддержки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европейских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(</w:t>
      </w:r>
      <w:proofErr w:type="spellStart"/>
      <w:r w:rsidRPr="00A73631">
        <w:rPr>
          <w:rFonts w:ascii="Times New Roman" w:hAnsi="Times New Roman"/>
          <w:sz w:val="28"/>
          <w:szCs w:val="28"/>
        </w:rPr>
        <w:t>Single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631">
        <w:rPr>
          <w:rFonts w:ascii="Times New Roman" w:hAnsi="Times New Roman"/>
          <w:sz w:val="28"/>
          <w:szCs w:val="28"/>
        </w:rPr>
        <w:t>Resolution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631">
        <w:rPr>
          <w:rFonts w:ascii="Times New Roman" w:hAnsi="Times New Roman"/>
          <w:sz w:val="28"/>
          <w:szCs w:val="28"/>
        </w:rPr>
        <w:t>Fund</w:t>
      </w:r>
      <w:proofErr w:type="spellEnd"/>
      <w:r w:rsidRPr="00A73631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SRF)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размере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55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рамках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механизма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санации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проблемных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lastRenderedPageBreak/>
        <w:t>банков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(</w:t>
      </w:r>
      <w:proofErr w:type="spellStart"/>
      <w:r w:rsidRPr="00A73631">
        <w:rPr>
          <w:rFonts w:ascii="Times New Roman" w:hAnsi="Times New Roman"/>
          <w:sz w:val="28"/>
          <w:szCs w:val="28"/>
        </w:rPr>
        <w:t>Single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631">
        <w:rPr>
          <w:rFonts w:ascii="Times New Roman" w:hAnsi="Times New Roman"/>
          <w:sz w:val="28"/>
          <w:szCs w:val="28"/>
        </w:rPr>
        <w:t>Resolution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631">
        <w:rPr>
          <w:rFonts w:ascii="Times New Roman" w:hAnsi="Times New Roman"/>
          <w:sz w:val="28"/>
          <w:szCs w:val="28"/>
        </w:rPr>
        <w:t>Mechanism</w:t>
      </w:r>
      <w:proofErr w:type="spellEnd"/>
      <w:r w:rsidRPr="00A73631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SRM)10.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Первоначально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SRM,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включающий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фонд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санации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предполагалось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сформировать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завершенном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виде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2016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настоящее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время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проводится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работа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устранению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разногласий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между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странами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вопросу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гарантий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или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«защитной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сетки»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(</w:t>
      </w:r>
      <w:proofErr w:type="spellStart"/>
      <w:r w:rsidRPr="00A73631">
        <w:rPr>
          <w:rFonts w:ascii="Times New Roman" w:hAnsi="Times New Roman"/>
          <w:sz w:val="28"/>
          <w:szCs w:val="28"/>
        </w:rPr>
        <w:t>safety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631">
        <w:rPr>
          <w:rFonts w:ascii="Times New Roman" w:hAnsi="Times New Roman"/>
          <w:sz w:val="28"/>
          <w:szCs w:val="28"/>
        </w:rPr>
        <w:t>net</w:t>
      </w:r>
      <w:proofErr w:type="spellEnd"/>
      <w:r w:rsidRPr="00A73631">
        <w:rPr>
          <w:rFonts w:ascii="Times New Roman" w:hAnsi="Times New Roman"/>
          <w:sz w:val="28"/>
          <w:szCs w:val="28"/>
        </w:rPr>
        <w:t>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механизма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санации.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переходный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период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функция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«защитной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сетки»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создаваемого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фонда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санации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возлагается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стабилизационный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механизм.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Кроме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того,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рамках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создается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механизм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страхования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депозитов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(</w:t>
      </w:r>
      <w:proofErr w:type="spellStart"/>
      <w:r w:rsidRPr="00A73631">
        <w:rPr>
          <w:rFonts w:ascii="Times New Roman" w:hAnsi="Times New Roman"/>
          <w:sz w:val="28"/>
          <w:szCs w:val="28"/>
        </w:rPr>
        <w:t>European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631">
        <w:rPr>
          <w:rFonts w:ascii="Times New Roman" w:hAnsi="Times New Roman"/>
          <w:sz w:val="28"/>
          <w:szCs w:val="28"/>
        </w:rPr>
        <w:t>deposit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631">
        <w:rPr>
          <w:rFonts w:ascii="Times New Roman" w:hAnsi="Times New Roman"/>
          <w:sz w:val="28"/>
          <w:szCs w:val="28"/>
        </w:rPr>
        <w:t>insurance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631">
        <w:rPr>
          <w:rFonts w:ascii="Times New Roman" w:hAnsi="Times New Roman"/>
          <w:sz w:val="28"/>
          <w:szCs w:val="28"/>
        </w:rPr>
        <w:t>scheme</w:t>
      </w:r>
      <w:proofErr w:type="spellEnd"/>
      <w:r w:rsidRPr="00A73631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EDIS),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который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представляет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собой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коллективный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фонд,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формируемый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счет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взносов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обеспечивающий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гарантии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каждого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вкладчика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сумму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около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100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тыс.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евро.</w:t>
      </w:r>
    </w:p>
    <w:p w14:paraId="5A978FC2" w14:textId="77777777" w:rsidR="00BD6B62" w:rsidRPr="00BD6B62" w:rsidRDefault="00A73631" w:rsidP="006441A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3631">
        <w:rPr>
          <w:rFonts w:ascii="Times New Roman" w:hAnsi="Times New Roman"/>
          <w:sz w:val="28"/>
          <w:szCs w:val="28"/>
        </w:rPr>
        <w:t>Германия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основной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инвестор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коллективные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фонды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поддержки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кредитных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организаций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настаивает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том,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чтобы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Банковском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союзе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A73631">
        <w:rPr>
          <w:rFonts w:ascii="Times New Roman" w:hAnsi="Times New Roman"/>
          <w:sz w:val="28"/>
          <w:szCs w:val="28"/>
        </w:rPr>
        <w:t>ис</w:t>
      </w:r>
      <w:r w:rsidR="00BD6B62" w:rsidRPr="00BD6B62">
        <w:rPr>
          <w:rFonts w:ascii="Times New Roman" w:hAnsi="Times New Roman"/>
          <w:sz w:val="28"/>
          <w:szCs w:val="28"/>
        </w:rPr>
        <w:t>пользовался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так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называемый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каскад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ответственности,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обязывающий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акционеров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банков,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владельцев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облигаций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вкладчиков,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чьи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активы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банке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превышают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100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тыс.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евро,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финансировать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ликвидацию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банка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до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поступления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помощи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извне.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инициативе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Германии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Банковском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союзе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создается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также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специальный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комитет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представителей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национальных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регуляторов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Европейской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комиссии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целях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решения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вопроса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ликвидации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банка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правом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вето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комиссии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окончательное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решение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вопроса.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Европейская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комиссия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рассматривает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Банковский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союз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важнейший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антикризисный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институт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реализуемом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настоящее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время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общем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плане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завершению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BD6B62" w:rsidRPr="00BD6B62">
        <w:rPr>
          <w:rFonts w:ascii="Times New Roman" w:hAnsi="Times New Roman"/>
          <w:sz w:val="28"/>
          <w:szCs w:val="28"/>
        </w:rPr>
        <w:t>ЭВС.</w:t>
      </w:r>
      <w:r w:rsidR="004E18D4">
        <w:rPr>
          <w:rStyle w:val="ae"/>
          <w:rFonts w:ascii="Times New Roman" w:hAnsi="Times New Roman"/>
          <w:sz w:val="28"/>
          <w:szCs w:val="28"/>
        </w:rPr>
        <w:footnoteReference w:id="18"/>
      </w:r>
    </w:p>
    <w:p w14:paraId="0372EDA2" w14:textId="77777777" w:rsidR="00BD6B62" w:rsidRPr="00BD6B62" w:rsidRDefault="00BD6B62" w:rsidP="009E567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B62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стабилизационный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механизм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(</w:t>
      </w:r>
      <w:proofErr w:type="spellStart"/>
      <w:r w:rsidRPr="00BD6B62">
        <w:rPr>
          <w:rFonts w:ascii="Times New Roman" w:hAnsi="Times New Roman"/>
          <w:sz w:val="28"/>
          <w:szCs w:val="28"/>
        </w:rPr>
        <w:t>European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B62">
        <w:rPr>
          <w:rFonts w:ascii="Times New Roman" w:hAnsi="Times New Roman"/>
          <w:sz w:val="28"/>
          <w:szCs w:val="28"/>
        </w:rPr>
        <w:t>Stability</w:t>
      </w:r>
      <w:proofErr w:type="spellEnd"/>
      <w:r w:rsidR="0093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B62">
        <w:rPr>
          <w:rFonts w:ascii="Times New Roman" w:hAnsi="Times New Roman"/>
          <w:sz w:val="28"/>
          <w:szCs w:val="28"/>
        </w:rPr>
        <w:t>Mechanism</w:t>
      </w:r>
      <w:proofErr w:type="spellEnd"/>
      <w:r w:rsidRPr="00BD6B62">
        <w:rPr>
          <w:rFonts w:ascii="Times New Roman" w:hAnsi="Times New Roman"/>
          <w:sz w:val="28"/>
          <w:szCs w:val="28"/>
        </w:rPr>
        <w:t>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ESM)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(далее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ЕСМ)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институт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предоставления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финансовой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помощи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странам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случае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обострения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кризисной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ситуации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действует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27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сентября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2012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является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элементом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постоянно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lastRenderedPageBreak/>
        <w:t>действующей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страховой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сети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Еврозоны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максимальной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способностью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заимствования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700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евро.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ЕСМ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предоставляет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стабилизационные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кредиты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(суверенные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займы)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рамках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макроэкономических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адаптационных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программ,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реализует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программы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рекапитализации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банков,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оказывает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странам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превентивную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финансовую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помощь,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также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первичную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помощь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случае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обострения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ситуации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рынках.</w:t>
      </w:r>
    </w:p>
    <w:p w14:paraId="6B12FF65" w14:textId="77777777" w:rsidR="00BD6B62" w:rsidRPr="00BD6B62" w:rsidRDefault="00BD6B62" w:rsidP="009E567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процессе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формирования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рынков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капитала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период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до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2025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предполагается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учредить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базе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стабилизационного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механизма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новый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региональный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финансовый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институт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валютный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фонд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(далее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ЕВФ).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опубликованном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Европейской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комиссией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31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мая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2017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аналитическом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докладе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«Размышления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вопросу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углубления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валютного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союза»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валютный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фонд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рассматривается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институт,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обеспечивающий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финансовую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устойчивость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зоне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автономно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от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МВФ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других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международных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институтов.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Функциями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ЕВФ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являются:</w:t>
      </w:r>
      <w:r w:rsidR="002335AB">
        <w:rPr>
          <w:rStyle w:val="ae"/>
          <w:rFonts w:ascii="Times New Roman" w:hAnsi="Times New Roman"/>
          <w:sz w:val="28"/>
          <w:szCs w:val="28"/>
        </w:rPr>
        <w:footnoteReference w:id="19"/>
      </w:r>
    </w:p>
    <w:p w14:paraId="52DCB196" w14:textId="77777777" w:rsidR="00BD6B62" w:rsidRPr="00BD6B62" w:rsidRDefault="00BD6B62" w:rsidP="009E567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B62">
        <w:rPr>
          <w:rFonts w:ascii="Times New Roman" w:hAnsi="Times New Roman"/>
          <w:sz w:val="28"/>
          <w:szCs w:val="28"/>
        </w:rPr>
        <w:t>а)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предоставление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странам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помощи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посредством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совместных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финансовых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механизмов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текущей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BD6B62">
        <w:rPr>
          <w:rFonts w:ascii="Times New Roman" w:hAnsi="Times New Roman"/>
          <w:sz w:val="28"/>
          <w:szCs w:val="28"/>
        </w:rPr>
        <w:t>ликвидности;</w:t>
      </w:r>
    </w:p>
    <w:p w14:paraId="7795B6E8" w14:textId="77777777" w:rsidR="001840DF" w:rsidRPr="001840DF" w:rsidRDefault="001840DF" w:rsidP="009E567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0DF">
        <w:rPr>
          <w:rFonts w:ascii="Times New Roman" w:hAnsi="Times New Roman"/>
          <w:sz w:val="28"/>
          <w:szCs w:val="28"/>
        </w:rPr>
        <w:t>б)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выполнение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функции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кредитора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«последней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инстанции»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Банковского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зоны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евро.</w:t>
      </w:r>
    </w:p>
    <w:p w14:paraId="4596E64E" w14:textId="77777777" w:rsidR="001840DF" w:rsidRPr="001840DF" w:rsidRDefault="001840DF" w:rsidP="009E567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0DF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фонд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стратегических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инвестиций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(далее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ЕФСИ)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учрежден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Европейским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инвестиционным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банком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22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июля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2015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под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реализацию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проекта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рынков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капитала.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Стратегической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целью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ЕФСИ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является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устранение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структурных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Евросоюзе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путем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реализации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инвестиционного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плана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процессе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формирования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СРК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сумму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315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которых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240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предназначены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вложения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инфраструктурные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инновационные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проекты.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Собственные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средства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Фонда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составляют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21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том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числе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16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бюджета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—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взнос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инвестиционного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банка.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Группа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ЕИБ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lastRenderedPageBreak/>
        <w:t>предоставила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ЕФСИ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гарантии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размере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30,2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обеспечив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мобилизацию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ресурсов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состоянию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EB16B9">
        <w:rPr>
          <w:rFonts w:ascii="Times New Roman" w:hAnsi="Times New Roman"/>
          <w:sz w:val="28"/>
          <w:szCs w:val="28"/>
        </w:rPr>
        <w:t xml:space="preserve">на </w:t>
      </w:r>
      <w:r w:rsidRPr="001840DF">
        <w:rPr>
          <w:rFonts w:ascii="Times New Roman" w:hAnsi="Times New Roman"/>
          <w:sz w:val="28"/>
          <w:szCs w:val="28"/>
        </w:rPr>
        <w:t>2018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общую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сумму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334,8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До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конца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2020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размер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ЕФСИ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предполагается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увеличить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до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500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числу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приоритетных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задач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ЕФСИ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относятся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обеспечение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инвестиций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проекты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области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создания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стратегической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энергетической,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транспортной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электронно-цифровой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инфраструктуры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ЕС,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развитие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инновационных,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экологически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чистых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технологий,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поддержка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малого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среднего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бизнеса.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состоянию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2018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г.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объем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принятых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финансированию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проектов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линии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ЕФСИ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составил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65,5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из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которых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подписаны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соглашения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на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сумму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43,3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млрд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евро.</w:t>
      </w:r>
    </w:p>
    <w:p w14:paraId="490E1A46" w14:textId="77777777" w:rsidR="001E5162" w:rsidRPr="001E5162" w:rsidRDefault="001840DF" w:rsidP="009E567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0DF">
        <w:rPr>
          <w:rFonts w:ascii="Times New Roman" w:hAnsi="Times New Roman"/>
          <w:sz w:val="28"/>
          <w:szCs w:val="28"/>
        </w:rPr>
        <w:t>Опыт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ЕС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по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созданию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Союза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рынков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капитала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Европейского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фонда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стратегических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Pr="001840DF">
        <w:rPr>
          <w:rFonts w:ascii="Times New Roman" w:hAnsi="Times New Roman"/>
          <w:sz w:val="28"/>
          <w:szCs w:val="28"/>
        </w:rPr>
        <w:t>инвестиций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институтов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регулирования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дисбалансов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внешнего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финансирования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инвестирования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имеет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практическое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значение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для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разработки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стратегии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практики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формирования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общего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финансового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рынка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Евразийского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экономического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союза,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создания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новых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повышения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эффективности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действующих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региональных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институтов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инвестирования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в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реальный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сектор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экономики,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таких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как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Евразийский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банк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развития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Европейский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фонд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стабилизации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и</w:t>
      </w:r>
      <w:r w:rsidR="00936B20">
        <w:rPr>
          <w:rFonts w:ascii="Times New Roman" w:hAnsi="Times New Roman"/>
          <w:sz w:val="28"/>
          <w:szCs w:val="28"/>
        </w:rPr>
        <w:t xml:space="preserve"> </w:t>
      </w:r>
      <w:r w:rsidR="001E5162" w:rsidRPr="001E5162">
        <w:rPr>
          <w:rFonts w:ascii="Times New Roman" w:hAnsi="Times New Roman"/>
          <w:sz w:val="28"/>
          <w:szCs w:val="28"/>
        </w:rPr>
        <w:t>развития.</w:t>
      </w:r>
    </w:p>
    <w:p w14:paraId="3D12C466" w14:textId="77777777" w:rsidR="00034A60" w:rsidRPr="00E5306A" w:rsidRDefault="00034A60" w:rsidP="00034A6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4055626" w14:textId="77777777" w:rsidR="003A56C7" w:rsidRPr="00E5306A" w:rsidRDefault="003A56C7" w:rsidP="003A56C7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E5306A">
        <w:rPr>
          <w:rFonts w:ascii="Times New Roman" w:hAnsi="Times New Roman"/>
          <w:sz w:val="28"/>
          <w:szCs w:val="28"/>
        </w:rPr>
        <w:br w:type="page"/>
      </w:r>
    </w:p>
    <w:p w14:paraId="2BC6A228" w14:textId="77777777" w:rsidR="003A56C7" w:rsidRPr="008B18BB" w:rsidRDefault="00E0491A" w:rsidP="007226C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9208821"/>
      <w:r w:rsidRPr="008B18BB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936B20" w:rsidRPr="008B18BB">
        <w:rPr>
          <w:rFonts w:ascii="Times New Roman" w:hAnsi="Times New Roman"/>
          <w:b w:val="0"/>
          <w:sz w:val="28"/>
          <w:szCs w:val="28"/>
        </w:rPr>
        <w:t xml:space="preserve"> </w:t>
      </w:r>
      <w:r w:rsidR="005E44F8" w:rsidRPr="008B18BB">
        <w:rPr>
          <w:rFonts w:ascii="Times New Roman" w:hAnsi="Times New Roman"/>
          <w:b w:val="0"/>
          <w:sz w:val="28"/>
          <w:szCs w:val="28"/>
        </w:rPr>
        <w:t>АНАЛИЗ РАСШИРЕНИЯ ЗОНЫ ЕВРО</w:t>
      </w:r>
      <w:bookmarkEnd w:id="8"/>
    </w:p>
    <w:p w14:paraId="7E47B4C4" w14:textId="77777777" w:rsidR="00D95620" w:rsidRPr="007226C2" w:rsidRDefault="00D95620" w:rsidP="007226C2">
      <w:pPr>
        <w:pStyle w:val="2"/>
        <w:spacing w:before="240" w:after="6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_Toc7692239"/>
      <w:bookmarkStart w:id="10" w:name="_Toc9208822"/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2.1 Влияние </w:t>
      </w:r>
      <w:proofErr w:type="spellStart"/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Брексита</w:t>
      </w:r>
      <w:proofErr w:type="spellEnd"/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на евро зону</w:t>
      </w:r>
      <w:bookmarkEnd w:id="9"/>
      <w:bookmarkEnd w:id="10"/>
    </w:p>
    <w:p w14:paraId="1FEEB40C" w14:textId="77777777" w:rsidR="00D95620" w:rsidRPr="00D436C0" w:rsidRDefault="00D95620" w:rsidP="007226C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DF91E" w14:textId="77777777" w:rsidR="00D95620" w:rsidRPr="00D436C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C0">
        <w:rPr>
          <w:rFonts w:ascii="Times New Roman" w:hAnsi="Times New Roman"/>
          <w:sz w:val="28"/>
          <w:szCs w:val="28"/>
        </w:rPr>
        <w:t>Обращаясь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проблеме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Брексита</w:t>
      </w:r>
      <w:proofErr w:type="spellEnd"/>
      <w:r w:rsidRPr="00D436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подчеркнем,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переход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консерваторам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лидера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Кэмерона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премьер-министром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кризиса,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начавшегося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2010-2011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испытывала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серьезные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трудности,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имея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самых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больших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негативные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последствия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сфере.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условиях,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очередных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руководства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углублению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интеграции,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Кэмероном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озвучил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идею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предложил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продолжении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Королевства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Евросоюзе.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Общественная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кампания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началась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петиции,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набравшей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подписей,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отказался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предложение,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посчитав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несвоевременным.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обозначилось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широкого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разрыв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2012-2013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Кэмерон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оказался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давлением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евроскептицистски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настроенных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(преимущественно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происхождения)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инициатором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переговоров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Евросоюзом.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Важным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фактором,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повлиявшим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ситуации,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явился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рекордно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высокий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взноса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млрд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фунтов,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выставленный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</w:t>
      </w:r>
      <w:r w:rsidR="00F00F1A">
        <w:rPr>
          <w:rStyle w:val="ae"/>
          <w:rFonts w:ascii="Times New Roman" w:hAnsi="Times New Roman"/>
          <w:sz w:val="28"/>
          <w:szCs w:val="28"/>
        </w:rPr>
        <w:footnoteReference w:id="20"/>
      </w:r>
      <w:r w:rsidRPr="00D436C0">
        <w:rPr>
          <w:rFonts w:ascii="Times New Roman" w:hAnsi="Times New Roman"/>
          <w:sz w:val="28"/>
          <w:szCs w:val="28"/>
        </w:rPr>
        <w:t>.</w:t>
      </w:r>
    </w:p>
    <w:p w14:paraId="32CAB5B0" w14:textId="77777777" w:rsidR="00D95620" w:rsidRPr="00D436C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C0">
        <w:rPr>
          <w:rFonts w:ascii="Times New Roman" w:hAnsi="Times New Roman"/>
          <w:sz w:val="28"/>
          <w:szCs w:val="28"/>
        </w:rPr>
        <w:t>Инициативу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взяла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евроскептицистская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Королевства,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победившая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Европейский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Успех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многом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закономерен,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lastRenderedPageBreak/>
        <w:t>пришелся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популярности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евроскептицистских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Евросоюза.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Непосредственная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пересмотру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началась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Правительство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Кэмерона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вырабатывало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будущего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могли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письме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Туску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обозначены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главные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Лондона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предстоящих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переговорах.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состояла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следующем: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односторонних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Еврозоны,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усиление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конкурентности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дальнейшей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интеграции,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мигрантов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страхования.</w:t>
      </w:r>
      <w:r>
        <w:rPr>
          <w:rStyle w:val="ae"/>
          <w:rFonts w:ascii="Times New Roman" w:hAnsi="Times New Roman"/>
          <w:sz w:val="28"/>
          <w:szCs w:val="28"/>
        </w:rPr>
        <w:t xml:space="preserve"> </w:t>
      </w:r>
    </w:p>
    <w:p w14:paraId="25A8E6D9" w14:textId="77777777" w:rsidR="00D95620" w:rsidRPr="00D436C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C0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оказалась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эффективной,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Статусе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Европейском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Союзе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компромисса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позициями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Кэмерона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Туска.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сути,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Евросоюзе.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уступки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заключались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банковской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системы,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Европейский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Банковский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ЕЦБ,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финансовую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еврозоны,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страдающим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кризиса.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признавалось,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продолжение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интеграции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Еврозоны.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фактическое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европейской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мигрантов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сохранено.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достигнуты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единая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сельскохозяйственная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рыболовства.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принята,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автономии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Евросоюза.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успех,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признавал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Кэмерона,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отменен.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кризиса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lastRenderedPageBreak/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играл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трибуны.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Позиция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Кэмерона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изменилась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</w:t>
      </w:r>
      <w:proofErr w:type="spellStart"/>
      <w:r w:rsidRPr="00D436C0">
        <w:rPr>
          <w:rFonts w:ascii="Times New Roman" w:hAnsi="Times New Roman"/>
          <w:sz w:val="28"/>
          <w:szCs w:val="28"/>
        </w:rPr>
        <w:t>remain</w:t>
      </w:r>
      <w:proofErr w:type="spellEnd"/>
      <w:r w:rsidRPr="00D436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ЕС.</w:t>
      </w:r>
    </w:p>
    <w:p w14:paraId="5BACD85D" w14:textId="77777777" w:rsidR="00D95620" w:rsidRPr="00D436C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C0">
        <w:rPr>
          <w:rFonts w:ascii="Times New Roman" w:hAnsi="Times New Roman"/>
          <w:sz w:val="28"/>
          <w:szCs w:val="28"/>
        </w:rPr>
        <w:t>Отметим,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Договора,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удовлетворили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консерваторов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сторонников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более,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евроскептиков.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Вопреки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ожиданию,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общественная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кампания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продолжала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обороты,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сменив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фактических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лидеров.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Лондонского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владельцы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хедж-фондов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инвестировали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кампанию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рассчитывая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волатильности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рынков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краткосрочной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среднесрочной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перспективе.</w:t>
      </w:r>
    </w:p>
    <w:p w14:paraId="10F55735" w14:textId="77777777" w:rsidR="00D95620" w:rsidRPr="00D436C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C0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Кэмерон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считал,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добилась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необходимости.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премьер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отказался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дискуссий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однопартийцами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вопросу.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Лидерами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консерваторов-евроскептиков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мэр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Лондона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нынешний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Джонсон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лорд-канцлер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Гоув</w:t>
      </w:r>
      <w:proofErr w:type="spellEnd"/>
      <w:r w:rsidRPr="00D436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аргументом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сторонников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являлась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долгосрочные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выгоды,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независимость,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значительный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рост,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самостоятельное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миграционных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проблем,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находило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наибольший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отклик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общенациональный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возможного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Союза.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36C0"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соцопросы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стабильно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показывали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численный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перевес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сторонников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перевесом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4%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победили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сторонники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продолжение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48,1%,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51,9%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Королевства</w:t>
      </w:r>
      <w:r w:rsidR="00F00F1A">
        <w:rPr>
          <w:rStyle w:val="ae"/>
          <w:rFonts w:ascii="Times New Roman" w:hAnsi="Times New Roman"/>
          <w:sz w:val="28"/>
          <w:szCs w:val="28"/>
        </w:rPr>
        <w:footnoteReference w:id="21"/>
      </w:r>
      <w:r w:rsidRPr="00D436C0">
        <w:rPr>
          <w:rFonts w:ascii="Times New Roman" w:hAnsi="Times New Roman"/>
          <w:sz w:val="28"/>
          <w:szCs w:val="28"/>
        </w:rPr>
        <w:t>.</w:t>
      </w:r>
    </w:p>
    <w:p w14:paraId="2F1F438D" w14:textId="77777777" w:rsidR="00D95620" w:rsidRPr="00D436C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C0">
        <w:rPr>
          <w:rFonts w:ascii="Times New Roman" w:hAnsi="Times New Roman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экспертов,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организаторы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«выхода»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мобилизовали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привели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избирательные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единомышленников,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сторонники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фактора,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отмечается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демографический;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явка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молодых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крупных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городов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низкой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этнической;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англичанами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ущерб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шотландцам,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ирландцам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многонациональному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агломераций.</w:t>
      </w:r>
    </w:p>
    <w:p w14:paraId="5D6F5402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C0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событием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отставка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премьер-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министра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Кэмерона.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премьер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заявил: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сердцем,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выбрали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путь.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нужен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премьер-министр».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лидера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Консервативной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Мэй,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заручившись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поддержкой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199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парламентариев,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премьер-министром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женщиной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Мэй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выступала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Евросоюза,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однако,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возглавив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изменила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риторику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противоположную.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интервью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заявила,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хочет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видеть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«независимую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прокладывает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собственный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мире»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«извлечет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признав,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ожидаются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трудности.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Значительный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программная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премьер-министра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Консервативной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партии,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авторитетные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</w:t>
      </w:r>
      <w:proofErr w:type="spellStart"/>
      <w:r w:rsidRPr="00D436C0"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Economist</w:t>
      </w:r>
      <w:proofErr w:type="spellEnd"/>
      <w:r w:rsidRPr="00D436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«NY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Times</w:t>
      </w:r>
      <w:proofErr w:type="spellEnd"/>
      <w:r w:rsidRPr="00D436C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написали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«революционного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консерватизма»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Мэй.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четко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обозначены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позиция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консервативного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будущих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переговорах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объявлено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европейской,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глобальной.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Лондон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Брюссель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определили,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выйдет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продлится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переходный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период,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подготовлены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соглашения.</w:t>
      </w:r>
    </w:p>
    <w:p w14:paraId="12F6BE20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Далее рассмотрим некоторые показатели влияния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Брексита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 евро зону.</w:t>
      </w:r>
    </w:p>
    <w:p w14:paraId="1EE88C99" w14:textId="77777777" w:rsidR="00D95620" w:rsidRPr="0023208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Динамика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ставок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денежного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рынка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2010-2018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гг.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вро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зоне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еликобритании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рисунке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76A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</w:t>
      </w:r>
    </w:p>
    <w:p w14:paraId="5A667B2F" w14:textId="77777777" w:rsidR="00D95620" w:rsidRDefault="00D95620" w:rsidP="00D95620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8CE">
        <w:rPr>
          <w:noProof/>
          <w:lang w:eastAsia="ru-RU"/>
        </w:rPr>
        <w:drawing>
          <wp:inline distT="0" distB="0" distL="0" distR="0" wp14:anchorId="53A2185B" wp14:editId="0C8D374C">
            <wp:extent cx="5875020" cy="341194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45" cy="341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09D5B" w14:textId="77777777" w:rsidR="00D95620" w:rsidRPr="0023208F" w:rsidRDefault="00D95620" w:rsidP="00D95620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208F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0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0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0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Ставки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320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денежного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320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рынка</w:t>
      </w:r>
    </w:p>
    <w:p w14:paraId="4EF17962" w14:textId="77777777" w:rsidR="00D95620" w:rsidRPr="002107A9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A9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A9A">
        <w:rPr>
          <w:rFonts w:ascii="Times New Roman" w:hAnsi="Times New Roman"/>
          <w:sz w:val="28"/>
          <w:szCs w:val="28"/>
        </w:rPr>
        <w:t>видно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A9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A9A">
        <w:rPr>
          <w:rFonts w:ascii="Times New Roman" w:hAnsi="Times New Roman"/>
          <w:sz w:val="28"/>
          <w:szCs w:val="28"/>
        </w:rPr>
        <w:t>динамики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A9A">
        <w:rPr>
          <w:rFonts w:ascii="Times New Roman" w:hAnsi="Times New Roman"/>
          <w:sz w:val="28"/>
          <w:szCs w:val="28"/>
        </w:rPr>
        <w:t>показателя,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A9A"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дорожают,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плохо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роста.</w:t>
      </w:r>
      <w:r>
        <w:rPr>
          <w:rFonts w:ascii="Times New Roman" w:hAnsi="Times New Roman"/>
          <w:sz w:val="28"/>
          <w:szCs w:val="28"/>
        </w:rPr>
        <w:t xml:space="preserve"> После того как Великобритания вступила в </w:t>
      </w:r>
      <w:proofErr w:type="spellStart"/>
      <w:r>
        <w:rPr>
          <w:rFonts w:ascii="Times New Roman" w:hAnsi="Times New Roman"/>
          <w:sz w:val="28"/>
          <w:szCs w:val="28"/>
        </w:rPr>
        <w:t>Брексит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деньги имели тенденцию на снижение, а после выхода из </w:t>
      </w:r>
      <w:proofErr w:type="spellStart"/>
      <w:r>
        <w:rPr>
          <w:rFonts w:ascii="Times New Roman" w:hAnsi="Times New Roman"/>
          <w:sz w:val="28"/>
          <w:szCs w:val="28"/>
        </w:rPr>
        <w:t>Брексита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ставки денежного рынка как еврозоны, так и Великобритании увеличились.</w:t>
      </w:r>
    </w:p>
    <w:p w14:paraId="20CA8FD4" w14:textId="77777777" w:rsidR="00D95620" w:rsidRPr="00CD7969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7969">
        <w:rPr>
          <w:rFonts w:ascii="Times New Roman" w:hAnsi="Times New Roman"/>
          <w:sz w:val="28"/>
          <w:szCs w:val="28"/>
        </w:rPr>
        <w:t>Разрыв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торговых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жестком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Брексите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(чего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хотят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тори,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однопартийцы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Мэй),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сразу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взвинтит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цены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обеих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экономик,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причем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нетто-импортера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(Британцы)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цены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вырастут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сильнее.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инфляция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кинет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экономику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Великобритании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пучину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кризиса,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крупнейших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мировых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экономик,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7969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запустит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мировой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кризис.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FC68B9" w14:textId="77777777" w:rsidR="00D95620" w:rsidRPr="00CD7969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7969">
        <w:rPr>
          <w:rFonts w:ascii="Times New Roman" w:hAnsi="Times New Roman"/>
          <w:sz w:val="28"/>
          <w:szCs w:val="28"/>
        </w:rPr>
        <w:t>Естественно,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условия,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основываться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пошлинах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тарифах,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простая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арифметика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покажет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выгодней,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платить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казну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платить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налоги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товары,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налогоплательщиков,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разница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обывателей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69">
        <w:rPr>
          <w:rFonts w:ascii="Times New Roman" w:hAnsi="Times New Roman"/>
          <w:sz w:val="28"/>
          <w:szCs w:val="28"/>
        </w:rPr>
        <w:t>нет.</w:t>
      </w:r>
    </w:p>
    <w:p w14:paraId="1126B9FE" w14:textId="77777777" w:rsidR="007427E8" w:rsidRDefault="007427E8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F4A373C" w14:textId="594041BC" w:rsidR="00D95620" w:rsidRPr="00C343C8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C8">
        <w:rPr>
          <w:rFonts w:ascii="Times New Roman" w:hAnsi="Times New Roman"/>
          <w:sz w:val="28"/>
          <w:szCs w:val="28"/>
        </w:rPr>
        <w:lastRenderedPageBreak/>
        <w:t>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капиталов</w:t>
      </w:r>
      <w:r>
        <w:rPr>
          <w:rFonts w:ascii="Times New Roman" w:hAnsi="Times New Roman"/>
          <w:sz w:val="28"/>
          <w:szCs w:val="28"/>
        </w:rPr>
        <w:t xml:space="preserve"> представлены на рисунке 2.</w:t>
      </w:r>
    </w:p>
    <w:p w14:paraId="2D35AADA" w14:textId="77777777" w:rsidR="00D95620" w:rsidRDefault="00D95620" w:rsidP="00D95620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8CE">
        <w:rPr>
          <w:noProof/>
          <w:lang w:eastAsia="ru-RU"/>
        </w:rPr>
        <w:drawing>
          <wp:inline distT="0" distB="0" distL="0" distR="0" wp14:anchorId="208F2917" wp14:editId="2F281FF6">
            <wp:extent cx="5940425" cy="30537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82D8E" w14:textId="77777777" w:rsidR="00D95620" w:rsidRDefault="00D95620" w:rsidP="00D95620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2 - </w:t>
      </w:r>
      <w:r w:rsidRPr="00C343C8">
        <w:rPr>
          <w:rFonts w:ascii="Times New Roman" w:hAnsi="Times New Roman"/>
          <w:sz w:val="28"/>
          <w:szCs w:val="28"/>
        </w:rPr>
        <w:t>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C8">
        <w:rPr>
          <w:rFonts w:ascii="Times New Roman" w:hAnsi="Times New Roman"/>
          <w:sz w:val="28"/>
          <w:szCs w:val="28"/>
        </w:rPr>
        <w:t>капиталов</w:t>
      </w:r>
    </w:p>
    <w:p w14:paraId="2C28A1EA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00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доходность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длинных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денег,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Европейских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активов,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делает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неконкурентоспособными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таком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инфляции.</w:t>
      </w:r>
    </w:p>
    <w:p w14:paraId="2DD85544" w14:textId="77777777" w:rsidR="00D95620" w:rsidRPr="00BF009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0090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сказывается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премиях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90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 xml:space="preserve"> (рисунок 3).</w:t>
      </w:r>
    </w:p>
    <w:p w14:paraId="5F4BE193" w14:textId="77777777" w:rsidR="00D95620" w:rsidRDefault="00D95620" w:rsidP="00D95620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8CE">
        <w:rPr>
          <w:noProof/>
          <w:lang w:eastAsia="ru-RU"/>
        </w:rPr>
        <w:drawing>
          <wp:inline distT="0" distB="0" distL="0" distR="0" wp14:anchorId="315EFA95" wp14:editId="23BFF448">
            <wp:extent cx="5940425" cy="24066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B65D" w14:textId="77777777" w:rsidR="00D95620" w:rsidRDefault="00D95620" w:rsidP="00D95620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– Премия за риск</w:t>
      </w:r>
    </w:p>
    <w:p w14:paraId="5E76188D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11E96">
        <w:rPr>
          <w:rFonts w:ascii="Times New Roman" w:hAnsi="Times New Roman"/>
          <w:sz w:val="28"/>
          <w:szCs w:val="28"/>
        </w:rPr>
        <w:t>кции по-прежнему предлагают инвесторам хорошую премию за риск.</w:t>
      </w:r>
    </w:p>
    <w:p w14:paraId="7398C258" w14:textId="77777777" w:rsidR="00D95620" w:rsidRPr="002107A9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A4AED">
        <w:rPr>
          <w:rFonts w:ascii="Times New Roman" w:hAnsi="Times New Roman"/>
          <w:sz w:val="28"/>
          <w:szCs w:val="28"/>
        </w:rPr>
        <w:t>алютная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AED">
        <w:rPr>
          <w:rFonts w:ascii="Times New Roman" w:hAnsi="Times New Roman"/>
          <w:sz w:val="28"/>
          <w:szCs w:val="28"/>
        </w:rPr>
        <w:t>пара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AED">
        <w:rPr>
          <w:rFonts w:ascii="Times New Roman" w:hAnsi="Times New Roman"/>
          <w:sz w:val="28"/>
          <w:szCs w:val="28"/>
        </w:rPr>
        <w:t>EUR\GBP</w:t>
      </w:r>
      <w:r>
        <w:rPr>
          <w:rFonts w:ascii="Times New Roman" w:hAnsi="Times New Roman"/>
          <w:sz w:val="28"/>
          <w:szCs w:val="28"/>
        </w:rPr>
        <w:t xml:space="preserve"> представлена на рисунке 4. </w:t>
      </w:r>
      <w:r w:rsidRPr="00F11E96">
        <w:rPr>
          <w:rFonts w:ascii="Times New Roman" w:hAnsi="Times New Roman"/>
          <w:sz w:val="28"/>
          <w:szCs w:val="28"/>
        </w:rPr>
        <w:t>Валютная пара EUR/GBP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кросс-пар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форекс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рынка.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Пара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Евро</w:t>
      </w:r>
      <w:r w:rsidRPr="002107A9">
        <w:rPr>
          <w:rFonts w:ascii="Times New Roman" w:hAnsi="Times New Roman"/>
          <w:sz w:val="28"/>
          <w:szCs w:val="28"/>
        </w:rPr>
        <w:t>-</w:t>
      </w:r>
      <w:r w:rsidRPr="002107A9">
        <w:rPr>
          <w:rFonts w:ascii="Times New Roman" w:hAnsi="Times New Roman"/>
          <w:bCs/>
          <w:sz w:val="28"/>
          <w:szCs w:val="28"/>
        </w:rPr>
        <w:t>Британский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фунт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показывает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британских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фунтов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заплатить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евро</w:t>
      </w:r>
      <w:r w:rsidRPr="002107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Т.е.,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Британскому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фунту</w:t>
      </w:r>
      <w:r w:rsidRPr="002107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Выражается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котировку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валютной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пары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EUR/GBP</w:t>
      </w:r>
      <w:r w:rsidRPr="002107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Евро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паре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lastRenderedPageBreak/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базовой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валютой,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британский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фунт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котируемой.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Валютная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пара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EUR/GBP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спокойный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валютных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пар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07A9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наибольшей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торговой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активности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пары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bCs/>
          <w:sz w:val="28"/>
          <w:szCs w:val="28"/>
        </w:rPr>
        <w:t>EUR/GBP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наблюдается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Европейскую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торговую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A9">
        <w:rPr>
          <w:rFonts w:ascii="Times New Roman" w:hAnsi="Times New Roman"/>
          <w:sz w:val="28"/>
          <w:szCs w:val="28"/>
        </w:rPr>
        <w:t>сессию.</w:t>
      </w:r>
    </w:p>
    <w:p w14:paraId="4664A41A" w14:textId="77777777" w:rsidR="00D95620" w:rsidRDefault="00D95620" w:rsidP="00D95620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8CE">
        <w:rPr>
          <w:noProof/>
          <w:lang w:eastAsia="ru-RU"/>
        </w:rPr>
        <w:drawing>
          <wp:inline distT="0" distB="0" distL="0" distR="0" wp14:anchorId="160B32F1" wp14:editId="46AE17A6">
            <wp:extent cx="5935980" cy="3019425"/>
            <wp:effectExtent l="0" t="0" r="762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85649" w14:textId="77777777" w:rsidR="00D95620" w:rsidRDefault="00D95620" w:rsidP="00D95620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4 - В</w:t>
      </w:r>
      <w:r w:rsidRPr="00CA4AED">
        <w:rPr>
          <w:rFonts w:ascii="Times New Roman" w:hAnsi="Times New Roman"/>
          <w:sz w:val="28"/>
          <w:szCs w:val="28"/>
        </w:rPr>
        <w:t>алютная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AED">
        <w:rPr>
          <w:rFonts w:ascii="Times New Roman" w:hAnsi="Times New Roman"/>
          <w:sz w:val="28"/>
          <w:szCs w:val="28"/>
        </w:rPr>
        <w:t>пара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AED">
        <w:rPr>
          <w:rFonts w:ascii="Times New Roman" w:hAnsi="Times New Roman"/>
          <w:sz w:val="28"/>
          <w:szCs w:val="28"/>
        </w:rPr>
        <w:t>EUR\GBP</w:t>
      </w:r>
    </w:p>
    <w:p w14:paraId="5B12E404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17B">
        <w:rPr>
          <w:rFonts w:ascii="Times New Roman" w:hAnsi="Times New Roman"/>
          <w:sz w:val="28"/>
          <w:szCs w:val="28"/>
        </w:rPr>
        <w:t>Сразу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17B">
        <w:rPr>
          <w:rFonts w:ascii="Times New Roman" w:hAnsi="Times New Roman"/>
          <w:sz w:val="28"/>
          <w:szCs w:val="28"/>
        </w:rPr>
        <w:t>Брексита</w:t>
      </w:r>
      <w:proofErr w:type="spellEnd"/>
      <w:r w:rsidRPr="005351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начал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расти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фунту,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учитывая,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Великобритания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друга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торговое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партнеры,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европейские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товары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дороги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Британцев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(как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импортера),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британские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товары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подешевели.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Чудя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технической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картине,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собрался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дешеветь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фунта,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вернет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нормальное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7B">
        <w:rPr>
          <w:rFonts w:ascii="Times New Roman" w:hAnsi="Times New Roman"/>
          <w:sz w:val="28"/>
          <w:szCs w:val="28"/>
        </w:rPr>
        <w:t>дел</w:t>
      </w:r>
      <w:r w:rsidR="00F00F1A">
        <w:rPr>
          <w:rStyle w:val="ae"/>
          <w:rFonts w:ascii="Times New Roman" w:hAnsi="Times New Roman"/>
          <w:sz w:val="28"/>
          <w:szCs w:val="28"/>
        </w:rPr>
        <w:footnoteReference w:id="22"/>
      </w:r>
      <w:r w:rsidRPr="0053517B">
        <w:rPr>
          <w:rFonts w:ascii="Times New Roman" w:hAnsi="Times New Roman"/>
          <w:sz w:val="28"/>
          <w:szCs w:val="28"/>
        </w:rPr>
        <w:t>.</w:t>
      </w:r>
    </w:p>
    <w:p w14:paraId="7EC261D0" w14:textId="77777777" w:rsidR="00D95620" w:rsidRPr="00D436C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отметим,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Брексит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являлся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закономерным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неизбежным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Королевства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евроинтеграции,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скорее,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объективных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субъективных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факторов.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ухудшение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станах,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следствие,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обострение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противоречий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кризиса,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который,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очередь,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совпал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мощным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миграционным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кризисом.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Лондон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продолжал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lastRenderedPageBreak/>
        <w:t>проводить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отстаивания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максимализации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интеграции.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Правительство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консерваторов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вторично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использовало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Брюссель,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Евросоюзе.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Руководство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уступки,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ситуация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вышла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из-под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Кабинета,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усиление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недовольства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напряженности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привело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обострению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борьбы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росту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популярности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оппозиционных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сил,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выступавших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выход.</w:t>
      </w:r>
    </w:p>
    <w:p w14:paraId="022F6C24" w14:textId="77777777" w:rsidR="006B7811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C0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евроинтеграции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показал,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теоретическим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концепция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неоконсерватизм.</w:t>
      </w:r>
      <w:r w:rsidRPr="007427E8">
        <w:rPr>
          <w:rFonts w:ascii="Times New Roman" w:hAnsi="Times New Roman"/>
          <w:sz w:val="26"/>
          <w:szCs w:val="26"/>
        </w:rPr>
        <w:t xml:space="preserve"> Специфика заключалась в том, что на начальном этапе Соединенное Королевство не участвовало в евроинтеграции, но в 1960-х гг. правительство поняло, что дальнейшее дистанцирование экономически невыгодно и политически нецелесообразно. </w:t>
      </w:r>
      <w:r w:rsidRPr="00D436C0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ЕЭС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являлись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извлечение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максимальной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выгоды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хозяйственной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интеграции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восстановление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континенте.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«отступления»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репутации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«неудобного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партнера»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связана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периодическим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пересмотром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пребывания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Англии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Сообществе,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отстаиванием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сохранением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внешнеполитических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приоритетов.</w:t>
      </w:r>
      <w:r w:rsidRPr="007427E8">
        <w:rPr>
          <w:rFonts w:ascii="Times New Roman" w:hAnsi="Times New Roman"/>
          <w:sz w:val="26"/>
          <w:szCs w:val="26"/>
        </w:rPr>
        <w:t xml:space="preserve"> Не вызывает сомнений, что в основе британской модели европейского строительства находился экономический приоритет. Результатом интеграции стали, с одной стороны, усиление, а с другой - столкновение хозяйственных комплексов стран партнеров, которые так и не образовали «единый механизм».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генеральная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линия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преимущества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открытых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сохранении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хозяйственной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Брюсселя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оставалась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неизменной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протяжении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членства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Соединенного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Королевства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Европейском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Объединении.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значительной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мере,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евроинтеграции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позволило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Великобритании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успешно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пройти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6C0">
        <w:rPr>
          <w:rFonts w:ascii="Times New Roman" w:hAnsi="Times New Roman"/>
          <w:sz w:val="28"/>
          <w:szCs w:val="28"/>
        </w:rPr>
        <w:t>постимперской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модернизации,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укрепившись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экономически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усилившись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6C0">
        <w:rPr>
          <w:rFonts w:ascii="Times New Roman" w:hAnsi="Times New Roman"/>
          <w:sz w:val="28"/>
          <w:szCs w:val="28"/>
        </w:rPr>
        <w:t>политичес</w:t>
      </w:r>
      <w:bookmarkStart w:id="11" w:name="_GoBack"/>
      <w:bookmarkEnd w:id="11"/>
      <w:r w:rsidRPr="00D436C0">
        <w:rPr>
          <w:rFonts w:ascii="Times New Roman" w:hAnsi="Times New Roman"/>
          <w:sz w:val="28"/>
          <w:szCs w:val="28"/>
        </w:rPr>
        <w:t>ки.</w:t>
      </w:r>
      <w:r w:rsidR="006B7811">
        <w:rPr>
          <w:rFonts w:ascii="Times New Roman" w:hAnsi="Times New Roman"/>
          <w:sz w:val="28"/>
          <w:szCs w:val="28"/>
        </w:rPr>
        <w:br w:type="page"/>
      </w:r>
    </w:p>
    <w:p w14:paraId="7054530D" w14:textId="77777777" w:rsidR="00D95620" w:rsidRPr="008B18BB" w:rsidRDefault="00D95620" w:rsidP="00D95620">
      <w:pPr>
        <w:pStyle w:val="2"/>
        <w:spacing w:before="240" w:after="6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_Toc7692240"/>
      <w:bookmarkStart w:id="13" w:name="_Toc9208823"/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lastRenderedPageBreak/>
        <w:t>2.2 Анализ замедления экономического роста стран еврозоны, дисбалансы европейского финансового рынка</w:t>
      </w:r>
      <w:bookmarkEnd w:id="12"/>
      <w:bookmarkEnd w:id="13"/>
    </w:p>
    <w:p w14:paraId="6E031FD8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E997A2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Великобритании,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государств,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определенными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договоренностями.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задачей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финансовой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государствами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баланса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соответственно,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прекрасным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инструментом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цели.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почему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все-таки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страны-участницы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утвердили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Маастрихтскому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договору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поздно,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особые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послабления,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прописанные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самом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договоре.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взгляд,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очевидно,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слияние,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изначально.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Соответственно,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привилегиями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группировки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Поэтому,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оставшихся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логичным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продолжением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нежелание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государства.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условию,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страны-участницы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план,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воспользоваться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привилегиями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ускорять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нельзя,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отрицательное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финансово-экономические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lastRenderedPageBreak/>
        <w:t>национальной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жизнеспособность,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достигать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уровня.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6AE691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идее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плюсы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больше,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плюсов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минусов?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индивидуальны.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устранены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колебания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снижены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трансакционные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издержки.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работать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продажами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гораздо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легче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соотносить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товары.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привилегии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взгляд,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серьезным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этапом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расширить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государствами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совершать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торговые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сделки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лишней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конвертации,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издержки.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совершить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какую-либо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сделку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использующей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национальную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скорее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придется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исчезнет.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претендентом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скорейшее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говорить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позже.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1BEB72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касается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долгосрочных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перспектив,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повысится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распространится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ЕЦБ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особенно.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предотвращает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ЕЦБ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поддерживает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наконец,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резко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повысится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инвестиционная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привлекательность.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минусы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риски.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Во-первых,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потеря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денежно-кредитной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касается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lastRenderedPageBreak/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процентной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ЕЦБ.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присоединение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ЭВС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корректировать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Италия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проводила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девальвации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Самая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принявшая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национальную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вступившая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двухгодовой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начиная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попытка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-предыдущая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провалилась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из-за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смогли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справиться.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выполнила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превышал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3%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госдолг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60%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1,5%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превышал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лучших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показателя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Евросоюзу</w:t>
      </w:r>
      <w:r w:rsidR="00F00F1A">
        <w:rPr>
          <w:rStyle w:val="ae"/>
          <w:rFonts w:ascii="Times New Roman" w:hAnsi="Times New Roman"/>
          <w:sz w:val="28"/>
          <w:szCs w:val="28"/>
        </w:rPr>
        <w:footnoteReference w:id="23"/>
      </w:r>
      <w:r w:rsidRPr="002538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принципе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успешным.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Каких-то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кардинальных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изменений,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экспертов,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из-за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привязки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7-8%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фрукты,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овощи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сферу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сравнении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Латвией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Эстонией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минимален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все-таки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удалось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избежать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инфляцию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принесло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немало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плюсов: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инвестиций,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литовских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транзакциях.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положительно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повлияла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кредитный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рейтинг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облегчила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мировым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финансовым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рынкам.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умудрилось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сэкономить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влиянию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процентные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2015-го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Отмечается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покупательской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способности,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бизнесмены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считают,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мотивация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Обобщив,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вывод,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Литвы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принесла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одни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плюсы,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случились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другую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временны.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упоминала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претенденте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lastRenderedPageBreak/>
        <w:t>почему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затянулся?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важнейших,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стратегических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задач.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споров,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все-таки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вообще.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81F">
        <w:rPr>
          <w:rFonts w:ascii="Times New Roman" w:hAnsi="Times New Roman"/>
          <w:sz w:val="28"/>
          <w:szCs w:val="28"/>
        </w:rPr>
        <w:t>Росен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81F">
        <w:rPr>
          <w:rFonts w:ascii="Times New Roman" w:hAnsi="Times New Roman"/>
          <w:sz w:val="28"/>
          <w:szCs w:val="28"/>
        </w:rPr>
        <w:t>Плевнелиев</w:t>
      </w:r>
      <w:proofErr w:type="spellEnd"/>
      <w:r w:rsidRPr="002538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ходом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нынешний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кризис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сбалансированной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финансовой,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финансовой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системе.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отметил,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банковская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депозиты,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улучшается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ликвидность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эксперты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утверждают,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«палка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концах»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Грецию,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развивалась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влезла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положительному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вообще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спешить,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возмущения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могли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раз-таки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избежать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удара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Британии.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рассуждать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логически,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выхода,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приняла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прописаны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Маастрихтском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договоре.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курсу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заинтересована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национальной.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равно,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кризис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затрагивает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категорично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говорить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каким-то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необратимым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последствиям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нельзя.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банковского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увеличится,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ЕЦБ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интенсивнее,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положительно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инвестиционный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климат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покупательскую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активность.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негативным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валютного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обязывает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поддерживать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объему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резерв,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инвестируется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низкодоходные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инструменты.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lastRenderedPageBreak/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накопленных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государством,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займов,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обеспечивать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рынках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1-2%.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образом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платит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своеобразный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стабильность».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присоединяясь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прибыль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2-3-х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предоставляя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займы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государствам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кредиторами.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резерв,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поддерживает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освобожден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инвестиций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конкурентоспособности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мировом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рынке,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покупательской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ВВП,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своеобразной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гарантией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взяв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Греции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негативный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Болгарию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допустят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уверенности,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критериям,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построить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правильную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денежно-кредитную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финансовую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избежать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инфляции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проблем,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столкнуться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эксперты.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2432AF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25381F">
        <w:rPr>
          <w:rFonts w:ascii="Times New Roman" w:hAnsi="Times New Roman"/>
          <w:sz w:val="28"/>
          <w:szCs w:val="28"/>
        </w:rPr>
        <w:t>сложно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говорить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проблематике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общем,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вошедших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сугубо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индивидуальным.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Каждая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видит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плюсы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минусы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ситуации.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момент,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тонусе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подписанные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обязательства.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поздно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каждая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осуществить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позиций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мировом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рынке,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ослабли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Великобритании.</w:t>
      </w:r>
    </w:p>
    <w:p w14:paraId="1DB914E1" w14:textId="77777777" w:rsidR="00D95620" w:rsidRPr="003D2655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655">
        <w:rPr>
          <w:rFonts w:ascii="Times New Roman" w:hAnsi="Times New Roman"/>
          <w:sz w:val="28"/>
          <w:szCs w:val="28"/>
        </w:rPr>
        <w:t xml:space="preserve">Болгария вступила в ЕС 1 января 2007 года. Болгарии вступление в Евросоюз принесло больше минусов, чем плюсов. Экономика Болгарии, которая никак не может побороть коррупцию, фактически оказалась под контролем западных компаний. Надежды, связанные со вступлением в ЕС, </w:t>
      </w:r>
      <w:r w:rsidRPr="003D2655">
        <w:rPr>
          <w:rFonts w:ascii="Times New Roman" w:hAnsi="Times New Roman"/>
          <w:sz w:val="28"/>
          <w:szCs w:val="28"/>
        </w:rPr>
        <w:lastRenderedPageBreak/>
        <w:t>так и не оправдались: уровень жизни в последние несколько лет рос крайне медленными темпами, около 49% населения по-прежнему проживают за чертой бедности - по данным Евростата, более 10% болгар не имеют работы, на севере страны эта цифра достигает 60%. При этом система страхования по безработице развита весьма слабо</w:t>
      </w:r>
      <w:r w:rsidR="00F00F1A">
        <w:rPr>
          <w:rStyle w:val="ae"/>
          <w:rFonts w:ascii="Times New Roman" w:hAnsi="Times New Roman"/>
          <w:sz w:val="28"/>
          <w:szCs w:val="28"/>
        </w:rPr>
        <w:footnoteReference w:id="24"/>
      </w:r>
      <w:r w:rsidRPr="003D2655">
        <w:rPr>
          <w:rFonts w:ascii="Times New Roman" w:hAnsi="Times New Roman"/>
          <w:sz w:val="28"/>
          <w:szCs w:val="28"/>
        </w:rPr>
        <w:t>. </w:t>
      </w:r>
    </w:p>
    <w:p w14:paraId="6062C325" w14:textId="77777777" w:rsidR="00D95620" w:rsidRPr="003D2655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655">
        <w:rPr>
          <w:rFonts w:ascii="Times New Roman" w:hAnsi="Times New Roman"/>
          <w:sz w:val="28"/>
          <w:szCs w:val="28"/>
        </w:rPr>
        <w:t>Так как в ЕС действует единый рынок, то в Болгарию получили свободный доступ крупные компании из других стран. Чехи, немцы, американцы стали все более настойчиво действовать в болгарской энергетике, что и привело к закрытию некоторых энергокомплексов, в том числе в атомной сфере.</w:t>
      </w:r>
    </w:p>
    <w:p w14:paraId="47E54040" w14:textId="77777777" w:rsidR="00D95620" w:rsidRPr="003D2655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655">
        <w:rPr>
          <w:rFonts w:ascii="Times New Roman" w:hAnsi="Times New Roman"/>
          <w:sz w:val="28"/>
          <w:szCs w:val="28"/>
        </w:rPr>
        <w:t>По данным Министерства Экономики, себестоимость электричества, производимого ВЭИ - возобновляемые источники энергии, в 15 раз дороже электроэнергии АЭС. Широкое внедрение экологически чистых солнечных электростанций вызвало удорожание электроэнергии на 8%.</w:t>
      </w:r>
    </w:p>
    <w:p w14:paraId="40DEC0F9" w14:textId="77777777" w:rsidR="00D95620" w:rsidRPr="003D2655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655">
        <w:rPr>
          <w:rFonts w:ascii="Times New Roman" w:hAnsi="Times New Roman"/>
          <w:sz w:val="28"/>
          <w:szCs w:val="28"/>
        </w:rPr>
        <w:t>Ухудшение экономического состояния страны связано с упадком предприятий сельского хозяйства и пищевой промышленности, составлявших крупную часть ВВП страны. Местные овощи на прилавках болгарских магазинов заменили на голландский перец, турецкие помидоры и французский картофель. </w:t>
      </w:r>
    </w:p>
    <w:p w14:paraId="3C9DF59C" w14:textId="77777777" w:rsidR="00D95620" w:rsidRPr="003D2655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655">
        <w:rPr>
          <w:rFonts w:ascii="Times New Roman" w:hAnsi="Times New Roman"/>
          <w:sz w:val="28"/>
          <w:szCs w:val="28"/>
        </w:rPr>
        <w:t>Еще одним негативным фактором вступления Болгарии в ЕС стало увеличение уровня безработицы с 6, 9% в 2007 году до 11, 8% в 201</w:t>
      </w:r>
      <w:r w:rsidR="006F4156">
        <w:rPr>
          <w:rFonts w:ascii="Times New Roman" w:hAnsi="Times New Roman"/>
          <w:sz w:val="28"/>
          <w:szCs w:val="28"/>
        </w:rPr>
        <w:t>8</w:t>
      </w:r>
      <w:r w:rsidRPr="003D2655">
        <w:rPr>
          <w:rFonts w:ascii="Times New Roman" w:hAnsi="Times New Roman"/>
          <w:sz w:val="28"/>
          <w:szCs w:val="28"/>
        </w:rPr>
        <w:t xml:space="preserve"> году.</w:t>
      </w:r>
    </w:p>
    <w:p w14:paraId="12E443C2" w14:textId="77777777" w:rsidR="00D95620" w:rsidRPr="003D2655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655">
        <w:rPr>
          <w:rFonts w:ascii="Times New Roman" w:hAnsi="Times New Roman"/>
          <w:sz w:val="28"/>
          <w:szCs w:val="28"/>
        </w:rPr>
        <w:t>К числу позитивных макроэкономических показателей 201</w:t>
      </w:r>
      <w:r w:rsidR="006F4156">
        <w:rPr>
          <w:rFonts w:ascii="Times New Roman" w:hAnsi="Times New Roman"/>
          <w:sz w:val="28"/>
          <w:szCs w:val="28"/>
        </w:rPr>
        <w:t>8</w:t>
      </w:r>
      <w:r w:rsidRPr="003D2655">
        <w:rPr>
          <w:rFonts w:ascii="Times New Roman" w:hAnsi="Times New Roman"/>
          <w:sz w:val="28"/>
          <w:szCs w:val="28"/>
        </w:rPr>
        <w:t xml:space="preserve"> года можно отнести сокращение инфляции до уровня 0,9% в среднегодовом исчислении, а также опережающий инфляцию рост средней заработной платы, которая составила 413,1 евро в месяц (+10,5%).</w:t>
      </w:r>
    </w:p>
    <w:p w14:paraId="5A081409" w14:textId="77777777" w:rsidR="00D95620" w:rsidRDefault="00D95620" w:rsidP="00C7455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655">
        <w:rPr>
          <w:rFonts w:ascii="Times New Roman" w:hAnsi="Times New Roman"/>
          <w:sz w:val="28"/>
          <w:szCs w:val="28"/>
        </w:rPr>
        <w:t>В целом международные рейтинговые агентства оценивают финансовое положение Болгарии как достаточно устойчивое.</w:t>
      </w:r>
    </w:p>
    <w:p w14:paraId="02F57DB5" w14:textId="77777777" w:rsidR="00C74559" w:rsidRPr="00C74559" w:rsidRDefault="00C74559" w:rsidP="00C7455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EE43377" w14:textId="77777777" w:rsidR="00D95620" w:rsidRPr="008B18BB" w:rsidRDefault="00D95620" w:rsidP="00D95620">
      <w:pPr>
        <w:pStyle w:val="2"/>
        <w:spacing w:before="240" w:after="6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bookmarkStart w:id="14" w:name="_Toc7692241"/>
      <w:bookmarkStart w:id="15" w:name="_Toc9208824"/>
      <w:r w:rsidRPr="008B18B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lastRenderedPageBreak/>
        <w:t>2.3 Перспективы расширения зоны евро на Балканы</w:t>
      </w:r>
      <w:bookmarkEnd w:id="14"/>
      <w:bookmarkEnd w:id="15"/>
    </w:p>
    <w:p w14:paraId="3397243D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85617FE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Молодое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появиться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раньше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одобрила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обнародовала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стратегию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усиленных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Западными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Балканами.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недель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увидели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журналисты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эксперты,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вызвал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значительный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резонанс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положительных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оценок,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критики.</w:t>
      </w:r>
    </w:p>
    <w:p w14:paraId="29E35154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Крылатое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Балканах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«мягком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подбрюшье»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сформировали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британские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публицисты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Уинстона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Черчилля.</w:t>
      </w:r>
    </w:p>
    <w:p w14:paraId="10B3C621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Крылатая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уязвимость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балканского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географических,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исторических,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национально-этнических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особенностей.</w:t>
      </w:r>
    </w:p>
    <w:p w14:paraId="5BC4A5D2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Сегодняшняя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стратегия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касается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Западных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Балкан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региона,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остался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анклавом,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окруженным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странами-членами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попытки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«проглотить»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небольшие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«геостратегической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инвестицией»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процветания,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верховенства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демократии,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искоренения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Западных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Балкан</w:t>
      </w:r>
      <w:r w:rsidR="00F00F1A">
        <w:rPr>
          <w:rStyle w:val="ae"/>
          <w:rFonts w:ascii="Times New Roman" w:hAnsi="Times New Roman"/>
          <w:sz w:val="28"/>
          <w:szCs w:val="28"/>
        </w:rPr>
        <w:footnoteReference w:id="25"/>
      </w:r>
      <w:r w:rsidRPr="0025381F">
        <w:rPr>
          <w:rFonts w:ascii="Times New Roman" w:hAnsi="Times New Roman"/>
          <w:sz w:val="28"/>
          <w:szCs w:val="28"/>
        </w:rPr>
        <w:t>.</w:t>
      </w:r>
    </w:p>
    <w:p w14:paraId="221A4E38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аналитиков,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стратегия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«последним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шансом»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преобладающее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Западные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Балканы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вернуть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доверие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секрет,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протяжении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выросло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разочарование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отношениями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проблем,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угроз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нелегальной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миграции,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агрессивного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гибридного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кризиса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самом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сообществе.</w:t>
      </w:r>
    </w:p>
    <w:p w14:paraId="66378785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lastRenderedPageBreak/>
        <w:t>Актуальная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стратегия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оптимистичных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81F">
        <w:rPr>
          <w:rFonts w:ascii="Times New Roman" w:hAnsi="Times New Roman"/>
          <w:sz w:val="28"/>
          <w:szCs w:val="28"/>
        </w:rPr>
        <w:t>западнобалканских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призваны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стимулировать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дальнейшие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евроинтеграционные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реформы.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конечной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Евросоюзе.</w:t>
      </w:r>
    </w:p>
    <w:p w14:paraId="7B56D699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документе,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смелый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шаг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дипломатично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сдержанного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забюрократизированного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определены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четкие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рамки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возможного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присоединения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Сообществу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Черногории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Сербии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года.</w:t>
      </w:r>
    </w:p>
    <w:p w14:paraId="4D73B141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81F">
        <w:rPr>
          <w:rFonts w:ascii="Times New Roman" w:hAnsi="Times New Roman"/>
          <w:sz w:val="28"/>
          <w:szCs w:val="28"/>
        </w:rPr>
        <w:t>западнобалканской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«шестерки»,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ведут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присоединении.</w:t>
      </w:r>
    </w:p>
    <w:p w14:paraId="6A63E640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частности,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Черногория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(также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2010-м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получила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кандидата;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2012-м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ощутимым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5381F">
        <w:rPr>
          <w:rFonts w:ascii="Times New Roman" w:hAnsi="Times New Roman"/>
          <w:sz w:val="28"/>
          <w:szCs w:val="28"/>
        </w:rPr>
        <w:t>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прогрессом.</w:t>
      </w:r>
    </w:p>
    <w:p w14:paraId="158504B6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Сербия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заявила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стремлении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присоединиться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2012-м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кандидатом;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2014-м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удалось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достичь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умеренного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прогресс</w:t>
      </w:r>
      <w:r w:rsidR="00F00F1A">
        <w:rPr>
          <w:rStyle w:val="ae"/>
          <w:rFonts w:ascii="Times New Roman" w:hAnsi="Times New Roman"/>
          <w:sz w:val="28"/>
          <w:szCs w:val="28"/>
        </w:rPr>
        <w:footnoteReference w:id="26"/>
      </w:r>
      <w:r w:rsidRPr="0025381F">
        <w:rPr>
          <w:rFonts w:ascii="Times New Roman" w:hAnsi="Times New Roman"/>
          <w:sz w:val="28"/>
          <w:szCs w:val="28"/>
        </w:rPr>
        <w:t>а.</w:t>
      </w:r>
    </w:p>
    <w:p w14:paraId="2B127D54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Следовательно,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определила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шаги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пути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реформ,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Подгорица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Белград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реализовали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перспективу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Сообщества.</w:t>
      </w:r>
    </w:p>
    <w:p w14:paraId="7F5ED6BB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важно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понять,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крайней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окончательной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границей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строгим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графиком.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четко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понятно,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целевой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датой,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дедлайн,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перспектива»,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пояснила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ситуацию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высокий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81F">
        <w:rPr>
          <w:rFonts w:ascii="Times New Roman" w:hAnsi="Times New Roman"/>
          <w:sz w:val="28"/>
          <w:szCs w:val="28"/>
        </w:rPr>
        <w:t>Федерика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81F">
        <w:rPr>
          <w:rFonts w:ascii="Times New Roman" w:hAnsi="Times New Roman"/>
          <w:sz w:val="28"/>
          <w:szCs w:val="28"/>
        </w:rPr>
        <w:t>Могерини</w:t>
      </w:r>
      <w:proofErr w:type="spellEnd"/>
      <w:r w:rsidRPr="0025381F">
        <w:rPr>
          <w:rFonts w:ascii="Times New Roman" w:hAnsi="Times New Roman"/>
          <w:sz w:val="28"/>
          <w:szCs w:val="28"/>
        </w:rPr>
        <w:t>.</w:t>
      </w:r>
    </w:p>
    <w:p w14:paraId="7460AE41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региона,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замыслу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чиновников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Брюсселе,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продвинутых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соседей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стимул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продолжения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критериев,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недалеком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присоединиться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ЕС.</w:t>
      </w:r>
    </w:p>
    <w:p w14:paraId="3C09EA3A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lastRenderedPageBreak/>
        <w:t>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касается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Албании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Македонии.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кандидатов,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вступлении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стремятся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году.</w:t>
      </w:r>
    </w:p>
    <w:p w14:paraId="636B7B39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Босния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Герцеговина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сказать,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«кандидатом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кандидаты»,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ожидает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оценку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возможного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кандидата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страны.</w:t>
      </w:r>
    </w:p>
    <w:p w14:paraId="2D6336D7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касается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Косово,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независимость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мире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самом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признана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частично,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Приштине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продолжать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имплементации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ЕС.</w:t>
      </w:r>
    </w:p>
    <w:p w14:paraId="523B969E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Стратегия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позитивные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сигналы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Западных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Балкан.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Однако,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стремление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достичь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успеха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имплементации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расширения,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регионе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непреодолимых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сегодняшний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противоречий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добавляют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оптимизма,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перспективе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«2025»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семья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членов.</w:t>
      </w:r>
    </w:p>
    <w:p w14:paraId="530E144C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всеобъемлющих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реформ,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борьбы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коррупцией,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верховенства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балканской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шестерки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урегулировать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имеющиеся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международно-правовые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споры.</w:t>
      </w:r>
    </w:p>
    <w:p w14:paraId="5E2D8CD6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огромные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усилия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модератора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нормализация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Сербией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тяжело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далека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взаимопонимания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гармонии.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Боснии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Герцеговины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нерешенным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остаются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территориальный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спор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Хорватией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Адриатического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моря.</w:t>
      </w:r>
    </w:p>
    <w:p w14:paraId="1480D6CB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Греция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традиционно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блокирует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европейскую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евроатлантическую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Македонии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(бывшей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югославской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республики)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страны.</w:t>
      </w:r>
    </w:p>
    <w:p w14:paraId="2DBCF68D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lastRenderedPageBreak/>
        <w:t>Остается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изменчивым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международно-правовой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Косово,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вообще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признан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независимое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пятью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Греция,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Испания,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Кипр,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Румыния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Словакия.</w:t>
      </w:r>
    </w:p>
    <w:p w14:paraId="454B39AB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Испания,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имея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каталонского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сепаратизма,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выдвинула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Косово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стратегического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пакета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81F">
        <w:rPr>
          <w:rFonts w:ascii="Times New Roman" w:hAnsi="Times New Roman"/>
          <w:sz w:val="28"/>
          <w:szCs w:val="28"/>
        </w:rPr>
        <w:t>западнобалканской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интеграции.</w:t>
      </w:r>
    </w:p>
    <w:p w14:paraId="71F022AB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расширению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региону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евроинтеграционный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оптимизм,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имеющихся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проблем.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Хотя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перспектива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восемь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потенциальные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81F">
        <w:rPr>
          <w:rFonts w:ascii="Times New Roman" w:hAnsi="Times New Roman"/>
          <w:sz w:val="28"/>
          <w:szCs w:val="28"/>
        </w:rPr>
        <w:t>безопасностные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сыграть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решающую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успеха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геостратегической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инвестиции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ЕС.</w:t>
      </w:r>
    </w:p>
    <w:p w14:paraId="246EFA40" w14:textId="77777777" w:rsidR="00D95620" w:rsidRPr="0025381F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преимуществ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Западные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Балканы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почувствовали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сегодня.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Начиная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членству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достигла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млрд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евро.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частности,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5381F">
        <w:rPr>
          <w:rFonts w:ascii="Times New Roman" w:hAnsi="Times New Roman"/>
          <w:sz w:val="28"/>
          <w:szCs w:val="28"/>
        </w:rPr>
        <w:t>-м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планируется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1,9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млрд.</w:t>
      </w:r>
    </w:p>
    <w:p w14:paraId="5083341A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81F">
        <w:rPr>
          <w:rFonts w:ascii="Times New Roman" w:hAnsi="Times New Roman"/>
          <w:sz w:val="28"/>
          <w:szCs w:val="28"/>
        </w:rPr>
        <w:t>Важным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приглашение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81F">
        <w:rPr>
          <w:rFonts w:ascii="Times New Roman" w:hAnsi="Times New Roman"/>
          <w:sz w:val="28"/>
          <w:szCs w:val="28"/>
        </w:rPr>
        <w:t>западнобалканских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участию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политик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предложенных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преимуществ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глубокая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интеграция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энергетического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союза,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цифрового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(включая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уменьшение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роуминг),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дальнейшая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торговая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81F">
        <w:rPr>
          <w:rFonts w:ascii="Times New Roman" w:hAnsi="Times New Roman"/>
          <w:sz w:val="28"/>
          <w:szCs w:val="28"/>
        </w:rPr>
        <w:t>либерализация</w:t>
      </w:r>
      <w:r w:rsidR="00F00F1A">
        <w:rPr>
          <w:rStyle w:val="ae"/>
          <w:rFonts w:ascii="Times New Roman" w:hAnsi="Times New Roman"/>
          <w:sz w:val="28"/>
          <w:szCs w:val="28"/>
        </w:rPr>
        <w:footnoteReference w:id="27"/>
      </w:r>
      <w:r w:rsidRPr="0025381F">
        <w:rPr>
          <w:rFonts w:ascii="Times New Roman" w:hAnsi="Times New Roman"/>
          <w:sz w:val="28"/>
          <w:szCs w:val="28"/>
        </w:rPr>
        <w:t>.</w:t>
      </w:r>
    </w:p>
    <w:p w14:paraId="5472B4E4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2DF1">
        <w:rPr>
          <w:rFonts w:ascii="Times New Roman" w:hAnsi="Times New Roman"/>
          <w:sz w:val="28"/>
          <w:szCs w:val="28"/>
        </w:rPr>
        <w:t xml:space="preserve">Историческую динамику Балканских стран отличает то, что редкие и краткие периоды, когда регион оставался предоставленным самому себе, неизбежно сменяются активизацией влияния внешних сил, использующих внутренние проблемы региона для продвижения своих интересов. Однако с момента распада Римской империи на Западную и Восточную ни одной из крупных империй не удавалось достичь полного контроля над ситуацией в регионе на длительный период. Монополия неизбежно подтачивалась либо </w:t>
      </w:r>
      <w:r w:rsidRPr="00BA2DF1">
        <w:rPr>
          <w:rFonts w:ascii="Times New Roman" w:hAnsi="Times New Roman"/>
          <w:sz w:val="28"/>
          <w:szCs w:val="28"/>
        </w:rPr>
        <w:lastRenderedPageBreak/>
        <w:t xml:space="preserve">другими крупными силами, либо региональными национально-освободительными движениями. Это следует помнить и сегодня, когда предпринимается очередная амбициозная попытка провести унификацию региона согласно неким абстрактным стандартам. Из этого следует несколько принципиальных выводов. </w:t>
      </w:r>
    </w:p>
    <w:p w14:paraId="4F927ACD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2DF1">
        <w:rPr>
          <w:rFonts w:ascii="Times New Roman" w:hAnsi="Times New Roman"/>
          <w:sz w:val="28"/>
          <w:szCs w:val="28"/>
        </w:rPr>
        <w:t xml:space="preserve">Во-первых. В периоды стабильности на Балканах </w:t>
      </w:r>
      <w:proofErr w:type="spellStart"/>
      <w:r w:rsidRPr="00BA2DF1">
        <w:rPr>
          <w:rFonts w:ascii="Times New Roman" w:hAnsi="Times New Roman"/>
          <w:sz w:val="28"/>
          <w:szCs w:val="28"/>
        </w:rPr>
        <w:t>монистская</w:t>
      </w:r>
      <w:proofErr w:type="spellEnd"/>
      <w:r w:rsidRPr="00BA2DF1">
        <w:rPr>
          <w:rFonts w:ascii="Times New Roman" w:hAnsi="Times New Roman"/>
          <w:sz w:val="28"/>
          <w:szCs w:val="28"/>
        </w:rPr>
        <w:t xml:space="preserve"> ориентация может являться работающей моделью. Но в условиях системного кризиса ориентация на единого гегемона приводит к взаимоисключающему целеполаганию, причём для всех участников. Отсюда следуют два заключения. Первое, гипотетический отказ Сербии от своей «</w:t>
      </w:r>
      <w:proofErr w:type="spellStart"/>
      <w:r w:rsidRPr="00BA2DF1">
        <w:rPr>
          <w:rFonts w:ascii="Times New Roman" w:hAnsi="Times New Roman"/>
          <w:sz w:val="28"/>
          <w:szCs w:val="28"/>
        </w:rPr>
        <w:t>многовекторности</w:t>
      </w:r>
      <w:proofErr w:type="spellEnd"/>
      <w:r w:rsidRPr="00BA2DF1">
        <w:rPr>
          <w:rFonts w:ascii="Times New Roman" w:hAnsi="Times New Roman"/>
          <w:sz w:val="28"/>
          <w:szCs w:val="28"/>
        </w:rPr>
        <w:t xml:space="preserve">» не сулит больших выгод, поскольку США, преследуя более широкие цели, одновременно не могут отвечать интересам сербов, албанцев, хорватов и других народов. </w:t>
      </w:r>
    </w:p>
    <w:p w14:paraId="417DDA7F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2DF1">
        <w:rPr>
          <w:rFonts w:ascii="Times New Roman" w:hAnsi="Times New Roman"/>
          <w:sz w:val="28"/>
          <w:szCs w:val="28"/>
        </w:rPr>
        <w:t xml:space="preserve">Второе, неудовлетворённость собственным положением неизбежно приводит балканские страны к необходимости поиска других союзников. В условиях кризиса такой союзник не обязательно должен иметь особую цивилизационную повестку (на что, например, делает ставку Европейский союз). Военно-политических гарантий вполне достаточно. Во-вторых. Вовлечение «внешних» (по отношению к Западу) игроков исторически неизбежно. Невозможно исключить из региона Турцию. На смену вытесняемой России придёт Китай или какой-либо иной внешний игрок (включая негосударственные </w:t>
      </w:r>
      <w:proofErr w:type="spellStart"/>
      <w:r w:rsidRPr="00BA2DF1">
        <w:rPr>
          <w:rFonts w:ascii="Times New Roman" w:hAnsi="Times New Roman"/>
          <w:sz w:val="28"/>
          <w:szCs w:val="28"/>
        </w:rPr>
        <w:t>акторы</w:t>
      </w:r>
      <w:proofErr w:type="spellEnd"/>
      <w:r w:rsidRPr="00BA2DF1">
        <w:rPr>
          <w:rFonts w:ascii="Times New Roman" w:hAnsi="Times New Roman"/>
          <w:sz w:val="28"/>
          <w:szCs w:val="28"/>
        </w:rPr>
        <w:t xml:space="preserve">). Та или иная форма внешнего влияния определённо будет сохраняться. В условиях взаимного восприятия в качестве соперников это будет вести к конфликту интересов, заочному столкновению и возникновению дополнительного очага напряжённости — вдобавок к имеющимся. Очевидно, что в ряду гипотетических, «естественных» союзников для балканских стран могут быть только близлежащие государства  (Германия, Турция и Россия). Единственный разумный выход — перейти от формата внешней конкуренции за регион к многостороннему согласованию позиций или «концерту держав». </w:t>
      </w:r>
    </w:p>
    <w:p w14:paraId="143413AE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2DF1">
        <w:rPr>
          <w:rFonts w:ascii="Times New Roman" w:hAnsi="Times New Roman"/>
          <w:sz w:val="28"/>
          <w:szCs w:val="28"/>
        </w:rPr>
        <w:lastRenderedPageBreak/>
        <w:t xml:space="preserve">В-третьих. Более 300 лет Россия имеет в регионе то или иное присутствие. Вообразить сценарий, связанный с уходом России с Балкан, практически невозможно. Но сегодня именно России грозит вытеснение из региона, поскольку другие международные игроки: а) имеют больше возможностей (экономических, военно-политических, культурных); б) выстраивают балканское направление своей внешней политики на порядок более последовательно и системно; в) целенаправленно действуют против России или лишь относительно заинтересованы в её несомненном присутствии. Поэтому в рамках существующей внешней политики и с учётом сомнительных достижений последних лет роль России на Балканах может снизиться до минимума. </w:t>
      </w:r>
    </w:p>
    <w:p w14:paraId="2CE3B003" w14:textId="77777777" w:rsidR="00D95620" w:rsidRDefault="00D95620" w:rsidP="00D95620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2DF1">
        <w:rPr>
          <w:rFonts w:ascii="Times New Roman" w:hAnsi="Times New Roman"/>
          <w:sz w:val="28"/>
          <w:szCs w:val="28"/>
        </w:rPr>
        <w:t>В-четвёртых. Неправильно утверждать, что из-за экономической отсталости, «проблемности», «незначительности», географической отдалённости местных стран Балканы не нужны России. Это ошибочно хотя бы потому, что именно здесь российская внешняя политика может быть лучшим образом понята и услышана. Чтобы сохранить своё присутствие, России необходима критическая переоценка собственного курса на этом направлении и построение многомерной политики в отношении Балкан как комплексного региона на основе имеющихся традиционных ресурсов и значимых международных партнёрств.</w:t>
      </w:r>
    </w:p>
    <w:p w14:paraId="35E4269A" w14:textId="77777777" w:rsidR="006879D1" w:rsidRPr="00BA174D" w:rsidRDefault="006879D1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CA9AEAD" w14:textId="77777777" w:rsidR="003A56C7" w:rsidRDefault="003A56C7" w:rsidP="003A56C7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49ED652" w14:textId="77777777" w:rsidR="003A56C7" w:rsidRPr="008B18BB" w:rsidRDefault="00AE5C3F" w:rsidP="003A56C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9208825"/>
      <w:r w:rsidRPr="008B18BB">
        <w:rPr>
          <w:rFonts w:ascii="Times New Roman" w:hAnsi="Times New Roman" w:cs="Times New Roman"/>
          <w:b w:val="0"/>
          <w:sz w:val="28"/>
          <w:szCs w:val="28"/>
        </w:rPr>
        <w:lastRenderedPageBreak/>
        <w:t>ЗАКЛЮЧЕНИЕ</w:t>
      </w:r>
      <w:bookmarkEnd w:id="16"/>
    </w:p>
    <w:p w14:paraId="3C90FFD3" w14:textId="77777777" w:rsidR="003A56C7" w:rsidRPr="000B56C5" w:rsidRDefault="00CB126B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3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Маастрихт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(Нидерланды)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подписан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вступил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1993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году),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тексте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путей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валютного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Западной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Европе</w:t>
      </w:r>
      <w:r w:rsidR="000B56C5">
        <w:rPr>
          <w:rFonts w:ascii="Times New Roman" w:hAnsi="Times New Roman"/>
          <w:sz w:val="28"/>
          <w:szCs w:val="28"/>
        </w:rPr>
        <w:t xml:space="preserve">. </w:t>
      </w:r>
      <w:r w:rsidR="000B56C5" w:rsidRPr="00117323">
        <w:rPr>
          <w:rFonts w:ascii="Times New Roman" w:hAnsi="Times New Roman"/>
          <w:sz w:val="28"/>
          <w:szCs w:val="28"/>
        </w:rPr>
        <w:t>С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1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марта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2002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года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в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странах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—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членах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еврозоны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национальные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валюты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прекратили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свое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хождение,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и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евро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стал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единственной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денежной</w:t>
      </w:r>
      <w:r w:rsidR="000B56C5">
        <w:rPr>
          <w:rFonts w:ascii="Times New Roman" w:hAnsi="Times New Roman"/>
          <w:sz w:val="28"/>
          <w:szCs w:val="28"/>
        </w:rPr>
        <w:t xml:space="preserve"> </w:t>
      </w:r>
      <w:r w:rsidR="000B56C5" w:rsidRPr="00117323">
        <w:rPr>
          <w:rFonts w:ascii="Times New Roman" w:hAnsi="Times New Roman"/>
          <w:sz w:val="28"/>
          <w:szCs w:val="28"/>
        </w:rPr>
        <w:t>единицей.</w:t>
      </w:r>
      <w:r w:rsidR="000B56C5">
        <w:rPr>
          <w:rFonts w:ascii="Times New Roman" w:hAnsi="Times New Roman"/>
          <w:sz w:val="28"/>
          <w:szCs w:val="28"/>
        </w:rPr>
        <w:t xml:space="preserve"> </w:t>
      </w:r>
    </w:p>
    <w:p w14:paraId="21B31B0B" w14:textId="77777777" w:rsidR="00CB126B" w:rsidRDefault="000B56C5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2C17">
        <w:rPr>
          <w:rFonts w:ascii="Times New Roman" w:hAnsi="Times New Roman"/>
          <w:sz w:val="28"/>
          <w:szCs w:val="28"/>
        </w:rPr>
        <w:t>Основной причиной МЭИ развитых стран можно в первую очередь назвать противоречия между значительным уровнем развития производительных сил и тесными рамками национальных экономик. Помимо этого, немаловажными факторами являются растущая глобализация и интернационализация производства.</w:t>
      </w:r>
    </w:p>
    <w:p w14:paraId="6F214338" w14:textId="77777777" w:rsidR="000B56C5" w:rsidRDefault="000B56C5" w:rsidP="000B56C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2C17">
        <w:rPr>
          <w:rFonts w:ascii="Times New Roman" w:hAnsi="Times New Roman"/>
          <w:sz w:val="28"/>
          <w:szCs w:val="28"/>
        </w:rPr>
        <w:t>ЕС – это субъект международного права, у которого есть полномочия участвовать в международных отношениях и заключать международные договора.</w:t>
      </w:r>
    </w:p>
    <w:p w14:paraId="6A1CAD75" w14:textId="77777777" w:rsidR="000B56C5" w:rsidRDefault="000B56C5" w:rsidP="000B56C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323">
        <w:rPr>
          <w:rFonts w:ascii="Times New Roman" w:hAnsi="Times New Roman"/>
          <w:sz w:val="28"/>
          <w:szCs w:val="28"/>
        </w:rPr>
        <w:t>Валютный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обеспечивать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стабильность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евро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(гарантируется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ЕЦБ)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общую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финансовую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стабильность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национальные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3">
        <w:rPr>
          <w:rFonts w:ascii="Times New Roman" w:hAnsi="Times New Roman"/>
          <w:sz w:val="28"/>
          <w:szCs w:val="28"/>
        </w:rPr>
        <w:t>правительства).</w:t>
      </w:r>
    </w:p>
    <w:p w14:paraId="693753EB" w14:textId="77777777" w:rsidR="000B56C5" w:rsidRPr="00337DF4" w:rsidRDefault="000B56C5" w:rsidP="000B56C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побудила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принятию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системных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точечных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устранению.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2010-х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региональном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активное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получили: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институциональные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механизмы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макроэкономического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кредитно-финансовых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отношений;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инструменты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прямой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кредитной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банков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внешних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долгов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F4">
        <w:rPr>
          <w:rFonts w:ascii="Times New Roman" w:hAnsi="Times New Roman"/>
          <w:sz w:val="28"/>
          <w:szCs w:val="28"/>
        </w:rPr>
        <w:t>Евросоюза.</w:t>
      </w:r>
    </w:p>
    <w:p w14:paraId="0A9B463A" w14:textId="77777777" w:rsidR="000B56C5" w:rsidRPr="00E5306A" w:rsidRDefault="000B56C5" w:rsidP="000B56C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306A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механизмов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макроэкономического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посткризисный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включает: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семестра;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реформированный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стабильности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стабильности,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координации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lastRenderedPageBreak/>
        <w:t>европейском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ЭВС;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макроэкономических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06A">
        <w:rPr>
          <w:rFonts w:ascii="Times New Roman" w:hAnsi="Times New Roman"/>
          <w:sz w:val="28"/>
          <w:szCs w:val="28"/>
        </w:rPr>
        <w:t>макропруденциального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дисбалансов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кредитования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зоне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06A">
        <w:rPr>
          <w:rFonts w:ascii="Times New Roman" w:hAnsi="Times New Roman"/>
          <w:sz w:val="28"/>
          <w:szCs w:val="28"/>
        </w:rPr>
        <w:t>евро.</w:t>
      </w:r>
    </w:p>
    <w:p w14:paraId="01E1C91C" w14:textId="77777777" w:rsidR="00D26F98" w:rsidRPr="00D436C0" w:rsidRDefault="00D26F98" w:rsidP="00D26F9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36C0">
        <w:rPr>
          <w:rFonts w:ascii="Times New Roman" w:hAnsi="Times New Roman"/>
          <w:sz w:val="28"/>
          <w:szCs w:val="28"/>
        </w:rPr>
        <w:t>Брексит</w:t>
      </w:r>
      <w:proofErr w:type="spellEnd"/>
      <w:r w:rsidRPr="00D436C0">
        <w:rPr>
          <w:rFonts w:ascii="Times New Roman" w:hAnsi="Times New Roman"/>
          <w:sz w:val="28"/>
          <w:szCs w:val="28"/>
        </w:rPr>
        <w:t xml:space="preserve"> не являлся закономерным или неизбежным итогом участия Соединенного Королевства в евроинтеграции, скорее, он стал результатом взаимодействия объективных и субъективных факторов. Анализ проблемы участия Британии в евроинтеграции показал, что теоретическим обоснованием данной политики стала концепция неоконсерватизм. Целью вступления Великобритании в ЕЭС являлись извлечение максимальной выгоды из хозяйственной интеграции и восстановление своего влияния на континенте. Проблема «отступления» и формирования репутации «неудобного партнера» связана с периодическим пересмотром условий пребывания Англии в Сообществе, с активным отстаиванием национальных интересов и сохранением внешнеполитических приоритетов. </w:t>
      </w:r>
    </w:p>
    <w:p w14:paraId="4DECE6D3" w14:textId="77777777" w:rsidR="00EE787D" w:rsidRDefault="00EE787D" w:rsidP="00EE787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5381F">
        <w:rPr>
          <w:rFonts w:ascii="Times New Roman" w:hAnsi="Times New Roman"/>
          <w:sz w:val="28"/>
          <w:szCs w:val="28"/>
        </w:rPr>
        <w:t xml:space="preserve">чень сложно говорить о </w:t>
      </w:r>
      <w:r w:rsidRPr="005E44F8">
        <w:rPr>
          <w:rFonts w:ascii="Times New Roman" w:hAnsi="Times New Roman"/>
          <w:sz w:val="28"/>
          <w:szCs w:val="28"/>
          <w:lang w:eastAsia="ru-RU"/>
        </w:rPr>
        <w:t>замедления экономического роста стран еврозоны</w:t>
      </w:r>
      <w:r w:rsidRPr="0025381F">
        <w:rPr>
          <w:rFonts w:ascii="Times New Roman" w:hAnsi="Times New Roman"/>
          <w:sz w:val="28"/>
          <w:szCs w:val="28"/>
        </w:rPr>
        <w:t xml:space="preserve"> в общем, так как для каждой из семи не вошедших в еврозону стран этот процесс является сугубо индивидуальным. Каждая страна видит свои плюсы и минусы данной интеграции исходя из своей экономической ситуации. Но единственный момент, который держит страны в тонусе — подписанные обязательства. И рано или поздно каждая страна Европейского Союза должна будет осуществить переход на евро для укрепления позиций на мировом рынке, которые и так ослабли после выхода из ЕС Великобритании.</w:t>
      </w:r>
    </w:p>
    <w:p w14:paraId="14601A94" w14:textId="77777777" w:rsidR="000B56C5" w:rsidRPr="007947C4" w:rsidRDefault="00AF7DAF" w:rsidP="000B56C5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81F">
        <w:rPr>
          <w:rFonts w:ascii="Times New Roman" w:hAnsi="Times New Roman"/>
          <w:sz w:val="28"/>
          <w:szCs w:val="28"/>
        </w:rPr>
        <w:t xml:space="preserve">Важным решением является приглашение </w:t>
      </w:r>
      <w:proofErr w:type="spellStart"/>
      <w:r w:rsidRPr="0025381F">
        <w:rPr>
          <w:rFonts w:ascii="Times New Roman" w:hAnsi="Times New Roman"/>
          <w:sz w:val="28"/>
          <w:szCs w:val="28"/>
        </w:rPr>
        <w:t>западнобалканских</w:t>
      </w:r>
      <w:proofErr w:type="spellEnd"/>
      <w:r w:rsidRPr="0025381F">
        <w:rPr>
          <w:rFonts w:ascii="Times New Roman" w:hAnsi="Times New Roman"/>
          <w:sz w:val="28"/>
          <w:szCs w:val="28"/>
        </w:rPr>
        <w:t xml:space="preserve"> стран к участию в некоторых заседаниях по формированию общих политик ЕС. Среди других предложенных преимуществ – более глубокая интеграция энергетического союза, единого цифрового рынка (включая уменьшение или отмену платы за роуминг), дальнейшая торговая либерализация</w:t>
      </w:r>
      <w:r>
        <w:rPr>
          <w:rFonts w:ascii="Times New Roman" w:hAnsi="Times New Roman"/>
          <w:sz w:val="28"/>
          <w:szCs w:val="28"/>
        </w:rPr>
        <w:t>.</w:t>
      </w:r>
    </w:p>
    <w:p w14:paraId="45E855CA" w14:textId="77777777" w:rsidR="00BF147B" w:rsidRDefault="00BF147B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D2FFECB" w14:textId="77777777" w:rsidR="003A56C7" w:rsidRPr="008B18BB" w:rsidRDefault="00AE5C3F" w:rsidP="003A56C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9208826"/>
      <w:r w:rsidRPr="008B18BB">
        <w:rPr>
          <w:rFonts w:ascii="Times New Roman" w:hAnsi="Times New Roman" w:cs="Times New Roman"/>
          <w:b w:val="0"/>
          <w:sz w:val="28"/>
          <w:szCs w:val="28"/>
        </w:rPr>
        <w:lastRenderedPageBreak/>
        <w:t>СПИСОК</w:t>
      </w:r>
      <w:r w:rsidR="00936B20" w:rsidRPr="008B18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18BB">
        <w:rPr>
          <w:rFonts w:ascii="Times New Roman" w:hAnsi="Times New Roman" w:cs="Times New Roman"/>
          <w:b w:val="0"/>
          <w:sz w:val="28"/>
          <w:szCs w:val="28"/>
        </w:rPr>
        <w:t>ИСПОЛЬЗОВАННЫХ</w:t>
      </w:r>
      <w:r w:rsidR="00936B20" w:rsidRPr="008B18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18BB">
        <w:rPr>
          <w:rFonts w:ascii="Times New Roman" w:hAnsi="Times New Roman" w:cs="Times New Roman"/>
          <w:b w:val="0"/>
          <w:sz w:val="28"/>
          <w:szCs w:val="28"/>
        </w:rPr>
        <w:t>ИСТОЧНИКОВ</w:t>
      </w:r>
      <w:bookmarkEnd w:id="17"/>
    </w:p>
    <w:p w14:paraId="354EBED6" w14:textId="77777777" w:rsidR="003A56C7" w:rsidRPr="00336B86" w:rsidRDefault="003A56C7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bookmarkEnd w:id="1"/>
    <w:p w14:paraId="28FBF2C8" w14:textId="77777777" w:rsidR="002E30F3" w:rsidRPr="00336B86" w:rsidRDefault="002E30F3" w:rsidP="008E77E9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Андросова Д.Н. Европейская идентичность и европейская интеграция. (Обзор) // Актуальные проблемы Европы. 2018. № 2. С. 172-188.</w:t>
      </w:r>
    </w:p>
    <w:p w14:paraId="649DB0BB" w14:textId="77777777" w:rsidR="002E30F3" w:rsidRPr="00336B86" w:rsidRDefault="002E30F3" w:rsidP="008E77E9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36B86">
        <w:rPr>
          <w:rFonts w:ascii="Times New Roman" w:hAnsi="Times New Roman"/>
          <w:sz w:val="28"/>
          <w:szCs w:val="28"/>
          <w:lang w:eastAsia="ru-RU"/>
        </w:rPr>
        <w:t>Бенедейчич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 xml:space="preserve"> А. Европейская идентичность: поиски общего, а не различий // Современная Европа. 2018. № 3. С. 26-29.</w:t>
      </w:r>
    </w:p>
    <w:p w14:paraId="1091DA1E" w14:textId="77777777" w:rsidR="002E30F3" w:rsidRPr="00336B86" w:rsidRDefault="002E30F3" w:rsidP="00C1180C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Власти Болгарии заявили о необходимости скорейшего перехода на евро [Электронный ресурс] // Режим доступа: https://www.gazeta.ru/business/news/2018/09/13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46695EC1" w14:textId="77777777" w:rsidR="002E30F3" w:rsidRPr="00336B86" w:rsidRDefault="002E30F3" w:rsidP="00432715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Возможные проблемы ЕС из-за «</w:t>
      </w:r>
      <w:proofErr w:type="spellStart"/>
      <w:r w:rsidRPr="00336B86">
        <w:rPr>
          <w:rFonts w:ascii="Times New Roman" w:hAnsi="Times New Roman"/>
          <w:sz w:val="28"/>
          <w:szCs w:val="28"/>
          <w:lang w:eastAsia="ru-RU"/>
        </w:rPr>
        <w:t>Брексита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>» для России важнее, чем сам «</w:t>
      </w:r>
      <w:proofErr w:type="spellStart"/>
      <w:r w:rsidRPr="00336B86">
        <w:rPr>
          <w:rFonts w:ascii="Times New Roman" w:hAnsi="Times New Roman"/>
          <w:sz w:val="28"/>
          <w:szCs w:val="28"/>
          <w:lang w:eastAsia="ru-RU"/>
        </w:rPr>
        <w:t>Брексит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>» [Электронный ресурс] // Режим доступа: https://www.kommersant.uk/articles/vozmozhnye-problemy-es-iz-za-breksita-dlya-rossii-vazhnee-chem-sam-breksit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5364F23F" w14:textId="77777777" w:rsidR="002E30F3" w:rsidRPr="00336B86" w:rsidRDefault="002E30F3" w:rsidP="008E77E9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 xml:space="preserve">Громыко </w:t>
      </w:r>
      <w:proofErr w:type="spellStart"/>
      <w:r w:rsidRPr="00336B86">
        <w:rPr>
          <w:rFonts w:ascii="Times New Roman" w:hAnsi="Times New Roman"/>
          <w:sz w:val="28"/>
          <w:szCs w:val="28"/>
          <w:lang w:eastAsia="ru-RU"/>
        </w:rPr>
        <w:t>Ал.А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 xml:space="preserve">. и В. П. Фёдорова </w:t>
      </w:r>
      <w:proofErr w:type="gramStart"/>
      <w:r w:rsidRPr="00336B86">
        <w:rPr>
          <w:rFonts w:ascii="Times New Roman" w:hAnsi="Times New Roman"/>
          <w:sz w:val="28"/>
          <w:szCs w:val="28"/>
          <w:lang w:eastAsia="ru-RU"/>
        </w:rPr>
        <w:t>В.П.</w:t>
      </w:r>
      <w:proofErr w:type="gramEnd"/>
      <w:r w:rsidRPr="00336B86">
        <w:rPr>
          <w:rFonts w:ascii="Times New Roman" w:hAnsi="Times New Roman"/>
          <w:sz w:val="28"/>
          <w:szCs w:val="28"/>
          <w:lang w:eastAsia="ru-RU"/>
        </w:rPr>
        <w:t xml:space="preserve"> Большая Европа. Идеи, реальность, перспективы// Серия: Старый Свет – новые времена. // М.: Издательство «Весь Мир».2017. С.704</w:t>
      </w:r>
    </w:p>
    <w:p w14:paraId="62AE3673" w14:textId="77777777" w:rsidR="002E30F3" w:rsidRPr="00336B86" w:rsidRDefault="002E30F3" w:rsidP="00C1180C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Деловые новости, «Литва в еврозоне. Лита больше нет? [Электронный ресурс] // Режим доступа: https://www.bfm.ru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  <w:r w:rsidRPr="00336B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06BB244" w14:textId="77777777" w:rsidR="002E30F3" w:rsidRPr="00336B86" w:rsidRDefault="002E30F3" w:rsidP="00A8230E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Евро исполняется 20 лет. Благословение или проклятие европейской экономики? [Электронный ресурс] // Режим доступа: https://tass.ru/ekonomika/5966412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4EA2C866" w14:textId="77777777" w:rsidR="002E30F3" w:rsidRPr="00336B86" w:rsidRDefault="002E30F3" w:rsidP="003625AD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Евстафьев Д.С., Заславская Н.Г. Реформирование макроэкономической политики ЕС под влиянием кризиса еврозоны // Управленческое консультирование. 2018. № 1 (97). С. 91-102.</w:t>
      </w:r>
    </w:p>
    <w:p w14:paraId="55EEC7E5" w14:textId="77777777" w:rsidR="002E30F3" w:rsidRPr="00336B86" w:rsidRDefault="002E30F3" w:rsidP="00C1180C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Интернет-новости о Болгарии на русском языке, «Какой будет выгода для Болгарии от присоединения к еврозоне [Электронный ресурс] // Режим доступа: http://rus.bg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  <w:r w:rsidRPr="00336B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4778A09" w14:textId="77777777" w:rsidR="002E30F3" w:rsidRPr="00336B86" w:rsidRDefault="002E30F3" w:rsidP="00C1180C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Интернет-новости о Болгарии на русском языке, «Президент Болгарии объявил введение евро стратегической задачей [Электронный ресурс] // Режим доступа: http://rus.bg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  <w:r w:rsidRPr="00336B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F7600D" w14:textId="77777777" w:rsidR="002E30F3" w:rsidRPr="00336B86" w:rsidRDefault="002E30F3" w:rsidP="008A2F2D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lastRenderedPageBreak/>
        <w:t>История еврозоны и проблемы ее реформирования [Электронный ресурс] // Режим доступа: https://tass.ru/info/5909607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052C91F7" w14:textId="77777777" w:rsidR="002E30F3" w:rsidRPr="00336B86" w:rsidRDefault="002E30F3" w:rsidP="00CD3AA8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История еврозоны и проблемы ее реформирования [Электронный ресурс] // Режим доступа: https://finance.rambler.ru/markets/41424900-istoriya-evrozony-i-problemy-ee-reformirovaniya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19E86FE6" w14:textId="77777777" w:rsidR="002E30F3" w:rsidRPr="00336B86" w:rsidRDefault="002E30F3" w:rsidP="008A2F2D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36B86">
        <w:rPr>
          <w:rFonts w:ascii="Times New Roman" w:hAnsi="Times New Roman"/>
          <w:sz w:val="28"/>
          <w:szCs w:val="28"/>
          <w:lang w:eastAsia="ru-RU"/>
        </w:rPr>
        <w:t>Колодко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 xml:space="preserve"> Г.В., </w:t>
      </w:r>
      <w:proofErr w:type="spellStart"/>
      <w:r w:rsidRPr="00336B86">
        <w:rPr>
          <w:rFonts w:ascii="Times New Roman" w:hAnsi="Times New Roman"/>
          <w:sz w:val="28"/>
          <w:szCs w:val="28"/>
          <w:lang w:eastAsia="ru-RU"/>
        </w:rPr>
        <w:t>Постула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 xml:space="preserve"> М. Факторы и последствия расширения еврозоны // Вопросы экономики. 2018. № 7. С. 45-64.</w:t>
      </w:r>
    </w:p>
    <w:p w14:paraId="051982C1" w14:textId="77777777" w:rsidR="002E30F3" w:rsidRPr="00336B86" w:rsidRDefault="002E30F3" w:rsidP="003625AD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Кондратов Д. Становление новой системы финансового регулирования в Евросоюзе // Общество и экономика. 2018. № 10. С. 54-79.</w:t>
      </w:r>
    </w:p>
    <w:p w14:paraId="3EB9E26E" w14:textId="77777777" w:rsidR="002E30F3" w:rsidRPr="00336B86" w:rsidRDefault="002E30F3" w:rsidP="00C33D66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Кондратов Д.И. Проблемы расширения зоны евро на восток // Проблемы прогнозирования. 2018. № 6 (129). С. 131-147.</w:t>
      </w:r>
    </w:p>
    <w:p w14:paraId="7C307843" w14:textId="77777777" w:rsidR="002E30F3" w:rsidRPr="00336B86" w:rsidRDefault="002E30F3" w:rsidP="003625AD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Коновалов В. Мировой финансовый кризис и тенденция регионализации мировой валютной системы // Общество и экономика. 2018. № 5. С. 25-40.</w:t>
      </w:r>
    </w:p>
    <w:p w14:paraId="6A82AE87" w14:textId="77777777" w:rsidR="002E30F3" w:rsidRPr="00336B86" w:rsidRDefault="002E30F3" w:rsidP="007B2BB6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 xml:space="preserve">Лихачев А.Е., Спартак А.Н. Новые явления и процессы в сфере регионализации мирового хозяйства // Российский внешнеэкономический вестник. 2018. №5. С. 20-27 </w:t>
      </w:r>
    </w:p>
    <w:p w14:paraId="326E6B8D" w14:textId="77777777" w:rsidR="002E30F3" w:rsidRPr="00336B86" w:rsidRDefault="002E30F3" w:rsidP="006879D1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Макрон представил Меркель свой план реформы еврозоны [Электронный ресурс] // Режим доступа: http://ru.rfi.fr/evropa/20180419-makron-predstavil-merkel-svoi-plan-reformy-evrozony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5120D963" w14:textId="77777777" w:rsidR="002E30F3" w:rsidRPr="00336B86" w:rsidRDefault="002E30F3" w:rsidP="00F54543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 xml:space="preserve">Неопределённый выход: как </w:t>
      </w:r>
      <w:proofErr w:type="spellStart"/>
      <w:r w:rsidR="00F00F1A">
        <w:rPr>
          <w:rFonts w:ascii="Times New Roman" w:hAnsi="Times New Roman"/>
          <w:sz w:val="28"/>
          <w:szCs w:val="28"/>
          <w:lang w:eastAsia="ru-RU"/>
        </w:rPr>
        <w:t>Б</w:t>
      </w:r>
      <w:r w:rsidRPr="00336B86">
        <w:rPr>
          <w:rFonts w:ascii="Times New Roman" w:hAnsi="Times New Roman"/>
          <w:sz w:val="28"/>
          <w:szCs w:val="28"/>
          <w:lang w:eastAsia="ru-RU"/>
        </w:rPr>
        <w:t>рексит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 xml:space="preserve"> может сказаться на экономическом развитии Великобритании и ЕС [Электронный ресурс] // Режим доступа: https://russian.rt.com/business/article/611273-brexit-ekonomika-poteri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74408AA5" w14:textId="77777777" w:rsidR="002E30F3" w:rsidRPr="00336B86" w:rsidRDefault="002E30F3" w:rsidP="00C1180C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Основные проблемы и перспективы расширения зоны евро [Электронный ресурс] // Режим доступа: http://finuni.ru/osnovnye-problemy-i-perspektivy-rasshireniya-zony-euro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6B13DA6B" w14:textId="77777777" w:rsidR="002E30F3" w:rsidRPr="00336B86" w:rsidRDefault="002E30F3" w:rsidP="00C1180C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Пошло ли на пользу Литве пребывание в Еврозоне? [Электронный ресурс] // Режим доступа: http://www.pravda-tv.ru/2018/01/04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73AF2C16" w14:textId="77777777" w:rsidR="002E30F3" w:rsidRPr="00336B86" w:rsidRDefault="002E30F3" w:rsidP="003A32D8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lastRenderedPageBreak/>
        <w:t>Расширение ЕС: сначала "проглотить" Балканы [Электронный ресурс] // Режим доступа: https://www.ukrinform.ru/rubric-world/2399138-rassirenie-es-snacala-proglotit-balkany.html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223B3384" w14:textId="77777777" w:rsidR="002E30F3" w:rsidRPr="00336B86" w:rsidRDefault="002E30F3" w:rsidP="00BD3F60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Реформирование макроэкономической политики ЕС под влиянием кризиса еврозоны [Электронный ресурс] // Режим доступа: https://cyberleninka.ru/article/n/reformirovanie-makroekonomicheskoy-politiki-es-pod-vliyaniem-krizisa-evrozony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p w14:paraId="54341B9B" w14:textId="77777777" w:rsidR="002E30F3" w:rsidRPr="00336B86" w:rsidRDefault="002E30F3" w:rsidP="006879D1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 xml:space="preserve">Роджер </w:t>
      </w:r>
      <w:proofErr w:type="spellStart"/>
      <w:r w:rsidRPr="00336B86">
        <w:rPr>
          <w:rFonts w:ascii="Times New Roman" w:hAnsi="Times New Roman"/>
          <w:sz w:val="28"/>
          <w:szCs w:val="28"/>
          <w:lang w:eastAsia="ru-RU"/>
        </w:rPr>
        <w:t>Бутл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36B86">
        <w:rPr>
          <w:rFonts w:ascii="Times New Roman" w:hAnsi="Times New Roman"/>
          <w:sz w:val="28"/>
          <w:szCs w:val="28"/>
          <w:lang w:eastAsia="ru-RU"/>
        </w:rPr>
        <w:t>Траблы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 xml:space="preserve"> с Европой. Почему Евросоюз не работает, как его реформировать и чем его заменить// </w:t>
      </w:r>
      <w:proofErr w:type="spellStart"/>
      <w:r w:rsidRPr="00336B86">
        <w:rPr>
          <w:rFonts w:ascii="Times New Roman" w:hAnsi="Times New Roman"/>
          <w:sz w:val="28"/>
          <w:szCs w:val="28"/>
          <w:lang w:eastAsia="ru-RU"/>
        </w:rPr>
        <w:t>КоЛибри</w:t>
      </w:r>
      <w:proofErr w:type="spellEnd"/>
      <w:r w:rsidRPr="00336B86">
        <w:rPr>
          <w:rFonts w:ascii="Times New Roman" w:hAnsi="Times New Roman"/>
          <w:sz w:val="28"/>
          <w:szCs w:val="28"/>
          <w:lang w:eastAsia="ru-RU"/>
        </w:rPr>
        <w:t>, Азбука-Аттикус; Москва; 2018. С. 334</w:t>
      </w:r>
    </w:p>
    <w:p w14:paraId="6E13DC2D" w14:textId="77777777" w:rsidR="002E30F3" w:rsidRPr="00336B86" w:rsidRDefault="002E30F3" w:rsidP="00374ECB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Соколов В.В. Перспективы расширения зоны евро // Банковское дело. 2018. № 6. С. 62-66.</w:t>
      </w:r>
    </w:p>
    <w:p w14:paraId="0AF2A682" w14:textId="77777777" w:rsidR="002E30F3" w:rsidRPr="00336B86" w:rsidRDefault="002E30F3" w:rsidP="006879D1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Спартак А.Н. Современный регионализм // Мировая экономика и международные отношения. 2018. №2. С. 3-15</w:t>
      </w:r>
    </w:p>
    <w:p w14:paraId="19EA7BF5" w14:textId="77777777" w:rsidR="002E30F3" w:rsidRPr="00336B86" w:rsidRDefault="002E30F3" w:rsidP="002F2939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86">
        <w:rPr>
          <w:rFonts w:ascii="Times New Roman" w:hAnsi="Times New Roman"/>
          <w:sz w:val="28"/>
          <w:szCs w:val="28"/>
          <w:lang w:eastAsia="ru-RU"/>
        </w:rPr>
        <w:t>Страны еврозоны [Электронный ресурс] // Режим доступа: https://visasam.ru/emigration/vybor/strany-evrozony.html</w:t>
      </w:r>
      <w:r w:rsidR="00C74559">
        <w:rPr>
          <w:rFonts w:ascii="Times New Roman" w:hAnsi="Times New Roman"/>
          <w:sz w:val="28"/>
          <w:szCs w:val="28"/>
          <w:lang w:eastAsia="ru-RU"/>
        </w:rPr>
        <w:t>.</w:t>
      </w:r>
    </w:p>
    <w:sectPr w:rsidR="002E30F3" w:rsidRPr="00336B86" w:rsidSect="005F6848">
      <w:headerReference w:type="default" r:id="rId17"/>
      <w:footerReference w:type="default" r:id="rId1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F22C" w14:textId="77777777" w:rsidR="008E060D" w:rsidRDefault="008E060D">
      <w:pPr>
        <w:spacing w:after="0" w:line="240" w:lineRule="auto"/>
      </w:pPr>
      <w:r>
        <w:separator/>
      </w:r>
    </w:p>
  </w:endnote>
  <w:endnote w:type="continuationSeparator" w:id="0">
    <w:p w14:paraId="3BFC974A" w14:textId="77777777" w:rsidR="008E060D" w:rsidRDefault="008E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0713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B3BB2B6" w14:textId="77777777" w:rsidR="006879D1" w:rsidRPr="007427E8" w:rsidRDefault="00AA2B33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7427E8">
          <w:rPr>
            <w:rFonts w:ascii="Times New Roman" w:hAnsi="Times New Roman"/>
            <w:sz w:val="28"/>
            <w:szCs w:val="28"/>
          </w:rPr>
          <w:fldChar w:fldCharType="begin"/>
        </w:r>
        <w:r w:rsidR="006879D1" w:rsidRPr="007427E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27E8">
          <w:rPr>
            <w:rFonts w:ascii="Times New Roman" w:hAnsi="Times New Roman"/>
            <w:sz w:val="28"/>
            <w:szCs w:val="28"/>
          </w:rPr>
          <w:fldChar w:fldCharType="separate"/>
        </w:r>
        <w:r w:rsidR="007226C2" w:rsidRPr="007427E8">
          <w:rPr>
            <w:rFonts w:ascii="Times New Roman" w:hAnsi="Times New Roman"/>
            <w:noProof/>
            <w:sz w:val="28"/>
            <w:szCs w:val="28"/>
          </w:rPr>
          <w:t>5</w:t>
        </w:r>
        <w:r w:rsidRPr="007427E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061D3" w14:textId="77777777" w:rsidR="008E060D" w:rsidRDefault="008E060D">
      <w:pPr>
        <w:spacing w:after="0" w:line="240" w:lineRule="auto"/>
      </w:pPr>
      <w:r>
        <w:separator/>
      </w:r>
    </w:p>
  </w:footnote>
  <w:footnote w:type="continuationSeparator" w:id="0">
    <w:p w14:paraId="5F7861C4" w14:textId="77777777" w:rsidR="008E060D" w:rsidRDefault="008E060D">
      <w:pPr>
        <w:spacing w:after="0" w:line="240" w:lineRule="auto"/>
      </w:pPr>
      <w:r>
        <w:continuationSeparator/>
      </w:r>
    </w:p>
  </w:footnote>
  <w:footnote w:id="1">
    <w:p w14:paraId="6A9CC19E" w14:textId="77777777" w:rsidR="006879D1" w:rsidRPr="008A2F2D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8A2F2D">
        <w:rPr>
          <w:rFonts w:ascii="Times New Roman" w:hAnsi="Times New Roman"/>
          <w:lang w:eastAsia="ru-RU"/>
        </w:rPr>
        <w:t>История еврозоны и проблемы ее реформирования [Электронный ресурс] // Режим доступа: https://tass.ru/info/5909607</w:t>
      </w:r>
    </w:p>
  </w:footnote>
  <w:footnote w:id="2">
    <w:p w14:paraId="1ABCB82C" w14:textId="77777777" w:rsidR="006879D1" w:rsidRPr="00042F9B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042F9B">
        <w:rPr>
          <w:rFonts w:ascii="Times New Roman" w:hAnsi="Times New Roman"/>
          <w:lang w:eastAsia="ru-RU"/>
        </w:rPr>
        <w:t>История еврозоны и проблемы ее реформирования [Электронный ресурс] // Режим доступа: https://finance.rambler.ru/markets/41424900-istoriya-evrozony-i-problemy-ee-reformirovaniya</w:t>
      </w:r>
    </w:p>
  </w:footnote>
  <w:footnote w:id="3">
    <w:p w14:paraId="54F2276E" w14:textId="77777777" w:rsidR="006879D1" w:rsidRPr="004E18D4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4E18D4">
        <w:rPr>
          <w:rFonts w:ascii="Times New Roman" w:hAnsi="Times New Roman"/>
          <w:lang w:eastAsia="ru-RU"/>
        </w:rPr>
        <w:t>Роджер Бутл. Траблы с Европой. Почему Евросоюз не работает, как его реформировать и чем его заменить// КоЛибри, Азбука-Аттикус; Москва; 2018. С. 334</w:t>
      </w:r>
    </w:p>
  </w:footnote>
  <w:footnote w:id="4">
    <w:p w14:paraId="68DF90AF" w14:textId="77777777" w:rsidR="006879D1" w:rsidRPr="006730C7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6730C7">
        <w:rPr>
          <w:rFonts w:ascii="Times New Roman" w:hAnsi="Times New Roman"/>
          <w:lang w:eastAsia="ru-RU"/>
        </w:rPr>
        <w:t>Кавешников. Н.Ю. Европейский Союз после Лиссабонского договора // Европейский Союз в XXI веке: время испытаний / Под ред. О. Ю. Потемкиной (отв. ред.), Н. Ю. Кавешникова, Н. Б. Кондратьевой. — М.: Издательство «Весь мир», 2017. С. 656</w:t>
      </w:r>
    </w:p>
  </w:footnote>
  <w:footnote w:id="5">
    <w:p w14:paraId="63BE6EBA" w14:textId="77777777" w:rsidR="006879D1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936B20">
        <w:rPr>
          <w:rFonts w:ascii="Times New Roman" w:hAnsi="Times New Roman"/>
          <w:lang w:eastAsia="ru-RU"/>
        </w:rPr>
        <w:t>Макрон представил Меркель свой план реформы еврозоны [Электронный ресурс] // Режим доступа: http://ru.rfi.fr/evropa/20180419-makron-predstavil-merkel-svoi-plan-reformy-evrozony</w:t>
      </w:r>
    </w:p>
  </w:footnote>
  <w:footnote w:id="6">
    <w:p w14:paraId="1BAAB7A7" w14:textId="77777777" w:rsidR="006879D1" w:rsidRPr="00936B20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936B20">
        <w:rPr>
          <w:rFonts w:ascii="Times New Roman" w:hAnsi="Times New Roman"/>
          <w:lang w:eastAsia="ru-RU"/>
        </w:rPr>
        <w:t>Макрон представил Меркель свой план реформы еврозоны [Электронный ресурс] // Режим доступа: http://ru.rfi.fr/evropa/20180419-makron-predstavil-merkel-svoi-plan-reformy-evrozony</w:t>
      </w:r>
    </w:p>
  </w:footnote>
  <w:footnote w:id="7">
    <w:p w14:paraId="7F545296" w14:textId="77777777" w:rsidR="006879D1" w:rsidRPr="0080536B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80536B">
        <w:rPr>
          <w:rFonts w:ascii="Times New Roman" w:hAnsi="Times New Roman"/>
          <w:lang w:eastAsia="ru-RU"/>
        </w:rPr>
        <w:t>Евро исполняется 20 лет. Благословение или проклятие европейской экономики? [Электронный ресурс] // Режим доступа: https://tass.ru/ekonomika/5966412</w:t>
      </w:r>
    </w:p>
  </w:footnote>
  <w:footnote w:id="8">
    <w:p w14:paraId="60F14B49" w14:textId="77777777" w:rsidR="006879D1" w:rsidRPr="00245937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245937">
        <w:rPr>
          <w:rFonts w:ascii="Times New Roman" w:hAnsi="Times New Roman"/>
          <w:lang w:eastAsia="ru-RU"/>
        </w:rPr>
        <w:t>Страны еврозоны [Электронный ресурс] // Режим доступа: https://visasam.ru/emigration/vybor/strany-evrozony.html</w:t>
      </w:r>
    </w:p>
  </w:footnote>
  <w:footnote w:id="9">
    <w:p w14:paraId="23E22708" w14:textId="77777777" w:rsidR="006879D1" w:rsidRPr="00883039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883039">
        <w:rPr>
          <w:rFonts w:ascii="Times New Roman" w:hAnsi="Times New Roman"/>
          <w:lang w:eastAsia="ru-RU"/>
        </w:rPr>
        <w:t>Реформирование макроэкономической политики ЕС под влиянием кризиса еврозоны [Электронный ресурс] // Режим доступа: https://cyberleninka.ru/article/n/reformirovanie-makroekonomicheskoy-politiki-es-pod-vliyaniem-krizisa-evrozony</w:t>
      </w:r>
    </w:p>
  </w:footnote>
  <w:footnote w:id="10">
    <w:p w14:paraId="36002CE2" w14:textId="77777777" w:rsidR="006879D1" w:rsidRPr="001240B1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1240B1">
        <w:rPr>
          <w:rFonts w:ascii="Times New Roman" w:hAnsi="Times New Roman"/>
          <w:lang w:eastAsia="ru-RU"/>
        </w:rPr>
        <w:t>Страны еврозоны [Электронный ресурс] // Режим доступа: https://visasam.ru/emigration/vybor/strany-evrozony.html</w:t>
      </w:r>
    </w:p>
  </w:footnote>
  <w:footnote w:id="11">
    <w:p w14:paraId="3FC69ED0" w14:textId="77777777" w:rsidR="006879D1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4E18D4">
        <w:rPr>
          <w:rFonts w:ascii="Times New Roman" w:hAnsi="Times New Roman"/>
          <w:lang w:eastAsia="ru-RU"/>
        </w:rPr>
        <w:t>Лихачев А.Е., Спартак А.Н. Новые явления и процессы в сфере регионализации мирового хозяйства // Российский внешнеэкономический вестник. 2018. №5. С. 20-27</w:t>
      </w:r>
    </w:p>
  </w:footnote>
  <w:footnote w:id="12">
    <w:p w14:paraId="41C75AB1" w14:textId="77777777" w:rsidR="006879D1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2335AB">
        <w:rPr>
          <w:rFonts w:ascii="Times New Roman" w:hAnsi="Times New Roman"/>
          <w:lang w:eastAsia="ru-RU"/>
        </w:rPr>
        <w:t>Кондратов Д. Становление новой системы финансового регулирования в Евросоюзе // Общество и экономика. 2018. № 10. С. 54-79</w:t>
      </w:r>
    </w:p>
  </w:footnote>
  <w:footnote w:id="13">
    <w:p w14:paraId="17EF1CEF" w14:textId="77777777" w:rsidR="006879D1" w:rsidRPr="00380F9C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380F9C">
        <w:rPr>
          <w:rFonts w:ascii="Times New Roman" w:hAnsi="Times New Roman"/>
          <w:lang w:eastAsia="ru-RU"/>
        </w:rPr>
        <w:t>Сидорова Е.А. Проблемы эффективности бюджетно-финансовой политики ЕС внутри и вне зоны евро // Актуальные проблемы Европы. 2019. № 1. С. 80-106.</w:t>
      </w:r>
    </w:p>
  </w:footnote>
  <w:footnote w:id="14">
    <w:p w14:paraId="4B35AE20" w14:textId="77777777" w:rsidR="006879D1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2335AB">
        <w:rPr>
          <w:rFonts w:ascii="Times New Roman" w:hAnsi="Times New Roman"/>
          <w:lang w:eastAsia="ru-RU"/>
        </w:rPr>
        <w:t>Кондратов Д. Становление новой системы финансового регулирования в Евросоюзе // Общество и экономика. 2018. № 10. С. 54-79</w:t>
      </w:r>
    </w:p>
  </w:footnote>
  <w:footnote w:id="15">
    <w:p w14:paraId="6565EF65" w14:textId="77777777" w:rsidR="006879D1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4E18D4">
        <w:rPr>
          <w:rFonts w:ascii="Times New Roman" w:hAnsi="Times New Roman"/>
          <w:lang w:eastAsia="ru-RU"/>
        </w:rPr>
        <w:t>Лихачев А.Е., Спартак А.Н. Новые явления и процессы в сфере регионализации мирового хозяйства // Российский внешнеэкономический вестник. 2018. №5. С. 20-27</w:t>
      </w:r>
    </w:p>
  </w:footnote>
  <w:footnote w:id="16">
    <w:p w14:paraId="129DD381" w14:textId="77777777" w:rsidR="006879D1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380F9C">
        <w:rPr>
          <w:rFonts w:ascii="Times New Roman" w:hAnsi="Times New Roman"/>
          <w:lang w:eastAsia="ru-RU"/>
        </w:rPr>
        <w:t>Сидорова Е.А. Проблемы эффективности бюджетно-финансовой политики ЕС внутри и вне зоны евро // Актуальные проблемы Европы. 2019. № 1. С. 80-106.</w:t>
      </w:r>
    </w:p>
  </w:footnote>
  <w:footnote w:id="17">
    <w:p w14:paraId="4BC7BF39" w14:textId="77777777" w:rsidR="006879D1" w:rsidRPr="007F7578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7F7578">
        <w:rPr>
          <w:rFonts w:ascii="Times New Roman" w:hAnsi="Times New Roman"/>
          <w:lang w:eastAsia="ru-RU"/>
        </w:rPr>
        <w:t>Страны еврозоны [Электронный ресурс] // Режим доступа: https://visasam.ru/emigration/vybor/strany-evrozony.html</w:t>
      </w:r>
    </w:p>
  </w:footnote>
  <w:footnote w:id="18">
    <w:p w14:paraId="48FFD2DC" w14:textId="77777777" w:rsidR="006879D1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4E18D4">
        <w:rPr>
          <w:rFonts w:ascii="Times New Roman" w:hAnsi="Times New Roman"/>
          <w:lang w:eastAsia="ru-RU"/>
        </w:rPr>
        <w:t>Лихачев А.Е., Спартак А.Н. Новые явления и процессы в сфере регионализации мирового хозяйства // Российский внешнеэкономический вестник. 2018. №5. С. 20-27</w:t>
      </w:r>
    </w:p>
  </w:footnote>
  <w:footnote w:id="19">
    <w:p w14:paraId="19492401" w14:textId="77777777" w:rsidR="006879D1" w:rsidRDefault="006879D1">
      <w:pPr>
        <w:pStyle w:val="ac"/>
      </w:pPr>
      <w:r>
        <w:rPr>
          <w:rStyle w:val="ae"/>
        </w:rPr>
        <w:footnoteRef/>
      </w:r>
      <w:r>
        <w:t xml:space="preserve"> </w:t>
      </w:r>
      <w:r w:rsidRPr="002335AB">
        <w:rPr>
          <w:rFonts w:ascii="Times New Roman" w:hAnsi="Times New Roman"/>
          <w:lang w:eastAsia="ru-RU"/>
        </w:rPr>
        <w:t>Кондратов Д. Становление новой системы финансового регулирования в Евросоюзе // Общество и экономика. 2018. № 10. С. 54-79</w:t>
      </w:r>
    </w:p>
  </w:footnote>
  <w:footnote w:id="20">
    <w:p w14:paraId="25F70B4A" w14:textId="77777777" w:rsidR="00F00F1A" w:rsidRDefault="00F00F1A">
      <w:pPr>
        <w:pStyle w:val="ac"/>
      </w:pPr>
      <w:r>
        <w:rPr>
          <w:rStyle w:val="ae"/>
        </w:rPr>
        <w:footnoteRef/>
      </w:r>
      <w:r>
        <w:t xml:space="preserve"> </w:t>
      </w:r>
      <w:r w:rsidRPr="00F00F1A">
        <w:rPr>
          <w:rFonts w:ascii="Times New Roman" w:hAnsi="Times New Roman"/>
          <w:lang w:eastAsia="ru-RU"/>
        </w:rPr>
        <w:t>Возможные проблемы ЕС из-за «Брексита» для России важнее, чем сам «Брексит» [Электронный ресурс] // Режим доступа: https://www.kommersant.uk/articles/vozmozhnye-problemy-es-iz-za-breksita-dlya-rossii-vazhnee-chem-sam-breksit</w:t>
      </w:r>
    </w:p>
  </w:footnote>
  <w:footnote w:id="21">
    <w:p w14:paraId="1178CFF5" w14:textId="77777777" w:rsidR="00F00F1A" w:rsidRPr="00F00F1A" w:rsidRDefault="00F00F1A">
      <w:pPr>
        <w:pStyle w:val="ac"/>
      </w:pPr>
      <w:r>
        <w:rPr>
          <w:rStyle w:val="ae"/>
        </w:rPr>
        <w:footnoteRef/>
      </w:r>
      <w:r>
        <w:t xml:space="preserve"> </w:t>
      </w:r>
      <w:r w:rsidRPr="00F00F1A">
        <w:rPr>
          <w:rFonts w:ascii="Times New Roman" w:hAnsi="Times New Roman"/>
          <w:lang w:eastAsia="ru-RU"/>
        </w:rPr>
        <w:t>Возможные проблемы ЕС из-за «Брексита» для России важнее, чем сам «Брексит» [Электронный ресурс] // Режим доступа:</w:t>
      </w:r>
      <w:r w:rsidRPr="00F00F1A">
        <w:rPr>
          <w:rFonts w:ascii="Times New Roman" w:hAnsi="Times New Roman"/>
          <w:sz w:val="32"/>
          <w:szCs w:val="28"/>
          <w:lang w:eastAsia="ru-RU"/>
        </w:rPr>
        <w:t xml:space="preserve"> </w:t>
      </w:r>
      <w:r w:rsidRPr="00F00F1A">
        <w:rPr>
          <w:rFonts w:ascii="Times New Roman" w:hAnsi="Times New Roman"/>
          <w:lang w:eastAsia="ru-RU"/>
        </w:rPr>
        <w:t>https://www.kommersant.uk/articles/vozmozhnye-problemy-es-iz-za-breksita-dlya-rossii-vazhnee-chem-sam-breksit</w:t>
      </w:r>
    </w:p>
  </w:footnote>
  <w:footnote w:id="22">
    <w:p w14:paraId="62CE94B6" w14:textId="77777777" w:rsidR="00F00F1A" w:rsidRPr="00F00F1A" w:rsidRDefault="00F00F1A">
      <w:pPr>
        <w:pStyle w:val="ac"/>
      </w:pPr>
      <w:r>
        <w:rPr>
          <w:rStyle w:val="ae"/>
        </w:rPr>
        <w:footnoteRef/>
      </w:r>
      <w:r>
        <w:t xml:space="preserve"> </w:t>
      </w:r>
      <w:r w:rsidRPr="00F00F1A">
        <w:rPr>
          <w:rFonts w:ascii="Times New Roman" w:hAnsi="Times New Roman"/>
          <w:lang w:eastAsia="ru-RU"/>
        </w:rPr>
        <w:t>История еврозоны и проблемы ее реформирования [Электронный ресурс] // Режим доступа: https://tass.ru/info/5909607</w:t>
      </w:r>
    </w:p>
  </w:footnote>
  <w:footnote w:id="23">
    <w:p w14:paraId="2A2BF87D" w14:textId="77777777" w:rsidR="00F00F1A" w:rsidRPr="00F00F1A" w:rsidRDefault="00F00F1A">
      <w:pPr>
        <w:pStyle w:val="ac"/>
      </w:pPr>
      <w:r>
        <w:rPr>
          <w:rStyle w:val="ae"/>
        </w:rPr>
        <w:footnoteRef/>
      </w:r>
      <w:r>
        <w:t xml:space="preserve"> </w:t>
      </w:r>
      <w:r w:rsidRPr="00F00F1A">
        <w:rPr>
          <w:rFonts w:ascii="Times New Roman" w:hAnsi="Times New Roman"/>
          <w:lang w:eastAsia="ru-RU"/>
        </w:rPr>
        <w:t>Власти Болгарии заявили о необходимости скорейшего перехода на евро [Электронный ресурс] // Режим доступа: https://www.gazeta.ru/business/news/2018/09/13</w:t>
      </w:r>
    </w:p>
  </w:footnote>
  <w:footnote w:id="24">
    <w:p w14:paraId="73E89C3D" w14:textId="77777777" w:rsidR="00F00F1A" w:rsidRPr="00F00F1A" w:rsidRDefault="00F00F1A">
      <w:pPr>
        <w:pStyle w:val="ac"/>
      </w:pPr>
      <w:r>
        <w:rPr>
          <w:rStyle w:val="ae"/>
        </w:rPr>
        <w:footnoteRef/>
      </w:r>
      <w:r>
        <w:t xml:space="preserve"> </w:t>
      </w:r>
      <w:r w:rsidRPr="00F00F1A">
        <w:rPr>
          <w:rFonts w:ascii="Times New Roman" w:hAnsi="Times New Roman"/>
          <w:lang w:eastAsia="ru-RU"/>
        </w:rPr>
        <w:t>Власти Болгарии заявили о необходимости скорейшего перехода на евро [Электронный ресурс] // Режим доступа: https://www.gazeta.ru/business/news/2018/09/13</w:t>
      </w:r>
    </w:p>
  </w:footnote>
  <w:footnote w:id="25">
    <w:p w14:paraId="3DBEBF47" w14:textId="77777777" w:rsidR="00F00F1A" w:rsidRPr="00F00F1A" w:rsidRDefault="00F00F1A">
      <w:pPr>
        <w:pStyle w:val="ac"/>
      </w:pPr>
      <w:r>
        <w:rPr>
          <w:rStyle w:val="ae"/>
        </w:rPr>
        <w:footnoteRef/>
      </w:r>
      <w:r>
        <w:t xml:space="preserve"> </w:t>
      </w:r>
      <w:r w:rsidRPr="00F00F1A">
        <w:rPr>
          <w:rFonts w:ascii="Times New Roman" w:hAnsi="Times New Roman"/>
          <w:lang w:eastAsia="ru-RU"/>
        </w:rPr>
        <w:t>Расширение ЕС: сначала "проглотить" Балканы [Электронный ресурс] // Режим доступа: https://www.ukrinform.ru/rubric-world/2399138-rassirenie-es-snacala-proglotit-balkany.html</w:t>
      </w:r>
    </w:p>
  </w:footnote>
  <w:footnote w:id="26">
    <w:p w14:paraId="59BCEF04" w14:textId="77777777" w:rsidR="00F00F1A" w:rsidRPr="00F00F1A" w:rsidRDefault="00F00F1A">
      <w:pPr>
        <w:pStyle w:val="ac"/>
      </w:pPr>
      <w:r w:rsidRPr="00F00F1A">
        <w:rPr>
          <w:rStyle w:val="ae"/>
        </w:rPr>
        <w:footnoteRef/>
      </w:r>
      <w:r w:rsidRPr="00F00F1A">
        <w:t xml:space="preserve"> </w:t>
      </w:r>
      <w:r w:rsidRPr="00F00F1A">
        <w:rPr>
          <w:rFonts w:ascii="Times New Roman" w:hAnsi="Times New Roman"/>
          <w:lang w:eastAsia="ru-RU"/>
        </w:rPr>
        <w:t>Расширение ЕС: сначала "проглотить" Балканы [Электронный ресурс] // Режим доступа: https://www.ukrinform.ru/rubric-world/2399138-rassirenie-es-snacala-proglotit-balkany.html</w:t>
      </w:r>
    </w:p>
  </w:footnote>
  <w:footnote w:id="27">
    <w:p w14:paraId="402A5FB1" w14:textId="77777777" w:rsidR="00F00F1A" w:rsidRPr="00F00F1A" w:rsidRDefault="00F00F1A">
      <w:pPr>
        <w:pStyle w:val="ac"/>
      </w:pPr>
      <w:r>
        <w:rPr>
          <w:rStyle w:val="ae"/>
        </w:rPr>
        <w:footnoteRef/>
      </w:r>
      <w:r>
        <w:t xml:space="preserve"> </w:t>
      </w:r>
      <w:r w:rsidRPr="00F00F1A">
        <w:rPr>
          <w:rFonts w:ascii="Times New Roman" w:hAnsi="Times New Roman"/>
          <w:lang w:eastAsia="ru-RU"/>
        </w:rPr>
        <w:t>Колодко Г.В., Постула М. Факторы и последствия расширения еврозоны // Вопросы экономики. 2018. № 7. С. 45-64.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96BF" w14:textId="77777777" w:rsidR="006879D1" w:rsidRDefault="006879D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vertAlign w:val="superscript"/>
      </w:rPr>
    </w:lvl>
  </w:abstractNum>
  <w:abstractNum w:abstractNumId="3" w15:restartNumberingAfterBreak="0">
    <w:nsid w:val="37B13D35"/>
    <w:multiLevelType w:val="hybridMultilevel"/>
    <w:tmpl w:val="B1D01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201CE"/>
    <w:multiLevelType w:val="hybridMultilevel"/>
    <w:tmpl w:val="C10458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50202B"/>
    <w:multiLevelType w:val="hybridMultilevel"/>
    <w:tmpl w:val="B1D01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F75EBB"/>
    <w:multiLevelType w:val="hybridMultilevel"/>
    <w:tmpl w:val="ECCABFD6"/>
    <w:lvl w:ilvl="0" w:tplc="310E58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AA023F"/>
    <w:multiLevelType w:val="hybridMultilevel"/>
    <w:tmpl w:val="AAAC0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C941F0"/>
    <w:multiLevelType w:val="hybridMultilevel"/>
    <w:tmpl w:val="B1D01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565A68"/>
    <w:multiLevelType w:val="hybridMultilevel"/>
    <w:tmpl w:val="B0D2F0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6C4"/>
    <w:rsid w:val="000217B3"/>
    <w:rsid w:val="0002494F"/>
    <w:rsid w:val="00030A95"/>
    <w:rsid w:val="00034A60"/>
    <w:rsid w:val="00042544"/>
    <w:rsid w:val="00042F9B"/>
    <w:rsid w:val="00045228"/>
    <w:rsid w:val="000468FF"/>
    <w:rsid w:val="000714A7"/>
    <w:rsid w:val="000818F7"/>
    <w:rsid w:val="000A6415"/>
    <w:rsid w:val="000B2E8A"/>
    <w:rsid w:val="000B56C5"/>
    <w:rsid w:val="000B609A"/>
    <w:rsid w:val="000B7F3D"/>
    <w:rsid w:val="000D3A75"/>
    <w:rsid w:val="000E1E50"/>
    <w:rsid w:val="00103F28"/>
    <w:rsid w:val="00112039"/>
    <w:rsid w:val="00117323"/>
    <w:rsid w:val="001240B1"/>
    <w:rsid w:val="00146483"/>
    <w:rsid w:val="00146B2E"/>
    <w:rsid w:val="00162FCE"/>
    <w:rsid w:val="001633DD"/>
    <w:rsid w:val="001742E8"/>
    <w:rsid w:val="001840DF"/>
    <w:rsid w:val="00187013"/>
    <w:rsid w:val="00187595"/>
    <w:rsid w:val="00196388"/>
    <w:rsid w:val="001A2A1B"/>
    <w:rsid w:val="001D5FE6"/>
    <w:rsid w:val="001D634D"/>
    <w:rsid w:val="001E5162"/>
    <w:rsid w:val="00200EA7"/>
    <w:rsid w:val="0021425F"/>
    <w:rsid w:val="002204D8"/>
    <w:rsid w:val="00223167"/>
    <w:rsid w:val="002259A0"/>
    <w:rsid w:val="0023208F"/>
    <w:rsid w:val="002335AB"/>
    <w:rsid w:val="00245937"/>
    <w:rsid w:val="0025381F"/>
    <w:rsid w:val="0025565A"/>
    <w:rsid w:val="0028620A"/>
    <w:rsid w:val="00290EDB"/>
    <w:rsid w:val="00293CE8"/>
    <w:rsid w:val="00294606"/>
    <w:rsid w:val="002B180A"/>
    <w:rsid w:val="002C05A0"/>
    <w:rsid w:val="002E003D"/>
    <w:rsid w:val="002E0D08"/>
    <w:rsid w:val="002E30F3"/>
    <w:rsid w:val="002F2939"/>
    <w:rsid w:val="002F4B27"/>
    <w:rsid w:val="002F654A"/>
    <w:rsid w:val="00304749"/>
    <w:rsid w:val="0031629E"/>
    <w:rsid w:val="00336B86"/>
    <w:rsid w:val="00337DF4"/>
    <w:rsid w:val="003625AD"/>
    <w:rsid w:val="00374ECB"/>
    <w:rsid w:val="00380F9C"/>
    <w:rsid w:val="00382945"/>
    <w:rsid w:val="003A1E1A"/>
    <w:rsid w:val="003A2E24"/>
    <w:rsid w:val="003A32D8"/>
    <w:rsid w:val="003A56C7"/>
    <w:rsid w:val="003B6D0E"/>
    <w:rsid w:val="003C3BF7"/>
    <w:rsid w:val="003D3840"/>
    <w:rsid w:val="003D659B"/>
    <w:rsid w:val="003F2C18"/>
    <w:rsid w:val="00402848"/>
    <w:rsid w:val="00403CB7"/>
    <w:rsid w:val="0040760C"/>
    <w:rsid w:val="00423267"/>
    <w:rsid w:val="00432715"/>
    <w:rsid w:val="004403FF"/>
    <w:rsid w:val="00452107"/>
    <w:rsid w:val="00474DB7"/>
    <w:rsid w:val="00482EEC"/>
    <w:rsid w:val="004B552F"/>
    <w:rsid w:val="004C0348"/>
    <w:rsid w:val="004E18D4"/>
    <w:rsid w:val="004E5C64"/>
    <w:rsid w:val="004F67BD"/>
    <w:rsid w:val="00501B37"/>
    <w:rsid w:val="00501FA8"/>
    <w:rsid w:val="0050789B"/>
    <w:rsid w:val="00514569"/>
    <w:rsid w:val="00523A56"/>
    <w:rsid w:val="00523AB3"/>
    <w:rsid w:val="0053517B"/>
    <w:rsid w:val="00537995"/>
    <w:rsid w:val="005465A1"/>
    <w:rsid w:val="00555096"/>
    <w:rsid w:val="005825DA"/>
    <w:rsid w:val="0059778F"/>
    <w:rsid w:val="00597E3B"/>
    <w:rsid w:val="005B794A"/>
    <w:rsid w:val="005C4767"/>
    <w:rsid w:val="005D57F7"/>
    <w:rsid w:val="005E44F8"/>
    <w:rsid w:val="005F6848"/>
    <w:rsid w:val="00601541"/>
    <w:rsid w:val="00634C01"/>
    <w:rsid w:val="006441A5"/>
    <w:rsid w:val="006730C7"/>
    <w:rsid w:val="006879D1"/>
    <w:rsid w:val="006A173A"/>
    <w:rsid w:val="006A7213"/>
    <w:rsid w:val="006B7811"/>
    <w:rsid w:val="006B7973"/>
    <w:rsid w:val="006C3569"/>
    <w:rsid w:val="006C4A32"/>
    <w:rsid w:val="006C77BD"/>
    <w:rsid w:val="006E1B66"/>
    <w:rsid w:val="006F1FAF"/>
    <w:rsid w:val="006F4156"/>
    <w:rsid w:val="00701B0F"/>
    <w:rsid w:val="00703CFB"/>
    <w:rsid w:val="00705354"/>
    <w:rsid w:val="00716537"/>
    <w:rsid w:val="0072082B"/>
    <w:rsid w:val="007226C2"/>
    <w:rsid w:val="00722D61"/>
    <w:rsid w:val="0072327D"/>
    <w:rsid w:val="00742092"/>
    <w:rsid w:val="007427E8"/>
    <w:rsid w:val="00744AD9"/>
    <w:rsid w:val="0078097B"/>
    <w:rsid w:val="007820F0"/>
    <w:rsid w:val="00783901"/>
    <w:rsid w:val="0078473A"/>
    <w:rsid w:val="00785EC9"/>
    <w:rsid w:val="00792BE1"/>
    <w:rsid w:val="007947C4"/>
    <w:rsid w:val="007A2F20"/>
    <w:rsid w:val="007B2BB6"/>
    <w:rsid w:val="007C1FC7"/>
    <w:rsid w:val="007D01A6"/>
    <w:rsid w:val="007D34B4"/>
    <w:rsid w:val="007E40BA"/>
    <w:rsid w:val="007F066A"/>
    <w:rsid w:val="007F7578"/>
    <w:rsid w:val="00801399"/>
    <w:rsid w:val="0080536B"/>
    <w:rsid w:val="00806B33"/>
    <w:rsid w:val="00815E9F"/>
    <w:rsid w:val="00823877"/>
    <w:rsid w:val="00833FC7"/>
    <w:rsid w:val="00836630"/>
    <w:rsid w:val="00840ED3"/>
    <w:rsid w:val="00866AB5"/>
    <w:rsid w:val="00882DE9"/>
    <w:rsid w:val="00883039"/>
    <w:rsid w:val="00887CCC"/>
    <w:rsid w:val="00891517"/>
    <w:rsid w:val="00894B24"/>
    <w:rsid w:val="008A2F2D"/>
    <w:rsid w:val="008B18BB"/>
    <w:rsid w:val="008B2E8C"/>
    <w:rsid w:val="008C34DA"/>
    <w:rsid w:val="008C7720"/>
    <w:rsid w:val="008D2788"/>
    <w:rsid w:val="008D77B8"/>
    <w:rsid w:val="008E060D"/>
    <w:rsid w:val="008E77E9"/>
    <w:rsid w:val="008F0598"/>
    <w:rsid w:val="008F0B1A"/>
    <w:rsid w:val="008F383F"/>
    <w:rsid w:val="008F4DE7"/>
    <w:rsid w:val="0092662D"/>
    <w:rsid w:val="00933F7D"/>
    <w:rsid w:val="00936B20"/>
    <w:rsid w:val="009556C4"/>
    <w:rsid w:val="00962D75"/>
    <w:rsid w:val="009913A4"/>
    <w:rsid w:val="009B6513"/>
    <w:rsid w:val="009C2B87"/>
    <w:rsid w:val="009D67BA"/>
    <w:rsid w:val="009E0862"/>
    <w:rsid w:val="009E5677"/>
    <w:rsid w:val="00A03EBB"/>
    <w:rsid w:val="00A110AB"/>
    <w:rsid w:val="00A3452D"/>
    <w:rsid w:val="00A345DF"/>
    <w:rsid w:val="00A67A44"/>
    <w:rsid w:val="00A73631"/>
    <w:rsid w:val="00A7640E"/>
    <w:rsid w:val="00A8230E"/>
    <w:rsid w:val="00A8573E"/>
    <w:rsid w:val="00A9453E"/>
    <w:rsid w:val="00AA2B33"/>
    <w:rsid w:val="00AC64FE"/>
    <w:rsid w:val="00AD1B70"/>
    <w:rsid w:val="00AD435D"/>
    <w:rsid w:val="00AE3E01"/>
    <w:rsid w:val="00AE5A12"/>
    <w:rsid w:val="00AE5C3F"/>
    <w:rsid w:val="00AF73BF"/>
    <w:rsid w:val="00AF7DAF"/>
    <w:rsid w:val="00B00458"/>
    <w:rsid w:val="00B02939"/>
    <w:rsid w:val="00B02E2A"/>
    <w:rsid w:val="00B05ADE"/>
    <w:rsid w:val="00B11B56"/>
    <w:rsid w:val="00B2640E"/>
    <w:rsid w:val="00B26DA7"/>
    <w:rsid w:val="00B52C02"/>
    <w:rsid w:val="00B573FC"/>
    <w:rsid w:val="00B674FA"/>
    <w:rsid w:val="00B9465F"/>
    <w:rsid w:val="00BA31DE"/>
    <w:rsid w:val="00BA5C26"/>
    <w:rsid w:val="00BB204D"/>
    <w:rsid w:val="00BB66E6"/>
    <w:rsid w:val="00BD3F60"/>
    <w:rsid w:val="00BD6B62"/>
    <w:rsid w:val="00BE6C9D"/>
    <w:rsid w:val="00BF0090"/>
    <w:rsid w:val="00BF147B"/>
    <w:rsid w:val="00BF24C5"/>
    <w:rsid w:val="00BF69BF"/>
    <w:rsid w:val="00C0219E"/>
    <w:rsid w:val="00C07F8B"/>
    <w:rsid w:val="00C1180C"/>
    <w:rsid w:val="00C16FA7"/>
    <w:rsid w:val="00C22727"/>
    <w:rsid w:val="00C22E6F"/>
    <w:rsid w:val="00C231F1"/>
    <w:rsid w:val="00C3185E"/>
    <w:rsid w:val="00C33D66"/>
    <w:rsid w:val="00C343C8"/>
    <w:rsid w:val="00C44FA3"/>
    <w:rsid w:val="00C56993"/>
    <w:rsid w:val="00C639AF"/>
    <w:rsid w:val="00C67701"/>
    <w:rsid w:val="00C717B3"/>
    <w:rsid w:val="00C71F55"/>
    <w:rsid w:val="00C74559"/>
    <w:rsid w:val="00CA4AED"/>
    <w:rsid w:val="00CB0C02"/>
    <w:rsid w:val="00CB126B"/>
    <w:rsid w:val="00CB355A"/>
    <w:rsid w:val="00CC6F64"/>
    <w:rsid w:val="00CD3AA8"/>
    <w:rsid w:val="00CD799A"/>
    <w:rsid w:val="00D14ED8"/>
    <w:rsid w:val="00D1588C"/>
    <w:rsid w:val="00D2688A"/>
    <w:rsid w:val="00D26F98"/>
    <w:rsid w:val="00D436C0"/>
    <w:rsid w:val="00D47963"/>
    <w:rsid w:val="00D556C1"/>
    <w:rsid w:val="00D853EF"/>
    <w:rsid w:val="00D8790A"/>
    <w:rsid w:val="00D87D02"/>
    <w:rsid w:val="00D95620"/>
    <w:rsid w:val="00DD1A02"/>
    <w:rsid w:val="00DE342A"/>
    <w:rsid w:val="00E035E2"/>
    <w:rsid w:val="00E0491A"/>
    <w:rsid w:val="00E32E44"/>
    <w:rsid w:val="00E5306A"/>
    <w:rsid w:val="00E60798"/>
    <w:rsid w:val="00E60D9A"/>
    <w:rsid w:val="00E67744"/>
    <w:rsid w:val="00E72C17"/>
    <w:rsid w:val="00E83D41"/>
    <w:rsid w:val="00E879B2"/>
    <w:rsid w:val="00E91C07"/>
    <w:rsid w:val="00E97D59"/>
    <w:rsid w:val="00EB0CEE"/>
    <w:rsid w:val="00EB16B9"/>
    <w:rsid w:val="00EC1681"/>
    <w:rsid w:val="00EC3781"/>
    <w:rsid w:val="00ED1BB0"/>
    <w:rsid w:val="00ED72FD"/>
    <w:rsid w:val="00EE2BC2"/>
    <w:rsid w:val="00EE787D"/>
    <w:rsid w:val="00EF5063"/>
    <w:rsid w:val="00EF5668"/>
    <w:rsid w:val="00F00F1A"/>
    <w:rsid w:val="00F06F7C"/>
    <w:rsid w:val="00F32057"/>
    <w:rsid w:val="00F3405B"/>
    <w:rsid w:val="00F563AF"/>
    <w:rsid w:val="00F5720A"/>
    <w:rsid w:val="00F578CE"/>
    <w:rsid w:val="00F862A6"/>
    <w:rsid w:val="00F90BFB"/>
    <w:rsid w:val="00F931A0"/>
    <w:rsid w:val="00F93D91"/>
    <w:rsid w:val="00F9692E"/>
    <w:rsid w:val="00FD17B5"/>
    <w:rsid w:val="00FD2113"/>
    <w:rsid w:val="00FD367F"/>
    <w:rsid w:val="00FD56A5"/>
    <w:rsid w:val="00FD6576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A67CD"/>
  <w15:docId w15:val="{53F54E1C-6350-4F3A-B3B5-5DB8340F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56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6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F3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556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9556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9556C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556C4"/>
    <w:pPr>
      <w:spacing w:after="100" w:line="36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95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6C4"/>
  </w:style>
  <w:style w:type="paragraph" w:styleId="21">
    <w:name w:val="toc 2"/>
    <w:basedOn w:val="a"/>
    <w:next w:val="a"/>
    <w:autoRedefine/>
    <w:uiPriority w:val="39"/>
    <w:unhideWhenUsed/>
    <w:rsid w:val="009556C4"/>
    <w:pPr>
      <w:spacing w:after="100" w:line="360" w:lineRule="auto"/>
      <w:ind w:left="220"/>
    </w:pPr>
    <w:rPr>
      <w:rFonts w:ascii="Times New Roman" w:hAnsi="Times New Roman"/>
      <w:sz w:val="28"/>
    </w:rPr>
  </w:style>
  <w:style w:type="paragraph" w:styleId="a6">
    <w:name w:val="Subtitle"/>
    <w:basedOn w:val="a"/>
    <w:next w:val="a"/>
    <w:link w:val="a7"/>
    <w:uiPriority w:val="11"/>
    <w:qFormat/>
    <w:rsid w:val="000B7F3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B7F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Стиль1"/>
    <w:basedOn w:val="3"/>
    <w:qFormat/>
    <w:rsid w:val="000B7F3D"/>
    <w:pPr>
      <w:spacing w:line="360" w:lineRule="auto"/>
      <w:ind w:firstLine="709"/>
    </w:pPr>
    <w:rPr>
      <w:rFonts w:ascii="Times New Roman" w:hAnsi="Times New Roman"/>
      <w:color w:val="auto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B7F3D"/>
    <w:rPr>
      <w:rFonts w:ascii="Cambria" w:eastAsia="Times New Roman" w:hAnsi="Cambria" w:cs="Times New Roman"/>
      <w:b/>
      <w:bCs/>
      <w:color w:val="4F81BD"/>
    </w:rPr>
  </w:style>
  <w:style w:type="paragraph" w:styleId="31">
    <w:name w:val="toc 3"/>
    <w:basedOn w:val="a"/>
    <w:next w:val="a"/>
    <w:autoRedefine/>
    <w:uiPriority w:val="39"/>
    <w:unhideWhenUsed/>
    <w:rsid w:val="00D2688A"/>
    <w:pPr>
      <w:spacing w:after="100" w:line="360" w:lineRule="auto"/>
      <w:ind w:left="440"/>
    </w:pPr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E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2E0D0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B794A"/>
    <w:pPr>
      <w:ind w:left="720"/>
      <w:contextualSpacing/>
    </w:pPr>
  </w:style>
  <w:style w:type="table" w:styleId="ab">
    <w:name w:val="Table Grid"/>
    <w:basedOn w:val="a1"/>
    <w:uiPriority w:val="59"/>
    <w:rsid w:val="0040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8A2F2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A2F2D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8A2F2D"/>
    <w:rPr>
      <w:vertAlign w:val="superscript"/>
    </w:rPr>
  </w:style>
  <w:style w:type="character" w:customStyle="1" w:styleId="fontstyle01">
    <w:name w:val="fontstyle01"/>
    <w:basedOn w:val="a0"/>
    <w:rsid w:val="007B2BB6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36B2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rsid w:val="00936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36B2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8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79D1"/>
    <w:rPr>
      <w:rFonts w:ascii="Segoe UI" w:hAnsi="Segoe UI" w:cs="Segoe UI"/>
      <w:sz w:val="18"/>
      <w:szCs w:val="18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67A4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9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3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33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</w:div>
                    <w:div w:id="9351352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</w:div>
                    <w:div w:id="10758608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</w:div>
                    <w:div w:id="785275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w.com/ru/%D0%BF%D1%80%D0%B0%D0%B2%D0%BE%D0%BF%D0%BE%D0%BF%D1%83%D0%BB%D0%B8%D1%81%D1%82%D1%81%D0%BA%D0%B8%D0%B5-%D0%BF%D0%B0%D1%80%D1%82%D0%B8%D0%B8-%D0%B5%D0%B2%D1%80%D0%BE%D0%BF%D1%8B-%D0%BE%D0%BF%D0%B0%D1%81%D0%BD%D1%8B%D0%B9-%D0%BA%D1%80%D0%B5%D0%BD/a-1922303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w.com/ru/%D0%BA%D0%BE%D0%BC%D0%BC%D0%B5%D0%BD%D1%82%D0%B0%D1%80%D0%B8%D0%B9-%D0%B8%D1%82%D0%B0%D0%BB%D0%B8%D1%8F-%D0%BC%D0%BE%D0%B6%D0%B5%D1%82-%D0%B2%D1%82%D1%8F%D0%BD%D1%83%D1%82%D1%8C-%D0%B5%D1%81-%D0%B8-%D1%80%D0%BE%D1%81%D1%81%D0%B8%D1%8E-%D0%B2-%D0%B1%D0%BE%D0%BB%D1%8C%D1%88%D0%BE%D0%B9-%D1%84%D0%B8%D0%BD%D0%B0%D0%BD%D1%81%D0%BE%D0%B2%D1%8B%D0%B9-%D0%BA%D1%80%D0%B8%D0%B7%D0%B8%D1%81/a-4604631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dw.com/ru/%D0%BA%D0%BE%D0%BC%D0%BC%D0%B5%D0%BD%D1%82%D0%B0%D1%80%D0%B8%D0%B9-%D0%B4%D0%BE%D0%B3%D0%BE%D0%B2%D0%BE%D1%80-%D0%B5%D1%81-%D0%B8-%D1%82%D1%83%D1%80%D1%86%D0%B8%D0%B8-%D0%BE-%D0%B1%D0%B5%D0%B6%D0%B5%D0%BD%D1%86%D0%B0%D1%85-%D0%B4%D0%B2%D0%B0-%D0%B3%D0%BE%D0%B4%D0%B0-%D1%81%D0%BF%D1%83%D1%81%D1%82%D1%8F/a-430228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F4DC-1004-4266-BEA9-EA0F55D1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11373</Words>
  <Characters>64831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76052</CharactersWithSpaces>
  <SharedDoc>false</SharedDoc>
  <HLinks>
    <vt:vector size="102" baseType="variant"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_Toc344458380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_Toc344458379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_Toc344458378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_Toc344458377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_Toc344458376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_Toc344458375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_Toc344458374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_Toc344458373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_Toc344458372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_Toc344458371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_Toc344458370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_Toc344458369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_Toc344458368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_Toc344458367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_Toc344458366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_Toc344458365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_Toc344458364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2019-05-21T15:33:00Z</cp:lastPrinted>
  <dcterms:created xsi:type="dcterms:W3CDTF">2019-05-21T12:09:00Z</dcterms:created>
  <dcterms:modified xsi:type="dcterms:W3CDTF">2019-05-21T16:55:00Z</dcterms:modified>
</cp:coreProperties>
</file>