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1CE4C" w14:textId="77777777" w:rsidR="00BE116F" w:rsidRPr="00BE116F" w:rsidRDefault="00BE116F" w:rsidP="00BE116F">
      <w:pPr>
        <w:autoSpaceDE w:val="0"/>
        <w:autoSpaceDN w:val="0"/>
        <w:adjustRightInd w:val="0"/>
        <w:ind w:left="-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116F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14:paraId="40E41240" w14:textId="77777777" w:rsidR="00BE116F" w:rsidRPr="00BE116F" w:rsidRDefault="00BE116F" w:rsidP="00BE116F">
      <w:pPr>
        <w:autoSpaceDE w:val="0"/>
        <w:autoSpaceDN w:val="0"/>
        <w:adjustRightInd w:val="0"/>
        <w:ind w:hanging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116F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89CF686" w14:textId="77777777" w:rsidR="00BE116F" w:rsidRPr="00BE116F" w:rsidRDefault="00BE116F" w:rsidP="00BE116F">
      <w:pPr>
        <w:autoSpaceDE w:val="0"/>
        <w:autoSpaceDN w:val="0"/>
        <w:adjustRightInd w:val="0"/>
        <w:ind w:hanging="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E116F">
        <w:rPr>
          <w:rFonts w:ascii="Times New Roman" w:hAnsi="Times New Roman"/>
          <w:b/>
          <w:bCs/>
          <w:caps/>
          <w:sz w:val="28"/>
          <w:szCs w:val="28"/>
        </w:rPr>
        <w:t xml:space="preserve">«Кубанский государственный университет» </w:t>
      </w:r>
    </w:p>
    <w:p w14:paraId="08AA1AEB" w14:textId="77777777" w:rsidR="00BE116F" w:rsidRPr="00BE116F" w:rsidRDefault="00BE116F" w:rsidP="00BE116F">
      <w:pPr>
        <w:autoSpaceDE w:val="0"/>
        <w:autoSpaceDN w:val="0"/>
        <w:adjustRightInd w:val="0"/>
        <w:ind w:hanging="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E116F">
        <w:rPr>
          <w:rFonts w:ascii="Times New Roman" w:hAnsi="Times New Roman"/>
          <w:b/>
          <w:bCs/>
          <w:caps/>
          <w:sz w:val="28"/>
          <w:szCs w:val="28"/>
        </w:rPr>
        <w:t>(ФГБОУ ВО «</w:t>
      </w:r>
      <w:r w:rsidRPr="00BE116F">
        <w:rPr>
          <w:rFonts w:ascii="Times New Roman" w:hAnsi="Times New Roman"/>
          <w:b/>
          <w:bCs/>
          <w:sz w:val="28"/>
          <w:szCs w:val="28"/>
        </w:rPr>
        <w:t>КубГУ</w:t>
      </w:r>
      <w:r w:rsidRPr="00BE116F">
        <w:rPr>
          <w:rFonts w:ascii="Times New Roman" w:hAnsi="Times New Roman"/>
          <w:b/>
          <w:bCs/>
          <w:caps/>
          <w:sz w:val="28"/>
          <w:szCs w:val="28"/>
        </w:rPr>
        <w:t>»)</w:t>
      </w:r>
    </w:p>
    <w:p w14:paraId="00D7719B" w14:textId="77777777" w:rsidR="00BE116F" w:rsidRP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42DFEAE" w14:textId="77777777" w:rsidR="00BE116F" w:rsidRP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3903BF7" w14:textId="77777777" w:rsidR="00BE116F" w:rsidRPr="00BE116F" w:rsidRDefault="00BE116F" w:rsidP="00BE116F">
      <w:pPr>
        <w:pStyle w:val="a3"/>
        <w:jc w:val="center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Экономический факультет</w:t>
      </w:r>
    </w:p>
    <w:p w14:paraId="5F596778" w14:textId="77777777" w:rsidR="00BE116F" w:rsidRPr="00BE116F" w:rsidRDefault="00BE116F" w:rsidP="00BE116F">
      <w:pPr>
        <w:pStyle w:val="a3"/>
        <w:jc w:val="center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Кафедра экономического анализа, статистики и финансов</w:t>
      </w:r>
    </w:p>
    <w:p w14:paraId="03E34049" w14:textId="77777777" w:rsidR="00BE116F" w:rsidRPr="00BE116F" w:rsidRDefault="00BE116F" w:rsidP="00BE11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025F441" w14:textId="77777777" w:rsidR="00BE116F" w:rsidRPr="00BE116F" w:rsidRDefault="00BE116F" w:rsidP="00BE11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B184340" w14:textId="77777777" w:rsidR="00BE116F" w:rsidRP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16F">
        <w:rPr>
          <w:rFonts w:ascii="Times New Roman" w:hAnsi="Times New Roman"/>
          <w:b/>
          <w:bCs/>
          <w:sz w:val="28"/>
          <w:szCs w:val="28"/>
        </w:rPr>
        <w:t>КОНТРОЛЬНАЯ РАБОТА</w:t>
      </w:r>
    </w:p>
    <w:p w14:paraId="3CD8955D" w14:textId="77777777" w:rsidR="00BE116F" w:rsidRP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116F">
        <w:rPr>
          <w:rFonts w:ascii="Times New Roman" w:hAnsi="Times New Roman"/>
          <w:sz w:val="28"/>
          <w:szCs w:val="28"/>
        </w:rPr>
        <w:t>на тему: «Управление рыночными рисками»</w:t>
      </w:r>
      <w:r w:rsidRPr="00BE116F">
        <w:rPr>
          <w:rFonts w:ascii="Times New Roman" w:hAnsi="Times New Roman"/>
          <w:sz w:val="28"/>
          <w:szCs w:val="28"/>
        </w:rPr>
        <w:br/>
        <w:t>по предмету: «Управление финансами кредитных организаций»</w:t>
      </w:r>
    </w:p>
    <w:p w14:paraId="5BE6E394" w14:textId="77777777" w:rsidR="00BE116F" w:rsidRPr="00BE116F" w:rsidRDefault="00BE116F" w:rsidP="00BE116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4D75DAB" w14:textId="77777777" w:rsidR="00BE116F" w:rsidRPr="00BE116F" w:rsidRDefault="00BE116F" w:rsidP="00BE116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53126A3" w14:textId="77777777" w:rsidR="00BE116F" w:rsidRPr="00BE116F" w:rsidRDefault="00BE116F" w:rsidP="00BE116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A419EE" w14:textId="77777777" w:rsidR="00BE116F" w:rsidRPr="00BE116F" w:rsidRDefault="00BE116F" w:rsidP="00BE11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Работу выполнила     __________________________________   Пуць В.А.</w:t>
      </w:r>
    </w:p>
    <w:p w14:paraId="77836359" w14:textId="77777777" w:rsidR="00BE116F" w:rsidRPr="00BE116F" w:rsidRDefault="00BE116F" w:rsidP="00BE11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 xml:space="preserve">                                                         (подпись, дата)</w:t>
      </w:r>
    </w:p>
    <w:p w14:paraId="06874DC3" w14:textId="77777777" w:rsidR="00BE116F" w:rsidRPr="00BE116F" w:rsidRDefault="00BE116F" w:rsidP="00BE11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Факультет экономический                                                                        курс 3</w:t>
      </w:r>
    </w:p>
    <w:p w14:paraId="0FBEF235" w14:textId="77777777" w:rsidR="00BE116F" w:rsidRPr="00BE116F" w:rsidRDefault="00BE116F" w:rsidP="00BE116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Специальность/направление                          Экономика, Финансы и кредит</w:t>
      </w:r>
    </w:p>
    <w:p w14:paraId="2B5E8FDB" w14:textId="77777777" w:rsidR="00BE116F" w:rsidRPr="00BE116F" w:rsidRDefault="00BE116F" w:rsidP="00BE11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Научный руководитель</w:t>
      </w:r>
    </w:p>
    <w:p w14:paraId="65C18BAA" w14:textId="77777777" w:rsidR="00BE116F" w:rsidRPr="00BE116F" w:rsidRDefault="00BE116F" w:rsidP="00BE11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>канд. эк. наук, доцент ________________________________А.Р. Базилевич</w:t>
      </w:r>
    </w:p>
    <w:p w14:paraId="4D17E10F" w14:textId="77777777" w:rsidR="00BE116F" w:rsidRPr="00BE116F" w:rsidRDefault="00BE116F" w:rsidP="00BE11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E116F">
        <w:rPr>
          <w:color w:val="000000"/>
          <w:sz w:val="28"/>
          <w:szCs w:val="28"/>
        </w:rPr>
        <w:t xml:space="preserve">                                             (подпись, дата)</w:t>
      </w:r>
    </w:p>
    <w:p w14:paraId="2821D04C" w14:textId="77777777" w:rsidR="00BE116F" w:rsidRPr="00BE116F" w:rsidRDefault="00BE116F" w:rsidP="00BE116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A99261E" w14:textId="77777777" w:rsid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0D32924" w14:textId="04C23C8A" w:rsidR="00BE116F" w:rsidRP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116F">
        <w:rPr>
          <w:rFonts w:ascii="Times New Roman" w:hAnsi="Times New Roman"/>
          <w:sz w:val="28"/>
          <w:szCs w:val="28"/>
        </w:rPr>
        <w:t>г. Краснодар</w:t>
      </w:r>
    </w:p>
    <w:p w14:paraId="0FDE00C7" w14:textId="77777777" w:rsidR="00BE116F" w:rsidRPr="00BE116F" w:rsidRDefault="00BE116F" w:rsidP="00BE11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E116F">
        <w:rPr>
          <w:rFonts w:ascii="Times New Roman" w:hAnsi="Times New Roman"/>
          <w:sz w:val="28"/>
          <w:szCs w:val="28"/>
        </w:rPr>
        <w:t>2020</w:t>
      </w:r>
    </w:p>
    <w:p w14:paraId="09987BCB" w14:textId="77777777" w:rsidR="00BE116F" w:rsidRDefault="00BE116F" w:rsidP="00561A32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114AF3" w14:textId="12094B3F" w:rsidR="00BE40FA" w:rsidRDefault="00BE40FA" w:rsidP="00561A32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F753A46" w14:textId="77777777" w:rsidR="00BE40FA" w:rsidRDefault="00BE40FA" w:rsidP="00BE40FA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98249301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000000" w:themeColor="text1"/>
          <w:sz w:val="28"/>
          <w:szCs w:val="28"/>
        </w:rPr>
      </w:sdtEndPr>
      <w:sdtContent>
        <w:p w14:paraId="0F495BC9" w14:textId="77777777" w:rsidR="00BE40FA" w:rsidRPr="00091835" w:rsidRDefault="00091835" w:rsidP="00091835">
          <w:pPr>
            <w:pStyle w:val="ae"/>
            <w:spacing w:before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ВВЕДЕНИЕ</w:t>
          </w:r>
          <w:r w:rsidR="00BE40FA" w:rsidRPr="0009183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="00BE40FA" w:rsidRPr="0009183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t>3</w:t>
          </w:r>
        </w:p>
        <w:p w14:paraId="0C52E505" w14:textId="77777777" w:rsidR="00BE40FA" w:rsidRPr="00091835" w:rsidRDefault="00091835" w:rsidP="00091835">
          <w:pPr>
            <w:pStyle w:val="2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1. ТЕОРЕТИЧЕСКИЕ ОСОБЕННОСТИ РЫНОЧНОГО РИСКА КОММЕРЧЕСКОГО БАНКА </w:t>
          </w:r>
          <w:r w:rsidR="00BE40FA"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5</w:t>
          </w:r>
        </w:p>
        <w:p w14:paraId="6328B0BA" w14:textId="77777777" w:rsidR="00BE40FA" w:rsidRPr="00091835" w:rsidRDefault="00BE40FA" w:rsidP="00091835">
          <w:pPr>
            <w:pStyle w:val="3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1.1 </w:t>
          </w:r>
          <w:r w:rsidR="00091835"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>Р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ыночный риск, понятие и классификация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091835">
            <w:rPr>
              <w:rFonts w:ascii="Times New Roman" w:hAnsi="Times New Roman"/>
              <w:color w:val="000000" w:themeColor="text1"/>
              <w:sz w:val="28"/>
              <w:szCs w:val="28"/>
            </w:rPr>
            <w:t>5</w:t>
          </w:r>
        </w:p>
        <w:p w14:paraId="2B10CD74" w14:textId="77777777" w:rsidR="00BE40FA" w:rsidRPr="00091835" w:rsidRDefault="00BE40FA" w:rsidP="00091835">
          <w:pPr>
            <w:pStyle w:val="12"/>
            <w:spacing w:after="0" w:line="36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1.2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Методы оценки риска в коммерческом банке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091835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t>6</w:t>
          </w:r>
        </w:p>
        <w:p w14:paraId="3EA6949C" w14:textId="77777777" w:rsidR="00BE40FA" w:rsidRPr="00091835" w:rsidRDefault="00BE40FA" w:rsidP="00091835">
          <w:pPr>
            <w:pStyle w:val="2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1.3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>Методы</w:t>
          </w:r>
          <w:r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>снижения</w:t>
          </w:r>
          <w:r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>рыночного</w:t>
          </w:r>
          <w:r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риска </w:t>
          </w: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091835">
            <w:rPr>
              <w:rFonts w:ascii="Times New Roman" w:hAnsi="Times New Roman"/>
              <w:color w:val="000000" w:themeColor="text1"/>
              <w:sz w:val="28"/>
              <w:szCs w:val="28"/>
            </w:rPr>
            <w:t>8</w:t>
          </w:r>
        </w:p>
        <w:p w14:paraId="17A00ABA" w14:textId="77777777" w:rsidR="00BE40FA" w:rsidRPr="00091835" w:rsidRDefault="00091835" w:rsidP="00091835">
          <w:pPr>
            <w:pStyle w:val="3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2. РЫНОЧНЫЕ РИСКИ И УПРАВЛЕНИЕ ИМИ В </w:t>
          </w:r>
          <w:r w:rsidRPr="00091835">
            <w:rPr>
              <w:rFonts w:ascii="Times New Roman" w:hAnsi="Times New Roman"/>
              <w:sz w:val="28"/>
              <w:szCs w:val="28"/>
            </w:rPr>
            <w:t>"ЮГ-ИНВЕСТБАНК"</w:t>
          </w:r>
          <w:r w:rsidR="00BE40FA" w:rsidRPr="00091835">
            <w:rPr>
              <w:rFonts w:ascii="Times New Roman" w:hAnsi="Times New Roman"/>
              <w:caps/>
              <w:color w:val="000000" w:themeColor="text1"/>
              <w:sz w:val="28"/>
              <w:szCs w:val="28"/>
            </w:rPr>
            <w:t xml:space="preserve"> </w:t>
          </w:r>
          <w:r w:rsidR="00BE40FA"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11</w:t>
          </w:r>
        </w:p>
        <w:p w14:paraId="71C8442E" w14:textId="77777777" w:rsidR="00BE40FA" w:rsidRPr="00091835" w:rsidRDefault="00091835" w:rsidP="00091835">
          <w:pPr>
            <w:pStyle w:val="12"/>
            <w:spacing w:after="0" w:line="360" w:lineRule="auto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olor w:val="000000" w:themeColor="text1"/>
              <w:sz w:val="28"/>
              <w:szCs w:val="28"/>
              <w:shd w:val="clear" w:color="auto" w:fill="FFFFFF"/>
            </w:rPr>
            <w:t>ЗАКЛЮЧЕНИЕ</w:t>
          </w:r>
          <w:r w:rsidR="00BE40FA"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2</w:t>
          </w:r>
          <w:r w:rsidR="00BE40FA" w:rsidRPr="00091835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t>1</w:t>
          </w:r>
        </w:p>
        <w:p w14:paraId="2AEC84E9" w14:textId="77777777" w:rsidR="00BE40FA" w:rsidRPr="00091835" w:rsidRDefault="00091835" w:rsidP="00091835">
          <w:pPr>
            <w:pStyle w:val="21"/>
            <w:spacing w:after="0" w:line="360" w:lineRule="auto"/>
            <w:ind w:left="0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СПИСОК ИСПОЛЬЗОВАННЫХ ИСТОЧНИКОВ </w:t>
          </w:r>
          <w:r w:rsidR="00BE40FA"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BE40FA" w:rsidRPr="00091835">
            <w:rPr>
              <w:rFonts w:ascii="Times New Roman" w:hAnsi="Times New Roman"/>
              <w:color w:val="000000" w:themeColor="text1"/>
              <w:sz w:val="28"/>
              <w:szCs w:val="28"/>
            </w:rPr>
            <w:t>2</w:t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3</w:t>
          </w:r>
        </w:p>
      </w:sdtContent>
    </w:sdt>
    <w:p w14:paraId="4EB39D36" w14:textId="77777777" w:rsidR="00BE40FA" w:rsidRPr="00BE40FA" w:rsidRDefault="00BE40FA" w:rsidP="00BE40FA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BA2EDCB" w14:textId="77777777" w:rsidR="00BE40FA" w:rsidRDefault="00BE40FA" w:rsidP="00BE40FA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4896209" w14:textId="77777777" w:rsidR="00E6269C" w:rsidRPr="00194840" w:rsidRDefault="00E6269C" w:rsidP="00561A32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84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7582AC36" w14:textId="77777777" w:rsidR="0056335D" w:rsidRDefault="0056335D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115959E" w14:textId="77777777" w:rsidR="00E6269C" w:rsidRPr="004D25B5" w:rsidRDefault="00E6269C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>Рыночные риски –</w:t>
      </w:r>
      <w:r w:rsidR="00800639" w:rsidRPr="004D25B5">
        <w:rPr>
          <w:sz w:val="28"/>
          <w:szCs w:val="28"/>
        </w:rPr>
        <w:t xml:space="preserve"> это такие</w:t>
      </w:r>
      <w:r w:rsidRPr="004D25B5">
        <w:rPr>
          <w:sz w:val="28"/>
          <w:szCs w:val="28"/>
        </w:rPr>
        <w:t xml:space="preserve"> риски</w:t>
      </w:r>
      <w:r w:rsidR="00800639" w:rsidRPr="004D25B5">
        <w:rPr>
          <w:sz w:val="28"/>
          <w:szCs w:val="28"/>
        </w:rPr>
        <w:t>, при которых у банка возникают ситуации, которые влекут за собой</w:t>
      </w:r>
      <w:r w:rsidRPr="004D25B5">
        <w:rPr>
          <w:sz w:val="28"/>
          <w:szCs w:val="28"/>
        </w:rPr>
        <w:t xml:space="preserve"> </w:t>
      </w:r>
      <w:r w:rsidR="00800639" w:rsidRPr="004D25B5">
        <w:rPr>
          <w:sz w:val="28"/>
          <w:szCs w:val="28"/>
        </w:rPr>
        <w:t>финансовые потери или убытки. Они в свою очередь возникают из-за того, что имело место изменение</w:t>
      </w:r>
      <w:r w:rsidRPr="004D25B5">
        <w:rPr>
          <w:sz w:val="28"/>
          <w:szCs w:val="28"/>
        </w:rPr>
        <w:t xml:space="preserve"> рыночной стоимости финансовых инструментов торгово</w:t>
      </w:r>
      <w:r w:rsidR="00800639" w:rsidRPr="004D25B5">
        <w:rPr>
          <w:sz w:val="28"/>
          <w:szCs w:val="28"/>
        </w:rPr>
        <w:t xml:space="preserve">го портфеля, процентных ставок и </w:t>
      </w:r>
      <w:r w:rsidRPr="004D25B5">
        <w:rPr>
          <w:sz w:val="28"/>
          <w:szCs w:val="28"/>
        </w:rPr>
        <w:t>курсов иностранных валют и/или драгоценных металлов</w:t>
      </w:r>
      <w:r w:rsidR="00800639" w:rsidRPr="004D25B5">
        <w:rPr>
          <w:sz w:val="28"/>
          <w:szCs w:val="28"/>
        </w:rPr>
        <w:t xml:space="preserve"> (курсы иностранных валют изменяются ежедневно, что говорит о наличии </w:t>
      </w:r>
      <w:r w:rsidR="00E975F9" w:rsidRPr="004D25B5">
        <w:rPr>
          <w:sz w:val="28"/>
          <w:szCs w:val="28"/>
        </w:rPr>
        <w:t xml:space="preserve">постоянного </w:t>
      </w:r>
      <w:r w:rsidR="00800639" w:rsidRPr="004D25B5">
        <w:rPr>
          <w:sz w:val="28"/>
          <w:szCs w:val="28"/>
        </w:rPr>
        <w:t>рыночного риска у банков)</w:t>
      </w:r>
      <w:r w:rsidRPr="004D25B5">
        <w:rPr>
          <w:sz w:val="28"/>
          <w:szCs w:val="28"/>
        </w:rPr>
        <w:t xml:space="preserve">. </w:t>
      </w:r>
      <w:r w:rsidR="00E975F9" w:rsidRPr="004D25B5">
        <w:rPr>
          <w:sz w:val="28"/>
          <w:szCs w:val="28"/>
        </w:rPr>
        <w:t xml:space="preserve">Название «рыночный» риск имеет говорящее название, когда можно с уверенность сказать, что данный вид риска имеет отличительную особенность от других видов риска, как зависимость от состояния на рынке банковских и иных услуг. </w:t>
      </w:r>
      <w:r w:rsidRPr="004D25B5">
        <w:rPr>
          <w:sz w:val="28"/>
          <w:szCs w:val="28"/>
        </w:rPr>
        <w:t>Рыночные риски включают в себя</w:t>
      </w:r>
      <w:r w:rsidR="00E975F9" w:rsidRPr="004D25B5">
        <w:rPr>
          <w:sz w:val="28"/>
          <w:szCs w:val="28"/>
        </w:rPr>
        <w:t xml:space="preserve"> целый спектр рисков, среди которых:</w:t>
      </w:r>
      <w:r w:rsidRPr="004D25B5">
        <w:rPr>
          <w:sz w:val="28"/>
          <w:szCs w:val="28"/>
        </w:rPr>
        <w:t xml:space="preserve"> фондовы</w:t>
      </w:r>
      <w:r w:rsidR="00E975F9" w:rsidRPr="004D25B5">
        <w:rPr>
          <w:sz w:val="28"/>
          <w:szCs w:val="28"/>
        </w:rPr>
        <w:t>й, валютный и процентный риски. Управление р</w:t>
      </w:r>
      <w:r w:rsidRPr="004D25B5">
        <w:rPr>
          <w:sz w:val="28"/>
          <w:szCs w:val="28"/>
        </w:rPr>
        <w:t xml:space="preserve">ыночными рисками </w:t>
      </w:r>
      <w:r w:rsidR="00E975F9" w:rsidRPr="004D25B5">
        <w:rPr>
          <w:sz w:val="28"/>
          <w:szCs w:val="28"/>
        </w:rPr>
        <w:t>осуществляет такой исполнительный орган, как</w:t>
      </w:r>
      <w:r w:rsidRPr="004D25B5">
        <w:rPr>
          <w:sz w:val="28"/>
          <w:szCs w:val="28"/>
        </w:rPr>
        <w:t xml:space="preserve"> Комитет по управлению рисками.</w:t>
      </w:r>
    </w:p>
    <w:p w14:paraId="2419ADEF" w14:textId="77777777" w:rsidR="003261BC" w:rsidRPr="004D25B5" w:rsidRDefault="004A2AD8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>Управление</w:t>
      </w:r>
      <w:r w:rsidR="00E6269C" w:rsidRPr="004D25B5">
        <w:rPr>
          <w:sz w:val="28"/>
          <w:szCs w:val="28"/>
        </w:rPr>
        <w:t xml:space="preserve"> рыночными рисками </w:t>
      </w:r>
      <w:r w:rsidRPr="004D25B5">
        <w:rPr>
          <w:sz w:val="28"/>
          <w:szCs w:val="28"/>
        </w:rPr>
        <w:t>имеет свою цель, которая заключается в</w:t>
      </w:r>
      <w:r w:rsidR="00E6269C" w:rsidRPr="004D25B5">
        <w:rPr>
          <w:sz w:val="28"/>
          <w:szCs w:val="28"/>
        </w:rPr>
        <w:t xml:space="preserve"> по</w:t>
      </w:r>
      <w:r w:rsidRPr="004D25B5">
        <w:rPr>
          <w:sz w:val="28"/>
          <w:szCs w:val="28"/>
        </w:rPr>
        <w:t>ддержании</w:t>
      </w:r>
      <w:r w:rsidR="00E2020E" w:rsidRPr="004D25B5">
        <w:rPr>
          <w:sz w:val="28"/>
          <w:szCs w:val="28"/>
        </w:rPr>
        <w:t xml:space="preserve"> </w:t>
      </w:r>
      <w:r w:rsidR="00E6269C" w:rsidRPr="004D25B5">
        <w:rPr>
          <w:sz w:val="28"/>
          <w:szCs w:val="28"/>
        </w:rPr>
        <w:t>риска</w:t>
      </w:r>
      <w:r w:rsidRPr="004D25B5">
        <w:rPr>
          <w:sz w:val="28"/>
          <w:szCs w:val="28"/>
        </w:rPr>
        <w:t>, который берет на себя банк</w:t>
      </w:r>
      <w:r w:rsidR="00E6269C" w:rsidRPr="004D25B5">
        <w:rPr>
          <w:sz w:val="28"/>
          <w:szCs w:val="28"/>
        </w:rPr>
        <w:t xml:space="preserve"> на </w:t>
      </w:r>
      <w:r w:rsidRPr="004D25B5">
        <w:rPr>
          <w:sz w:val="28"/>
          <w:szCs w:val="28"/>
        </w:rPr>
        <w:t xml:space="preserve">определенном </w:t>
      </w:r>
      <w:r w:rsidR="00E6269C" w:rsidRPr="004D25B5">
        <w:rPr>
          <w:sz w:val="28"/>
          <w:szCs w:val="28"/>
        </w:rPr>
        <w:t xml:space="preserve">уровне, </w:t>
      </w:r>
      <w:r w:rsidRPr="004D25B5">
        <w:rPr>
          <w:sz w:val="28"/>
          <w:szCs w:val="28"/>
        </w:rPr>
        <w:t>который определен</w:t>
      </w:r>
      <w:r w:rsidR="00E6269C" w:rsidRPr="004D25B5">
        <w:rPr>
          <w:sz w:val="28"/>
          <w:szCs w:val="28"/>
        </w:rPr>
        <w:t xml:space="preserve"> </w:t>
      </w:r>
      <w:r w:rsidRPr="004D25B5">
        <w:rPr>
          <w:sz w:val="28"/>
          <w:szCs w:val="28"/>
        </w:rPr>
        <w:t>согласно поставленных</w:t>
      </w:r>
      <w:r w:rsidR="00E6269C" w:rsidRPr="004D25B5">
        <w:rPr>
          <w:sz w:val="28"/>
          <w:szCs w:val="28"/>
        </w:rPr>
        <w:t xml:space="preserve"> </w:t>
      </w:r>
      <w:r w:rsidRPr="004D25B5">
        <w:rPr>
          <w:sz w:val="28"/>
          <w:szCs w:val="28"/>
        </w:rPr>
        <w:t>стратегических задач, определенных миссией банка.</w:t>
      </w:r>
    </w:p>
    <w:p w14:paraId="08327402" w14:textId="77777777" w:rsidR="00E6269C" w:rsidRPr="004D25B5" w:rsidRDefault="004A2AD8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>Цель</w:t>
      </w:r>
      <w:r w:rsidR="00E6269C" w:rsidRPr="004D25B5">
        <w:rPr>
          <w:sz w:val="28"/>
          <w:szCs w:val="28"/>
        </w:rPr>
        <w:t xml:space="preserve"> работы</w:t>
      </w:r>
      <w:r w:rsidR="004D25B5">
        <w:rPr>
          <w:sz w:val="28"/>
          <w:szCs w:val="28"/>
        </w:rPr>
        <w:t xml:space="preserve"> </w:t>
      </w:r>
      <w:r w:rsidRPr="004D25B5">
        <w:rPr>
          <w:sz w:val="28"/>
          <w:szCs w:val="28"/>
        </w:rPr>
        <w:t xml:space="preserve">определена, как </w:t>
      </w:r>
      <w:r w:rsidR="00E6269C" w:rsidRPr="004D25B5">
        <w:rPr>
          <w:sz w:val="28"/>
          <w:szCs w:val="28"/>
        </w:rPr>
        <w:t xml:space="preserve">комплексное изучение и системный анализ управления рыночными рисками коммерческих банков на примере </w:t>
      </w:r>
      <w:r w:rsidR="00561A32" w:rsidRPr="00561A32">
        <w:rPr>
          <w:sz w:val="28"/>
          <w:szCs w:val="28"/>
        </w:rPr>
        <w:t>"ЮГ-Инвестбанк"</w:t>
      </w:r>
      <w:r w:rsidR="00E2020E" w:rsidRPr="004D25B5">
        <w:rPr>
          <w:sz w:val="28"/>
          <w:szCs w:val="28"/>
        </w:rPr>
        <w:t>,</w:t>
      </w:r>
      <w:r w:rsidR="00E6269C" w:rsidRPr="004D25B5">
        <w:rPr>
          <w:sz w:val="28"/>
          <w:szCs w:val="28"/>
        </w:rPr>
        <w:t xml:space="preserve"> </w:t>
      </w:r>
      <w:r w:rsidR="00AE6A0E" w:rsidRPr="004D25B5">
        <w:rPr>
          <w:sz w:val="28"/>
          <w:szCs w:val="28"/>
        </w:rPr>
        <w:t>которая связана</w:t>
      </w:r>
      <w:r w:rsidR="00E6269C" w:rsidRPr="004D25B5">
        <w:rPr>
          <w:sz w:val="28"/>
          <w:szCs w:val="28"/>
        </w:rPr>
        <w:t xml:space="preserve"> с </w:t>
      </w:r>
      <w:r w:rsidR="00AE6A0E" w:rsidRPr="004D25B5">
        <w:rPr>
          <w:sz w:val="28"/>
          <w:szCs w:val="28"/>
        </w:rPr>
        <w:t>у</w:t>
      </w:r>
      <w:r w:rsidR="00E6269C" w:rsidRPr="004D25B5">
        <w:rPr>
          <w:sz w:val="28"/>
          <w:szCs w:val="28"/>
        </w:rPr>
        <w:t>совершенствованием управления рыночными рисками коммерческим банком, а также решение снижения рыночного риска.</w:t>
      </w:r>
    </w:p>
    <w:p w14:paraId="12991D76" w14:textId="77777777" w:rsidR="00E6269C" w:rsidRPr="004D25B5" w:rsidRDefault="00E6269C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 xml:space="preserve">Для достижения </w:t>
      </w:r>
      <w:r w:rsidR="00AE6A0E" w:rsidRPr="004D25B5">
        <w:rPr>
          <w:sz w:val="28"/>
          <w:szCs w:val="28"/>
        </w:rPr>
        <w:t>данной цели предлагается решение</w:t>
      </w:r>
      <w:r w:rsidRPr="004D25B5">
        <w:rPr>
          <w:sz w:val="28"/>
          <w:szCs w:val="28"/>
        </w:rPr>
        <w:t xml:space="preserve"> сл</w:t>
      </w:r>
      <w:r w:rsidR="00AE6A0E" w:rsidRPr="004D25B5">
        <w:rPr>
          <w:sz w:val="28"/>
          <w:szCs w:val="28"/>
        </w:rPr>
        <w:t>едующих задач</w:t>
      </w:r>
      <w:r w:rsidRPr="004D25B5">
        <w:rPr>
          <w:sz w:val="28"/>
          <w:szCs w:val="28"/>
        </w:rPr>
        <w:t>:</w:t>
      </w:r>
    </w:p>
    <w:p w14:paraId="170BFC34" w14:textId="77777777" w:rsidR="00E6269C" w:rsidRPr="004D25B5" w:rsidRDefault="00E6269C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 xml:space="preserve">- </w:t>
      </w:r>
      <w:r w:rsidR="00AE6A0E" w:rsidRPr="004D25B5">
        <w:rPr>
          <w:sz w:val="28"/>
          <w:szCs w:val="28"/>
        </w:rPr>
        <w:t>провести анализ нормативных актов</w:t>
      </w:r>
      <w:r w:rsidRPr="004D25B5">
        <w:rPr>
          <w:sz w:val="28"/>
          <w:szCs w:val="28"/>
        </w:rPr>
        <w:t xml:space="preserve">, </w:t>
      </w:r>
      <w:r w:rsidR="00A47DB7" w:rsidRPr="004D25B5">
        <w:rPr>
          <w:sz w:val="28"/>
          <w:szCs w:val="28"/>
        </w:rPr>
        <w:t>которые связаны</w:t>
      </w:r>
      <w:r w:rsidRPr="004D25B5">
        <w:rPr>
          <w:sz w:val="28"/>
          <w:szCs w:val="28"/>
        </w:rPr>
        <w:t xml:space="preserve"> с управлением рыночными рисками;</w:t>
      </w:r>
    </w:p>
    <w:p w14:paraId="41D7238B" w14:textId="77777777" w:rsidR="00E6269C" w:rsidRPr="004D25B5" w:rsidRDefault="00E6269C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 xml:space="preserve">- </w:t>
      </w:r>
      <w:r w:rsidR="00A47DB7" w:rsidRPr="004D25B5">
        <w:rPr>
          <w:sz w:val="28"/>
          <w:szCs w:val="28"/>
        </w:rPr>
        <w:t>сделать вывод по</w:t>
      </w:r>
      <w:r w:rsidR="004D25B5">
        <w:rPr>
          <w:sz w:val="28"/>
          <w:szCs w:val="28"/>
        </w:rPr>
        <w:t xml:space="preserve"> </w:t>
      </w:r>
      <w:r w:rsidR="00A47DB7" w:rsidRPr="004D25B5">
        <w:rPr>
          <w:sz w:val="28"/>
          <w:szCs w:val="28"/>
        </w:rPr>
        <w:t>основным</w:t>
      </w:r>
      <w:r w:rsidRPr="004D25B5">
        <w:rPr>
          <w:sz w:val="28"/>
          <w:szCs w:val="28"/>
        </w:rPr>
        <w:t xml:space="preserve"> положени</w:t>
      </w:r>
      <w:r w:rsidR="00A47DB7" w:rsidRPr="004D25B5">
        <w:rPr>
          <w:sz w:val="28"/>
          <w:szCs w:val="28"/>
        </w:rPr>
        <w:t>ям</w:t>
      </w:r>
      <w:r w:rsidRPr="004D25B5">
        <w:rPr>
          <w:sz w:val="28"/>
          <w:szCs w:val="28"/>
        </w:rPr>
        <w:t xml:space="preserve"> науки управления банковскими рисками;</w:t>
      </w:r>
    </w:p>
    <w:p w14:paraId="757B5E5D" w14:textId="77777777" w:rsidR="00E6269C" w:rsidRPr="004D25B5" w:rsidRDefault="00E6269C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lastRenderedPageBreak/>
        <w:t xml:space="preserve">- </w:t>
      </w:r>
      <w:r w:rsidR="00A47DB7" w:rsidRPr="004D25B5">
        <w:rPr>
          <w:sz w:val="28"/>
          <w:szCs w:val="28"/>
        </w:rPr>
        <w:t>выдвинуть</w:t>
      </w:r>
      <w:r w:rsidRPr="004D25B5">
        <w:rPr>
          <w:sz w:val="28"/>
          <w:szCs w:val="28"/>
        </w:rPr>
        <w:t xml:space="preserve"> предложения</w:t>
      </w:r>
      <w:r w:rsidR="00A47DB7" w:rsidRPr="004D25B5">
        <w:rPr>
          <w:sz w:val="28"/>
          <w:szCs w:val="28"/>
        </w:rPr>
        <w:t>, связанные с обеспечением</w:t>
      </w:r>
      <w:r w:rsidRPr="004D25B5">
        <w:rPr>
          <w:sz w:val="28"/>
          <w:szCs w:val="28"/>
        </w:rPr>
        <w:t xml:space="preserve"> оптимального повышения эффективности работы коммерческих банков.</w:t>
      </w:r>
    </w:p>
    <w:p w14:paraId="18E011F2" w14:textId="77777777" w:rsidR="007B28A8" w:rsidRPr="004D25B5" w:rsidRDefault="00A47DB7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>Объект</w:t>
      </w:r>
      <w:r w:rsidR="00E6269C" w:rsidRPr="004D25B5">
        <w:rPr>
          <w:sz w:val="28"/>
          <w:szCs w:val="28"/>
        </w:rPr>
        <w:t xml:space="preserve"> исследования</w:t>
      </w:r>
      <w:r w:rsidR="00E2020E" w:rsidRPr="004D25B5">
        <w:rPr>
          <w:sz w:val="28"/>
          <w:szCs w:val="28"/>
        </w:rPr>
        <w:t xml:space="preserve"> </w:t>
      </w:r>
      <w:r w:rsidRPr="004D25B5">
        <w:rPr>
          <w:sz w:val="28"/>
          <w:szCs w:val="28"/>
        </w:rPr>
        <w:t>- это</w:t>
      </w:r>
      <w:r w:rsidR="00E6269C" w:rsidRPr="004D25B5">
        <w:rPr>
          <w:sz w:val="28"/>
          <w:szCs w:val="28"/>
        </w:rPr>
        <w:t xml:space="preserve"> рыночные риски.</w:t>
      </w:r>
    </w:p>
    <w:p w14:paraId="671D23A3" w14:textId="77777777" w:rsidR="00E6269C" w:rsidRPr="004D25B5" w:rsidRDefault="00A47DB7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>Предмет</w:t>
      </w:r>
      <w:r w:rsidR="00E2020E" w:rsidRPr="004D25B5">
        <w:rPr>
          <w:sz w:val="28"/>
          <w:szCs w:val="28"/>
        </w:rPr>
        <w:t xml:space="preserve"> исследования </w:t>
      </w:r>
      <w:r w:rsidRPr="004D25B5">
        <w:rPr>
          <w:sz w:val="28"/>
          <w:szCs w:val="28"/>
        </w:rPr>
        <w:t>– это методы</w:t>
      </w:r>
      <w:r w:rsidR="00E6269C" w:rsidRPr="004D25B5">
        <w:rPr>
          <w:sz w:val="28"/>
          <w:szCs w:val="28"/>
        </w:rPr>
        <w:t xml:space="preserve"> оценки и управления рыночными рисками.</w:t>
      </w:r>
    </w:p>
    <w:p w14:paraId="63ED234B" w14:textId="77777777" w:rsidR="00E6269C" w:rsidRPr="004D25B5" w:rsidRDefault="00A47DB7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5B5">
        <w:rPr>
          <w:sz w:val="28"/>
          <w:szCs w:val="28"/>
        </w:rPr>
        <w:t>В данной работе определены</w:t>
      </w:r>
      <w:r w:rsidR="00E6269C" w:rsidRPr="004D25B5">
        <w:rPr>
          <w:sz w:val="28"/>
          <w:szCs w:val="28"/>
        </w:rPr>
        <w:t xml:space="preserve"> общие и индивидуальные классификацио</w:t>
      </w:r>
      <w:r w:rsidR="008D3EC2" w:rsidRPr="004D25B5">
        <w:rPr>
          <w:sz w:val="28"/>
          <w:szCs w:val="28"/>
        </w:rPr>
        <w:t>нные признаки рыночных рисков, где о</w:t>
      </w:r>
      <w:r w:rsidR="00E6269C" w:rsidRPr="004D25B5">
        <w:rPr>
          <w:sz w:val="28"/>
          <w:szCs w:val="28"/>
        </w:rPr>
        <w:t>бщие</w:t>
      </w:r>
      <w:r w:rsidR="008D3EC2" w:rsidRPr="004D25B5">
        <w:rPr>
          <w:sz w:val="28"/>
          <w:szCs w:val="28"/>
        </w:rPr>
        <w:t xml:space="preserve"> делятся </w:t>
      </w:r>
      <w:r w:rsidR="00E6269C" w:rsidRPr="004D25B5">
        <w:rPr>
          <w:sz w:val="28"/>
          <w:szCs w:val="28"/>
        </w:rPr>
        <w:t xml:space="preserve">в зависимости от сферы возникновения, продуктов и операций, источника несбалансированности воздействия на прибыль, </w:t>
      </w:r>
      <w:r w:rsidR="008D3EC2" w:rsidRPr="004D25B5">
        <w:rPr>
          <w:sz w:val="28"/>
          <w:szCs w:val="28"/>
        </w:rPr>
        <w:t xml:space="preserve">а </w:t>
      </w:r>
      <w:r w:rsidR="00E6269C" w:rsidRPr="004D25B5">
        <w:rPr>
          <w:sz w:val="28"/>
          <w:szCs w:val="28"/>
        </w:rPr>
        <w:t>индивидуальные - по степени зависимости от рыночной ситуации, степени очевидности, объекту воздействия, уровням управления и другие.</w:t>
      </w:r>
    </w:p>
    <w:p w14:paraId="1B6FD07C" w14:textId="77777777" w:rsidR="00F32920" w:rsidRPr="004D25B5" w:rsidRDefault="00F32920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B9DEF87" w14:textId="77777777" w:rsidR="004D25B5" w:rsidRDefault="004D2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FAD6A6" w14:textId="77777777" w:rsidR="00990451" w:rsidRPr="00561A32" w:rsidRDefault="00990451" w:rsidP="00561A32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1A32">
        <w:rPr>
          <w:rFonts w:ascii="Times New Roman" w:hAnsi="Times New Roman"/>
          <w:b/>
          <w:caps/>
          <w:sz w:val="28"/>
          <w:szCs w:val="28"/>
        </w:rPr>
        <w:lastRenderedPageBreak/>
        <w:t>1. Теоретические особенности рыночного риска коммерческого банка</w:t>
      </w:r>
    </w:p>
    <w:p w14:paraId="06097886" w14:textId="77777777" w:rsidR="00697DA6" w:rsidRPr="00561A32" w:rsidRDefault="00990451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561A32">
        <w:rPr>
          <w:rFonts w:ascii="Times New Roman" w:hAnsi="Times New Roman"/>
          <w:b/>
          <w:caps/>
          <w:sz w:val="28"/>
          <w:szCs w:val="28"/>
        </w:rPr>
        <w:t xml:space="preserve">1.1 </w:t>
      </w:r>
      <w:r w:rsidR="00BE40FA">
        <w:rPr>
          <w:rFonts w:ascii="Times New Roman" w:hAnsi="Times New Roman"/>
          <w:b/>
          <w:sz w:val="28"/>
          <w:szCs w:val="28"/>
        </w:rPr>
        <w:t>Р</w:t>
      </w:r>
      <w:r w:rsidR="00561A32" w:rsidRPr="00561A32">
        <w:rPr>
          <w:rFonts w:ascii="Times New Roman" w:hAnsi="Times New Roman"/>
          <w:b/>
          <w:sz w:val="28"/>
          <w:szCs w:val="28"/>
        </w:rPr>
        <w:t>ыночный риск, понятие и классификация</w:t>
      </w:r>
    </w:p>
    <w:p w14:paraId="34615478" w14:textId="77777777" w:rsidR="000F0318" w:rsidRPr="004D25B5" w:rsidRDefault="000F0318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F24462" w14:textId="77777777" w:rsidR="000F0318" w:rsidRPr="004D25B5" w:rsidRDefault="00697DA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 xml:space="preserve">Рыночный риск </w:t>
      </w:r>
      <w:r w:rsidR="00490263" w:rsidRPr="004D25B5">
        <w:rPr>
          <w:rFonts w:ascii="Times New Roman" w:hAnsi="Times New Roman"/>
          <w:sz w:val="28"/>
          <w:szCs w:val="28"/>
        </w:rPr>
        <w:t>банк</w:t>
      </w:r>
      <w:r w:rsidR="00C16338" w:rsidRPr="004D25B5">
        <w:rPr>
          <w:rFonts w:ascii="Times New Roman" w:hAnsi="Times New Roman"/>
          <w:sz w:val="28"/>
          <w:szCs w:val="28"/>
        </w:rPr>
        <w:t>а,</w:t>
      </w:r>
      <w:r w:rsidR="00490263" w:rsidRPr="004D25B5">
        <w:rPr>
          <w:rFonts w:ascii="Times New Roman" w:hAnsi="Times New Roman"/>
          <w:sz w:val="28"/>
          <w:szCs w:val="28"/>
        </w:rPr>
        <w:t xml:space="preserve"> судя по наименованию «рыночный»</w:t>
      </w:r>
      <w:r w:rsidR="004D25B5">
        <w:rPr>
          <w:rFonts w:ascii="Times New Roman" w:hAnsi="Times New Roman"/>
          <w:sz w:val="28"/>
          <w:szCs w:val="28"/>
        </w:rPr>
        <w:t xml:space="preserve"> </w:t>
      </w:r>
      <w:r w:rsidR="00490263" w:rsidRPr="004D25B5">
        <w:rPr>
          <w:rFonts w:ascii="Times New Roman" w:hAnsi="Times New Roman"/>
          <w:sz w:val="28"/>
          <w:szCs w:val="28"/>
        </w:rPr>
        <w:t>связан с возникновением у банка риска</w:t>
      </w:r>
      <w:r w:rsidRPr="004D25B5">
        <w:rPr>
          <w:rFonts w:ascii="Times New Roman" w:hAnsi="Times New Roman"/>
          <w:sz w:val="28"/>
          <w:szCs w:val="28"/>
        </w:rPr>
        <w:t xml:space="preserve"> убытков</w:t>
      </w:r>
      <w:r w:rsidR="00490263" w:rsidRPr="004D25B5">
        <w:rPr>
          <w:rFonts w:ascii="Times New Roman" w:hAnsi="Times New Roman"/>
          <w:sz w:val="28"/>
          <w:szCs w:val="28"/>
        </w:rPr>
        <w:t>, причиной которых служат</w:t>
      </w:r>
      <w:r w:rsidRPr="004D25B5">
        <w:rPr>
          <w:rFonts w:ascii="Times New Roman" w:hAnsi="Times New Roman"/>
          <w:sz w:val="28"/>
          <w:szCs w:val="28"/>
        </w:rPr>
        <w:t xml:space="preserve"> </w:t>
      </w:r>
      <w:r w:rsidR="00490263" w:rsidRPr="004D25B5">
        <w:rPr>
          <w:rFonts w:ascii="Times New Roman" w:hAnsi="Times New Roman"/>
          <w:sz w:val="28"/>
          <w:szCs w:val="28"/>
        </w:rPr>
        <w:t>неблагоприятные</w:t>
      </w:r>
      <w:r w:rsidRPr="004D25B5">
        <w:rPr>
          <w:rFonts w:ascii="Times New Roman" w:hAnsi="Times New Roman"/>
          <w:sz w:val="28"/>
          <w:szCs w:val="28"/>
        </w:rPr>
        <w:t xml:space="preserve"> изменения рыночной стоимости финансовых инструментов торгового портфеля и производных финансовых инструментов кредитной организации, а также курсов иностранных валют и (или) драгоценных металлов. </w:t>
      </w:r>
      <w:r w:rsidR="00490263" w:rsidRPr="004D25B5">
        <w:rPr>
          <w:rFonts w:ascii="Times New Roman" w:hAnsi="Times New Roman"/>
          <w:sz w:val="28"/>
          <w:szCs w:val="28"/>
        </w:rPr>
        <w:t>Зависимость данного вида риска от рыночной конъюнктуры выделяет данный риск от других и делает его особым и уникальным.</w:t>
      </w:r>
    </w:p>
    <w:p w14:paraId="2D360D57" w14:textId="77777777" w:rsidR="000F0318" w:rsidRPr="004D25B5" w:rsidRDefault="00490263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В основе рыночного</w:t>
      </w:r>
      <w:r w:rsidR="00697DA6" w:rsidRPr="004D25B5">
        <w:rPr>
          <w:rFonts w:ascii="Times New Roman" w:hAnsi="Times New Roman"/>
          <w:sz w:val="28"/>
          <w:szCs w:val="28"/>
        </w:rPr>
        <w:t xml:space="preserve"> риск</w:t>
      </w:r>
      <w:r w:rsidRPr="004D25B5">
        <w:rPr>
          <w:rFonts w:ascii="Times New Roman" w:hAnsi="Times New Roman"/>
          <w:sz w:val="28"/>
          <w:szCs w:val="28"/>
        </w:rPr>
        <w:t>а</w:t>
      </w:r>
      <w:r w:rsidR="00697DA6" w:rsidRPr="004D25B5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лежит макроэкономическая природа</w:t>
      </w:r>
      <w:r w:rsidR="00697DA6" w:rsidRPr="004D25B5">
        <w:rPr>
          <w:rFonts w:ascii="Times New Roman" w:hAnsi="Times New Roman"/>
          <w:sz w:val="28"/>
          <w:szCs w:val="28"/>
        </w:rPr>
        <w:t xml:space="preserve">, </w:t>
      </w:r>
      <w:r w:rsidRPr="004D25B5">
        <w:rPr>
          <w:rFonts w:ascii="Times New Roman" w:hAnsi="Times New Roman"/>
          <w:sz w:val="28"/>
          <w:szCs w:val="28"/>
        </w:rPr>
        <w:t>что обозначает, что</w:t>
      </w:r>
      <w:r w:rsidR="00697DA6" w:rsidRPr="004D25B5">
        <w:rPr>
          <w:rFonts w:ascii="Times New Roman" w:hAnsi="Times New Roman"/>
          <w:sz w:val="28"/>
          <w:szCs w:val="28"/>
        </w:rPr>
        <w:t xml:space="preserve"> источниками рыночных рисков </w:t>
      </w:r>
      <w:r w:rsidRPr="004D25B5">
        <w:rPr>
          <w:rFonts w:ascii="Times New Roman" w:hAnsi="Times New Roman"/>
          <w:sz w:val="28"/>
          <w:szCs w:val="28"/>
        </w:rPr>
        <w:t xml:space="preserve">выступают </w:t>
      </w:r>
      <w:r w:rsidR="00697DA6" w:rsidRPr="004D25B5">
        <w:rPr>
          <w:rFonts w:ascii="Times New Roman" w:hAnsi="Times New Roman"/>
          <w:sz w:val="28"/>
          <w:szCs w:val="28"/>
        </w:rPr>
        <w:t xml:space="preserve">макроэкономические показатели финансовой системы (индексы рынков, кривые процентных ставок и </w:t>
      </w:r>
      <w:r w:rsidRPr="004D25B5">
        <w:rPr>
          <w:rFonts w:ascii="Times New Roman" w:hAnsi="Times New Roman"/>
          <w:sz w:val="28"/>
          <w:szCs w:val="28"/>
        </w:rPr>
        <w:t>др.</w:t>
      </w:r>
      <w:r w:rsidR="00697DA6" w:rsidRPr="004D25B5">
        <w:rPr>
          <w:rFonts w:ascii="Times New Roman" w:hAnsi="Times New Roman"/>
          <w:sz w:val="28"/>
          <w:szCs w:val="28"/>
        </w:rPr>
        <w:t>).</w:t>
      </w:r>
    </w:p>
    <w:p w14:paraId="0DAA7CC1" w14:textId="77777777" w:rsidR="000F0318" w:rsidRPr="004D25B5" w:rsidRDefault="00490263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Рассмотрим</w:t>
      </w:r>
      <w:r w:rsidR="00697DA6" w:rsidRPr="004D25B5">
        <w:rPr>
          <w:rFonts w:ascii="Times New Roman" w:hAnsi="Times New Roman"/>
          <w:sz w:val="28"/>
          <w:szCs w:val="28"/>
        </w:rPr>
        <w:t xml:space="preserve"> три стандартных формы рыночных рисков</w:t>
      </w:r>
      <w:r w:rsidRPr="004D25B5">
        <w:rPr>
          <w:rFonts w:ascii="Times New Roman" w:hAnsi="Times New Roman"/>
          <w:sz w:val="28"/>
          <w:szCs w:val="28"/>
        </w:rPr>
        <w:t>, среди которых</w:t>
      </w:r>
      <w:r w:rsidR="00697DA6" w:rsidRPr="004D25B5">
        <w:rPr>
          <w:rFonts w:ascii="Times New Roman" w:hAnsi="Times New Roman"/>
          <w:sz w:val="28"/>
          <w:szCs w:val="28"/>
        </w:rPr>
        <w:t>:</w:t>
      </w:r>
    </w:p>
    <w:p w14:paraId="6080A9CA" w14:textId="77777777" w:rsidR="000F0318" w:rsidRPr="004D25B5" w:rsidRDefault="00490263" w:rsidP="004D25B5">
      <w:pPr>
        <w:pStyle w:val="a7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Ц</w:t>
      </w:r>
      <w:r w:rsidR="00697DA6" w:rsidRPr="004D25B5">
        <w:rPr>
          <w:rFonts w:ascii="Times New Roman" w:hAnsi="Times New Roman"/>
          <w:sz w:val="28"/>
          <w:szCs w:val="28"/>
        </w:rPr>
        <w:t xml:space="preserve">еновой риск — </w:t>
      </w:r>
      <w:r w:rsidR="0038702E" w:rsidRPr="004D25B5">
        <w:rPr>
          <w:rFonts w:ascii="Times New Roman" w:hAnsi="Times New Roman"/>
          <w:sz w:val="28"/>
          <w:szCs w:val="28"/>
        </w:rPr>
        <w:t>содержит в себе</w:t>
      </w:r>
      <w:r w:rsidR="00697DA6" w:rsidRPr="004D25B5">
        <w:rPr>
          <w:rFonts w:ascii="Times New Roman" w:hAnsi="Times New Roman"/>
          <w:sz w:val="28"/>
          <w:szCs w:val="28"/>
        </w:rPr>
        <w:t xml:space="preserve"> фондовый риск (риск</w:t>
      </w:r>
      <w:r w:rsidR="0038702E" w:rsidRPr="004D25B5">
        <w:rPr>
          <w:rFonts w:ascii="Times New Roman" w:hAnsi="Times New Roman"/>
          <w:sz w:val="28"/>
          <w:szCs w:val="28"/>
        </w:rPr>
        <w:t>, который связан со снижением</w:t>
      </w:r>
      <w:r w:rsidR="00697DA6" w:rsidRPr="004D25B5">
        <w:rPr>
          <w:rFonts w:ascii="Times New Roman" w:hAnsi="Times New Roman"/>
          <w:sz w:val="28"/>
          <w:szCs w:val="28"/>
        </w:rPr>
        <w:t xml:space="preserve"> стоимости ценных бумаг) и товарный риск (риск изменения цен </w:t>
      </w:r>
      <w:r w:rsidR="0038702E" w:rsidRPr="004D25B5">
        <w:rPr>
          <w:rFonts w:ascii="Times New Roman" w:hAnsi="Times New Roman"/>
          <w:sz w:val="28"/>
          <w:szCs w:val="28"/>
        </w:rPr>
        <w:t>на товары</w:t>
      </w:r>
      <w:r w:rsidR="00697DA6" w:rsidRPr="004D25B5">
        <w:rPr>
          <w:rFonts w:ascii="Times New Roman" w:hAnsi="Times New Roman"/>
          <w:sz w:val="28"/>
          <w:szCs w:val="28"/>
        </w:rPr>
        <w:t>);</w:t>
      </w:r>
    </w:p>
    <w:p w14:paraId="42FE94A2" w14:textId="77777777" w:rsidR="000F0318" w:rsidRPr="004D25B5" w:rsidRDefault="00490263" w:rsidP="004D25B5">
      <w:pPr>
        <w:pStyle w:val="a7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В</w:t>
      </w:r>
      <w:r w:rsidR="00697DA6" w:rsidRPr="004D25B5">
        <w:rPr>
          <w:rFonts w:ascii="Times New Roman" w:hAnsi="Times New Roman"/>
          <w:sz w:val="28"/>
          <w:szCs w:val="28"/>
        </w:rPr>
        <w:t xml:space="preserve">алютный риск — </w:t>
      </w:r>
      <w:r w:rsidR="00B41C70" w:rsidRPr="004D25B5">
        <w:rPr>
          <w:rFonts w:ascii="Times New Roman" w:hAnsi="Times New Roman"/>
          <w:sz w:val="28"/>
          <w:szCs w:val="28"/>
        </w:rPr>
        <w:t xml:space="preserve">это </w:t>
      </w:r>
      <w:r w:rsidR="00697DA6" w:rsidRPr="004D25B5">
        <w:rPr>
          <w:rFonts w:ascii="Times New Roman" w:hAnsi="Times New Roman"/>
          <w:sz w:val="28"/>
          <w:szCs w:val="28"/>
        </w:rPr>
        <w:t>риск</w:t>
      </w:r>
      <w:r w:rsidR="00B41C70" w:rsidRPr="004D25B5">
        <w:rPr>
          <w:rFonts w:ascii="Times New Roman" w:hAnsi="Times New Roman"/>
          <w:sz w:val="28"/>
          <w:szCs w:val="28"/>
        </w:rPr>
        <w:t>, связанный с возникновением</w:t>
      </w:r>
      <w:r w:rsidR="00697DA6" w:rsidRPr="004D25B5">
        <w:rPr>
          <w:rFonts w:ascii="Times New Roman" w:hAnsi="Times New Roman"/>
          <w:sz w:val="28"/>
          <w:szCs w:val="28"/>
        </w:rPr>
        <w:t xml:space="preserve"> потерь, </w:t>
      </w:r>
      <w:r w:rsidR="00B41C70" w:rsidRPr="004D25B5">
        <w:rPr>
          <w:rFonts w:ascii="Times New Roman" w:hAnsi="Times New Roman"/>
          <w:sz w:val="28"/>
          <w:szCs w:val="28"/>
        </w:rPr>
        <w:t>которые связаны</w:t>
      </w:r>
      <w:r w:rsidR="00697DA6" w:rsidRPr="004D25B5">
        <w:rPr>
          <w:rFonts w:ascii="Times New Roman" w:hAnsi="Times New Roman"/>
          <w:sz w:val="28"/>
          <w:szCs w:val="28"/>
        </w:rPr>
        <w:t xml:space="preserve"> с </w:t>
      </w:r>
      <w:r w:rsidR="00B41C70" w:rsidRPr="004D25B5">
        <w:rPr>
          <w:rFonts w:ascii="Times New Roman" w:hAnsi="Times New Roman"/>
          <w:sz w:val="28"/>
          <w:szCs w:val="28"/>
        </w:rPr>
        <w:t>возникновением неблагоприятных изменений</w:t>
      </w:r>
      <w:r w:rsidR="00697DA6" w:rsidRPr="004D25B5">
        <w:rPr>
          <w:rFonts w:ascii="Times New Roman" w:hAnsi="Times New Roman"/>
          <w:sz w:val="28"/>
          <w:szCs w:val="28"/>
        </w:rPr>
        <w:t xml:space="preserve"> курсов иностранных валют и драгоценных металлов по открытым позициям в иностранных валютах и драгоценных металлах;</w:t>
      </w:r>
    </w:p>
    <w:p w14:paraId="3B98D40F" w14:textId="77777777" w:rsidR="000F0318" w:rsidRPr="004D25B5" w:rsidRDefault="00490263" w:rsidP="004D25B5">
      <w:pPr>
        <w:pStyle w:val="a7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П</w:t>
      </w:r>
      <w:r w:rsidR="00697DA6" w:rsidRPr="004D25B5">
        <w:rPr>
          <w:rFonts w:ascii="Times New Roman" w:hAnsi="Times New Roman"/>
          <w:sz w:val="28"/>
          <w:szCs w:val="28"/>
        </w:rPr>
        <w:t xml:space="preserve">роцентный риск — </w:t>
      </w:r>
      <w:r w:rsidR="00B41C70" w:rsidRPr="004D25B5">
        <w:rPr>
          <w:rFonts w:ascii="Times New Roman" w:hAnsi="Times New Roman"/>
          <w:sz w:val="28"/>
          <w:szCs w:val="28"/>
        </w:rPr>
        <w:t xml:space="preserve">это </w:t>
      </w:r>
      <w:r w:rsidR="00697DA6" w:rsidRPr="004D25B5">
        <w:rPr>
          <w:rFonts w:ascii="Times New Roman" w:hAnsi="Times New Roman"/>
          <w:sz w:val="28"/>
          <w:szCs w:val="28"/>
        </w:rPr>
        <w:t>риск</w:t>
      </w:r>
      <w:r w:rsidR="00B41C70" w:rsidRPr="004D25B5">
        <w:rPr>
          <w:rFonts w:ascii="Times New Roman" w:hAnsi="Times New Roman"/>
          <w:sz w:val="28"/>
          <w:szCs w:val="28"/>
        </w:rPr>
        <w:t>, связанный с возникновением</w:t>
      </w:r>
      <w:r w:rsidR="00697DA6" w:rsidRPr="004D25B5">
        <w:rPr>
          <w:rFonts w:ascii="Times New Roman" w:hAnsi="Times New Roman"/>
          <w:sz w:val="28"/>
          <w:szCs w:val="28"/>
        </w:rPr>
        <w:t xml:space="preserve"> возможных потерь</w:t>
      </w:r>
      <w:r w:rsidR="00B41C70" w:rsidRPr="004D25B5">
        <w:rPr>
          <w:rFonts w:ascii="Times New Roman" w:hAnsi="Times New Roman"/>
          <w:sz w:val="28"/>
          <w:szCs w:val="28"/>
        </w:rPr>
        <w:t>, которые имеют место</w:t>
      </w:r>
      <w:r w:rsidR="00697DA6" w:rsidRPr="004D25B5">
        <w:rPr>
          <w:rFonts w:ascii="Times New Roman" w:hAnsi="Times New Roman"/>
          <w:sz w:val="28"/>
          <w:szCs w:val="28"/>
        </w:rPr>
        <w:t xml:space="preserve"> </w:t>
      </w:r>
      <w:r w:rsidR="00B41C70" w:rsidRPr="004D25B5">
        <w:rPr>
          <w:rFonts w:ascii="Times New Roman" w:hAnsi="Times New Roman"/>
          <w:sz w:val="28"/>
          <w:szCs w:val="28"/>
        </w:rPr>
        <w:t>из-за</w:t>
      </w:r>
      <w:r w:rsidR="00697DA6" w:rsidRPr="004D25B5">
        <w:rPr>
          <w:rFonts w:ascii="Times New Roman" w:hAnsi="Times New Roman"/>
          <w:sz w:val="28"/>
          <w:szCs w:val="28"/>
        </w:rPr>
        <w:t xml:space="preserve"> неблагоприятного изменения процентных ставок по активам, пассивам и внебалансовым инструментам банка.</w:t>
      </w:r>
    </w:p>
    <w:p w14:paraId="710C08AE" w14:textId="77777777" w:rsidR="00B41C70" w:rsidRPr="004D25B5" w:rsidRDefault="00B41C70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Данными видами риска можно и необходимо управлять в целях эффективного функционирования банка на современном рыночном пространстве.</w:t>
      </w:r>
    </w:p>
    <w:p w14:paraId="75B5F51E" w14:textId="77777777" w:rsidR="000F0318" w:rsidRPr="004D25B5" w:rsidRDefault="00B41C70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lastRenderedPageBreak/>
        <w:t>Управление</w:t>
      </w:r>
      <w:r w:rsidR="00697DA6" w:rsidRPr="004D25B5">
        <w:rPr>
          <w:rFonts w:ascii="Times New Roman" w:hAnsi="Times New Roman"/>
          <w:sz w:val="28"/>
          <w:szCs w:val="28"/>
        </w:rPr>
        <w:t xml:space="preserve"> рыночными рисками </w:t>
      </w:r>
      <w:r w:rsidRPr="004D25B5">
        <w:rPr>
          <w:rFonts w:ascii="Times New Roman" w:hAnsi="Times New Roman"/>
          <w:sz w:val="28"/>
          <w:szCs w:val="28"/>
        </w:rPr>
        <w:t>включает в себя</w:t>
      </w:r>
      <w:r w:rsidR="00697DA6" w:rsidRPr="004D25B5">
        <w:rPr>
          <w:rFonts w:ascii="Times New Roman" w:hAnsi="Times New Roman"/>
          <w:sz w:val="28"/>
          <w:szCs w:val="28"/>
        </w:rPr>
        <w:t xml:space="preserve"> механизм</w:t>
      </w:r>
      <w:r w:rsidRPr="004D25B5">
        <w:rPr>
          <w:rFonts w:ascii="Times New Roman" w:hAnsi="Times New Roman"/>
          <w:sz w:val="28"/>
          <w:szCs w:val="28"/>
        </w:rPr>
        <w:t>, связанный с</w:t>
      </w:r>
      <w:r w:rsidR="004D25B5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ограничением</w:t>
      </w:r>
      <w:r w:rsidR="00697DA6" w:rsidRPr="004D25B5">
        <w:rPr>
          <w:rFonts w:ascii="Times New Roman" w:hAnsi="Times New Roman"/>
          <w:sz w:val="28"/>
          <w:szCs w:val="28"/>
        </w:rPr>
        <w:t xml:space="preserve"> величины возможных потерь по открытым позициям, которые могут быть понесены банком за установленный период времени с заданной вероятностью, путем установления системы соответствующих лимитов на каждый вид проводимых операций и способов контроля над соблюдением принятой системы лимитов. </w:t>
      </w:r>
      <w:r w:rsidR="002A7970" w:rsidRPr="004D25B5">
        <w:rPr>
          <w:rFonts w:ascii="Times New Roman" w:hAnsi="Times New Roman"/>
          <w:sz w:val="28"/>
          <w:szCs w:val="28"/>
        </w:rPr>
        <w:t>П</w:t>
      </w:r>
      <w:r w:rsidR="00697DA6" w:rsidRPr="004D25B5">
        <w:rPr>
          <w:rFonts w:ascii="Times New Roman" w:hAnsi="Times New Roman"/>
          <w:sz w:val="28"/>
          <w:szCs w:val="28"/>
        </w:rPr>
        <w:t>отери могут возникнуть</w:t>
      </w:r>
      <w:r w:rsidR="002A7970" w:rsidRPr="004D25B5">
        <w:rPr>
          <w:rFonts w:ascii="Times New Roman" w:hAnsi="Times New Roman"/>
          <w:sz w:val="28"/>
          <w:szCs w:val="28"/>
        </w:rPr>
        <w:t xml:space="preserve"> по различным причинам, описанным выше, а именно:</w:t>
      </w:r>
      <w:r w:rsidR="00697DA6" w:rsidRPr="004D25B5">
        <w:rPr>
          <w:rFonts w:ascii="Times New Roman" w:hAnsi="Times New Roman"/>
          <w:sz w:val="28"/>
          <w:szCs w:val="28"/>
        </w:rPr>
        <w:t xml:space="preserve"> из-за неблагоприятного движения курсов иностранных валют и курсов драгоценных металлов, котировок ценных бумаг, процентных ставок. </w:t>
      </w:r>
      <w:r w:rsidR="002A7970" w:rsidRPr="004D25B5">
        <w:rPr>
          <w:rFonts w:ascii="Times New Roman" w:hAnsi="Times New Roman"/>
          <w:sz w:val="28"/>
          <w:szCs w:val="28"/>
        </w:rPr>
        <w:t>Механизмы у</w:t>
      </w:r>
      <w:r w:rsidR="00697DA6" w:rsidRPr="004D25B5">
        <w:rPr>
          <w:rFonts w:ascii="Times New Roman" w:hAnsi="Times New Roman"/>
          <w:sz w:val="28"/>
          <w:szCs w:val="28"/>
        </w:rPr>
        <w:t xml:space="preserve">правления рыночными рисками </w:t>
      </w:r>
      <w:r w:rsidR="002A7970" w:rsidRPr="004D25B5">
        <w:rPr>
          <w:rFonts w:ascii="Times New Roman" w:hAnsi="Times New Roman"/>
          <w:sz w:val="28"/>
          <w:szCs w:val="28"/>
        </w:rPr>
        <w:t>помогут</w:t>
      </w:r>
      <w:r w:rsidR="00697DA6" w:rsidRPr="004D25B5">
        <w:rPr>
          <w:rFonts w:ascii="Times New Roman" w:hAnsi="Times New Roman"/>
          <w:sz w:val="28"/>
          <w:szCs w:val="28"/>
        </w:rPr>
        <w:t xml:space="preserve"> финансовым институтам: использовать </w:t>
      </w:r>
      <w:r w:rsidR="002A7970" w:rsidRPr="004D25B5">
        <w:rPr>
          <w:rFonts w:ascii="Times New Roman" w:hAnsi="Times New Roman"/>
          <w:sz w:val="28"/>
          <w:szCs w:val="28"/>
        </w:rPr>
        <w:t>необходимые</w:t>
      </w:r>
      <w:r w:rsidR="00697DA6" w:rsidRPr="004D25B5">
        <w:rPr>
          <w:rFonts w:ascii="Times New Roman" w:hAnsi="Times New Roman"/>
          <w:sz w:val="28"/>
          <w:szCs w:val="28"/>
        </w:rPr>
        <w:t xml:space="preserve"> процедуры оценки рыночных рисков; количественно выразить рыночный риск в той форме, которая дает возможность легко сравнить его с другими видами рисков, что позволит определять доходность бизнес-подразделений с учетом риска и принимать обоснованные решения по стратегическом</w:t>
      </w:r>
      <w:r w:rsidR="000F0318" w:rsidRPr="004D25B5">
        <w:rPr>
          <w:rFonts w:ascii="Times New Roman" w:hAnsi="Times New Roman"/>
          <w:sz w:val="28"/>
          <w:szCs w:val="28"/>
        </w:rPr>
        <w:t xml:space="preserve">у развитию этих подразделений; </w:t>
      </w:r>
      <w:r w:rsidR="00697DA6" w:rsidRPr="004D25B5">
        <w:rPr>
          <w:rFonts w:ascii="Times New Roman" w:hAnsi="Times New Roman"/>
          <w:sz w:val="28"/>
          <w:szCs w:val="28"/>
        </w:rPr>
        <w:t xml:space="preserve">разработать способы снижения рыночного риска; принимать обоснованные решения на основании полной информации по управлению портфелем, диверсификации финансовых инструментов </w:t>
      </w:r>
      <w:r w:rsidR="002A7970" w:rsidRPr="004D25B5">
        <w:rPr>
          <w:rFonts w:ascii="Times New Roman" w:hAnsi="Times New Roman"/>
          <w:sz w:val="28"/>
          <w:szCs w:val="28"/>
        </w:rPr>
        <w:t>и хеджирования рыночных рисков и др.</w:t>
      </w:r>
    </w:p>
    <w:p w14:paraId="60896E1E" w14:textId="77777777" w:rsidR="002A7970" w:rsidRPr="004D25B5" w:rsidRDefault="002A7970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52563C" w14:textId="77777777" w:rsidR="000F0318" w:rsidRPr="00561A32" w:rsidRDefault="000F0318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561A32">
        <w:rPr>
          <w:rFonts w:ascii="Times New Roman" w:hAnsi="Times New Roman"/>
          <w:b/>
          <w:caps/>
          <w:sz w:val="28"/>
          <w:szCs w:val="28"/>
        </w:rPr>
        <w:t xml:space="preserve">1.2 </w:t>
      </w:r>
      <w:r w:rsidR="00BE40FA">
        <w:rPr>
          <w:rFonts w:ascii="Times New Roman" w:hAnsi="Times New Roman"/>
          <w:b/>
          <w:sz w:val="28"/>
          <w:szCs w:val="28"/>
        </w:rPr>
        <w:t>М</w:t>
      </w:r>
      <w:r w:rsidR="00561A32" w:rsidRPr="00561A32">
        <w:rPr>
          <w:rFonts w:ascii="Times New Roman" w:hAnsi="Times New Roman"/>
          <w:b/>
          <w:sz w:val="28"/>
          <w:szCs w:val="28"/>
        </w:rPr>
        <w:t>етоды оценки риска в коммерческом банке</w:t>
      </w:r>
    </w:p>
    <w:p w14:paraId="58C2ED66" w14:textId="77777777" w:rsidR="000F0318" w:rsidRPr="004D25B5" w:rsidRDefault="000F0318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1A4556" w14:textId="77777777" w:rsidR="000F0318" w:rsidRPr="004D25B5" w:rsidRDefault="00C16338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Есть множество различных методик</w:t>
      </w:r>
      <w:r w:rsidR="00697DA6" w:rsidRPr="004D25B5">
        <w:rPr>
          <w:rFonts w:ascii="Times New Roman" w:hAnsi="Times New Roman"/>
          <w:sz w:val="28"/>
          <w:szCs w:val="28"/>
        </w:rPr>
        <w:t xml:space="preserve"> оц</w:t>
      </w:r>
      <w:r w:rsidR="000F0318" w:rsidRPr="004D25B5">
        <w:rPr>
          <w:rFonts w:ascii="Times New Roman" w:hAnsi="Times New Roman"/>
          <w:sz w:val="28"/>
          <w:szCs w:val="28"/>
        </w:rPr>
        <w:t>енки возможных потерь по финан</w:t>
      </w:r>
      <w:r w:rsidR="00697DA6" w:rsidRPr="004D25B5">
        <w:rPr>
          <w:rFonts w:ascii="Times New Roman" w:hAnsi="Times New Roman"/>
          <w:sz w:val="28"/>
          <w:szCs w:val="28"/>
        </w:rPr>
        <w:t>совым инструментам и портфелям</w:t>
      </w:r>
      <w:r w:rsidRPr="004D25B5">
        <w:rPr>
          <w:rFonts w:ascii="Times New Roman" w:hAnsi="Times New Roman"/>
          <w:sz w:val="28"/>
          <w:szCs w:val="28"/>
        </w:rPr>
        <w:t>, среди которых к основным можно отнести</w:t>
      </w:r>
      <w:r w:rsidR="00697DA6" w:rsidRPr="004D25B5">
        <w:rPr>
          <w:rFonts w:ascii="Times New Roman" w:hAnsi="Times New Roman"/>
          <w:sz w:val="28"/>
          <w:szCs w:val="28"/>
        </w:rPr>
        <w:t>:</w:t>
      </w:r>
    </w:p>
    <w:p w14:paraId="0FE2C192" w14:textId="77777777" w:rsidR="000F0318" w:rsidRPr="004D25B5" w:rsidRDefault="00697DA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• VaR (Value-at-Risk — «стоимость под риском»)</w:t>
      </w:r>
    </w:p>
    <w:p w14:paraId="0928C2E7" w14:textId="77777777" w:rsidR="000F0318" w:rsidRPr="004D25B5" w:rsidRDefault="00697DA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• Shortfall • Аналитические подходы (например, дельта-гамма подход)</w:t>
      </w:r>
    </w:p>
    <w:p w14:paraId="7BC9C89E" w14:textId="77777777" w:rsidR="000F0318" w:rsidRPr="004D25B5" w:rsidRDefault="00697DA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• Stress Testing (новая методика).</w:t>
      </w:r>
    </w:p>
    <w:p w14:paraId="07225827" w14:textId="77777777" w:rsidR="005031CE" w:rsidRPr="004D25B5" w:rsidRDefault="00C16338" w:rsidP="00561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В данной работе более подробно р</w:t>
      </w:r>
      <w:r w:rsidR="00697DA6" w:rsidRPr="004D25B5">
        <w:rPr>
          <w:rFonts w:ascii="Times New Roman" w:hAnsi="Times New Roman"/>
          <w:sz w:val="28"/>
          <w:szCs w:val="28"/>
        </w:rPr>
        <w:t xml:space="preserve">ассмотрим наиболее распространенный </w:t>
      </w:r>
      <w:r w:rsidRPr="004D25B5">
        <w:rPr>
          <w:rFonts w:ascii="Times New Roman" w:hAnsi="Times New Roman"/>
          <w:sz w:val="28"/>
          <w:szCs w:val="28"/>
        </w:rPr>
        <w:t xml:space="preserve">первый </w:t>
      </w:r>
      <w:r w:rsidR="00697DA6" w:rsidRPr="004D25B5">
        <w:rPr>
          <w:rFonts w:ascii="Times New Roman" w:hAnsi="Times New Roman"/>
          <w:sz w:val="28"/>
          <w:szCs w:val="28"/>
        </w:rPr>
        <w:t xml:space="preserve">метод </w:t>
      </w:r>
      <w:r w:rsidRPr="004D25B5">
        <w:rPr>
          <w:rFonts w:ascii="Times New Roman" w:hAnsi="Times New Roman"/>
          <w:sz w:val="28"/>
          <w:szCs w:val="28"/>
        </w:rPr>
        <w:t>— VaR, который представляет собой выраженную в денежных единицах базовой валюты оценку</w:t>
      </w:r>
      <w:r w:rsidR="00697DA6" w:rsidRPr="004D25B5">
        <w:rPr>
          <w:rFonts w:ascii="Times New Roman" w:hAnsi="Times New Roman"/>
          <w:sz w:val="28"/>
          <w:szCs w:val="28"/>
        </w:rPr>
        <w:t xml:space="preserve"> величины, </w:t>
      </w:r>
      <w:r w:rsidR="00697DA6" w:rsidRPr="004D25B5">
        <w:rPr>
          <w:rFonts w:ascii="Times New Roman" w:hAnsi="Times New Roman"/>
          <w:sz w:val="28"/>
          <w:szCs w:val="28"/>
        </w:rPr>
        <w:lastRenderedPageBreak/>
        <w:t>которую не превысят ожидаемые</w:t>
      </w:r>
      <w:r w:rsidR="000F0318" w:rsidRPr="004D25B5">
        <w:rPr>
          <w:rFonts w:ascii="Times New Roman" w:hAnsi="Times New Roman"/>
          <w:sz w:val="28"/>
          <w:szCs w:val="28"/>
        </w:rPr>
        <w:t xml:space="preserve"> в течение данного периода вре</w:t>
      </w:r>
      <w:r w:rsidR="00697DA6" w:rsidRPr="004D25B5">
        <w:rPr>
          <w:rFonts w:ascii="Times New Roman" w:hAnsi="Times New Roman"/>
          <w:sz w:val="28"/>
          <w:szCs w:val="28"/>
        </w:rPr>
        <w:t>мени (временной горизонт) потери с задан</w:t>
      </w:r>
      <w:r w:rsidR="000F0318" w:rsidRPr="004D25B5">
        <w:rPr>
          <w:rFonts w:ascii="Times New Roman" w:hAnsi="Times New Roman"/>
          <w:sz w:val="28"/>
          <w:szCs w:val="28"/>
        </w:rPr>
        <w:t>ной вероятностью (уровень дове</w:t>
      </w:r>
      <w:r w:rsidRPr="004D25B5">
        <w:rPr>
          <w:rFonts w:ascii="Times New Roman" w:hAnsi="Times New Roman"/>
          <w:sz w:val="28"/>
          <w:szCs w:val="28"/>
        </w:rPr>
        <w:t>рия). База</w:t>
      </w:r>
      <w:r w:rsidR="00697DA6" w:rsidRPr="004D25B5">
        <w:rPr>
          <w:rFonts w:ascii="Times New Roman" w:hAnsi="Times New Roman"/>
          <w:sz w:val="28"/>
          <w:szCs w:val="28"/>
        </w:rPr>
        <w:t xml:space="preserve"> для оценки VaR </w:t>
      </w:r>
      <w:r w:rsidRPr="004D25B5">
        <w:rPr>
          <w:rFonts w:ascii="Times New Roman" w:hAnsi="Times New Roman"/>
          <w:sz w:val="28"/>
          <w:szCs w:val="28"/>
        </w:rPr>
        <w:t>- это</w:t>
      </w:r>
      <w:r w:rsidR="00697DA6" w:rsidRPr="004D25B5">
        <w:rPr>
          <w:rFonts w:ascii="Times New Roman" w:hAnsi="Times New Roman"/>
          <w:sz w:val="28"/>
          <w:szCs w:val="28"/>
        </w:rPr>
        <w:t xml:space="preserve"> динамика курсов и цен инструментов за </w:t>
      </w:r>
      <w:r w:rsidRPr="004D25B5">
        <w:rPr>
          <w:rFonts w:ascii="Times New Roman" w:hAnsi="Times New Roman"/>
          <w:sz w:val="28"/>
          <w:szCs w:val="28"/>
        </w:rPr>
        <w:t>определенный</w:t>
      </w:r>
      <w:r w:rsidR="00697DA6" w:rsidRPr="004D25B5">
        <w:rPr>
          <w:rFonts w:ascii="Times New Roman" w:hAnsi="Times New Roman"/>
          <w:sz w:val="28"/>
          <w:szCs w:val="28"/>
        </w:rPr>
        <w:t xml:space="preserve"> период времени в прошлом. Временной горизонт </w:t>
      </w:r>
      <w:r w:rsidRPr="004D25B5">
        <w:rPr>
          <w:rFonts w:ascii="Times New Roman" w:hAnsi="Times New Roman"/>
          <w:sz w:val="28"/>
          <w:szCs w:val="28"/>
        </w:rPr>
        <w:t>в основном выбирают</w:t>
      </w:r>
      <w:r w:rsidR="00697DA6" w:rsidRPr="004D25B5">
        <w:rPr>
          <w:rFonts w:ascii="Times New Roman" w:hAnsi="Times New Roman"/>
          <w:sz w:val="28"/>
          <w:szCs w:val="28"/>
        </w:rPr>
        <w:t xml:space="preserve"> ис</w:t>
      </w:r>
      <w:r w:rsidR="000F0318" w:rsidRPr="004D25B5">
        <w:rPr>
          <w:rFonts w:ascii="Times New Roman" w:hAnsi="Times New Roman"/>
          <w:sz w:val="28"/>
          <w:szCs w:val="28"/>
        </w:rPr>
        <w:t>ходя из срока нахождения финан</w:t>
      </w:r>
      <w:r w:rsidR="00697DA6" w:rsidRPr="004D25B5">
        <w:rPr>
          <w:rFonts w:ascii="Times New Roman" w:hAnsi="Times New Roman"/>
          <w:sz w:val="28"/>
          <w:szCs w:val="28"/>
        </w:rPr>
        <w:t>сового инструмента в портфеле или его л</w:t>
      </w:r>
      <w:r w:rsidR="000F0318" w:rsidRPr="004D25B5">
        <w:rPr>
          <w:rFonts w:ascii="Times New Roman" w:hAnsi="Times New Roman"/>
          <w:sz w:val="28"/>
          <w:szCs w:val="28"/>
        </w:rPr>
        <w:t>иквидности, исходя из минималь</w:t>
      </w:r>
      <w:r w:rsidR="00697DA6" w:rsidRPr="004D25B5">
        <w:rPr>
          <w:rFonts w:ascii="Times New Roman" w:hAnsi="Times New Roman"/>
          <w:sz w:val="28"/>
          <w:szCs w:val="28"/>
        </w:rPr>
        <w:t>ного реального срока, на протяжении которого можно реализовать на рынке данный инструмент без существенного у</w:t>
      </w:r>
      <w:r w:rsidR="000F0318" w:rsidRPr="004D25B5">
        <w:rPr>
          <w:rFonts w:ascii="Times New Roman" w:hAnsi="Times New Roman"/>
          <w:sz w:val="28"/>
          <w:szCs w:val="28"/>
        </w:rPr>
        <w:t>бытка. Временной горизонт изме</w:t>
      </w:r>
      <w:r w:rsidR="00697DA6" w:rsidRPr="004D25B5">
        <w:rPr>
          <w:rFonts w:ascii="Times New Roman" w:hAnsi="Times New Roman"/>
          <w:sz w:val="28"/>
          <w:szCs w:val="28"/>
        </w:rPr>
        <w:t xml:space="preserve">ряется </w:t>
      </w:r>
      <w:r w:rsidRPr="004D25B5">
        <w:rPr>
          <w:rFonts w:ascii="Times New Roman" w:hAnsi="Times New Roman"/>
          <w:sz w:val="28"/>
          <w:szCs w:val="28"/>
        </w:rPr>
        <w:t>в рабочих или торговых днях</w:t>
      </w:r>
      <w:r w:rsidR="00697DA6" w:rsidRPr="004D25B5">
        <w:rPr>
          <w:rFonts w:ascii="Times New Roman" w:hAnsi="Times New Roman"/>
          <w:sz w:val="28"/>
          <w:szCs w:val="28"/>
        </w:rPr>
        <w:t>. Уровень доверия, или вероятность, выбир</w:t>
      </w:r>
      <w:r w:rsidR="000F0318" w:rsidRPr="004D25B5">
        <w:rPr>
          <w:rFonts w:ascii="Times New Roman" w:hAnsi="Times New Roman"/>
          <w:sz w:val="28"/>
          <w:szCs w:val="28"/>
        </w:rPr>
        <w:t>ается в зависимости от предпоч</w:t>
      </w:r>
      <w:r w:rsidR="00697DA6" w:rsidRPr="004D25B5">
        <w:rPr>
          <w:rFonts w:ascii="Times New Roman" w:hAnsi="Times New Roman"/>
          <w:sz w:val="28"/>
          <w:szCs w:val="28"/>
        </w:rPr>
        <w:t xml:space="preserve">тений по риску, выраженных в регламентирующих документах банка. На практике </w:t>
      </w:r>
      <w:r w:rsidRPr="004D25B5">
        <w:rPr>
          <w:rFonts w:ascii="Times New Roman" w:hAnsi="Times New Roman"/>
          <w:sz w:val="28"/>
          <w:szCs w:val="28"/>
        </w:rPr>
        <w:t>в основном используют уровень</w:t>
      </w:r>
      <w:r w:rsidR="004D25B5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95% и</w:t>
      </w:r>
      <w:r w:rsidRPr="004D25B5">
        <w:rPr>
          <w:rFonts w:ascii="Times New Roman" w:hAnsi="Times New Roman"/>
          <w:sz w:val="28"/>
          <w:szCs w:val="28"/>
        </w:rPr>
        <w:t>ли</w:t>
      </w:r>
      <w:r w:rsidR="00697DA6" w:rsidRPr="004D25B5">
        <w:rPr>
          <w:rFonts w:ascii="Times New Roman" w:hAnsi="Times New Roman"/>
          <w:sz w:val="28"/>
          <w:szCs w:val="28"/>
        </w:rPr>
        <w:t xml:space="preserve"> 99%. Базельский комитет по банковскому надзору рекомендует </w:t>
      </w:r>
      <w:r w:rsidRPr="004D25B5">
        <w:rPr>
          <w:rFonts w:ascii="Times New Roman" w:hAnsi="Times New Roman"/>
          <w:sz w:val="28"/>
          <w:szCs w:val="28"/>
        </w:rPr>
        <w:t xml:space="preserve">использовать </w:t>
      </w:r>
      <w:r w:rsidR="00697DA6" w:rsidRPr="004D25B5">
        <w:rPr>
          <w:rFonts w:ascii="Times New Roman" w:hAnsi="Times New Roman"/>
          <w:sz w:val="28"/>
          <w:szCs w:val="28"/>
        </w:rPr>
        <w:t>урове</w:t>
      </w:r>
      <w:r w:rsidRPr="004D25B5">
        <w:rPr>
          <w:rFonts w:ascii="Times New Roman" w:hAnsi="Times New Roman"/>
          <w:sz w:val="28"/>
          <w:szCs w:val="28"/>
        </w:rPr>
        <w:t>нь</w:t>
      </w:r>
      <w:r w:rsidR="004D25B5">
        <w:rPr>
          <w:rFonts w:ascii="Times New Roman" w:hAnsi="Times New Roman"/>
          <w:sz w:val="28"/>
          <w:szCs w:val="28"/>
        </w:rPr>
        <w:t xml:space="preserve"> </w:t>
      </w:r>
      <w:r w:rsidR="000F0318" w:rsidRPr="004D25B5">
        <w:rPr>
          <w:rFonts w:ascii="Times New Roman" w:hAnsi="Times New Roman"/>
          <w:sz w:val="28"/>
          <w:szCs w:val="28"/>
        </w:rPr>
        <w:t>99%, на который ориентиру</w:t>
      </w:r>
      <w:r w:rsidR="00697DA6" w:rsidRPr="004D25B5">
        <w:rPr>
          <w:rFonts w:ascii="Times New Roman" w:hAnsi="Times New Roman"/>
          <w:sz w:val="28"/>
          <w:szCs w:val="28"/>
        </w:rPr>
        <w:t xml:space="preserve">ются надзорные органы. </w:t>
      </w:r>
    </w:p>
    <w:p w14:paraId="4B9C824B" w14:textId="77777777" w:rsidR="00E6269C" w:rsidRPr="004D25B5" w:rsidRDefault="0037087D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Так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 xml:space="preserve"> в инструкции устанавливаются числовые значения и методика расчета таких обязательных нормативов банков, как:</w:t>
      </w:r>
    </w:p>
    <w:p w14:paraId="4E3F64F1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 достаточность собственных средств (</w:t>
      </w:r>
      <w:hyperlink r:id="rId9" w:tooltip="капитала" w:history="1">
        <w:r w:rsidRPr="004D25B5">
          <w:rPr>
            <w:rFonts w:ascii="Times New Roman" w:hAnsi="Times New Roman"/>
            <w:sz w:val="28"/>
            <w:szCs w:val="28"/>
            <w:lang w:eastAsia="ru-RU"/>
          </w:rPr>
          <w:t>капитала</w:t>
        </w:r>
      </w:hyperlink>
      <w:r w:rsidRPr="004D25B5">
        <w:rPr>
          <w:rFonts w:ascii="Times New Roman" w:hAnsi="Times New Roman"/>
          <w:sz w:val="28"/>
          <w:szCs w:val="28"/>
          <w:lang w:eastAsia="ru-RU"/>
        </w:rPr>
        <w:t>) (Н1);</w:t>
      </w:r>
    </w:p>
    <w:p w14:paraId="71104864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 мгновенная ликвидность (Н2);</w:t>
      </w:r>
    </w:p>
    <w:p w14:paraId="18B6122D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 текущая ликвидность (Н3);</w:t>
      </w:r>
    </w:p>
    <w:p w14:paraId="1BE406EA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 долгосрочная ликвидность (Н4);</w:t>
      </w:r>
    </w:p>
    <w:p w14:paraId="15EA0C30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 максимальный размер риска на одного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заемщика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или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группу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заемщиков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(Н6);</w:t>
      </w:r>
    </w:p>
    <w:p w14:paraId="4EE2445C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максимальный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размер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крупных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кредитных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рисков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(Н7);</w:t>
      </w:r>
    </w:p>
    <w:p w14:paraId="59655CBB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максимальный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размер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tooltip="кредитов" w:history="1">
        <w:r w:rsidRPr="004D25B5">
          <w:rPr>
            <w:rFonts w:ascii="Times New Roman" w:hAnsi="Times New Roman"/>
            <w:sz w:val="28"/>
            <w:szCs w:val="28"/>
            <w:lang w:eastAsia="ru-RU"/>
          </w:rPr>
          <w:t>кредитов</w:t>
        </w:r>
      </w:hyperlink>
      <w:r w:rsidRPr="004D25B5">
        <w:rPr>
          <w:rFonts w:ascii="Times New Roman" w:hAnsi="Times New Roman"/>
          <w:sz w:val="28"/>
          <w:szCs w:val="28"/>
          <w:lang w:eastAsia="ru-RU"/>
        </w:rPr>
        <w:t>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банковских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гарантий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поручительств,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банком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своим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участникам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(акционерам)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(Н9.1);</w:t>
      </w:r>
    </w:p>
    <w:p w14:paraId="20A34D93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совокупная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инсайдерам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банка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(Н10.1);</w:t>
      </w:r>
    </w:p>
    <w:p w14:paraId="33E3B980" w14:textId="77777777" w:rsidR="00E6269C" w:rsidRPr="004D25B5" w:rsidRDefault="00E6269C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–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собственных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средств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(капитала)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банков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для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приобретения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акций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(долей)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других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tooltip="юридических лиц" w:history="1">
        <w:r w:rsidRPr="004D25B5">
          <w:rPr>
            <w:rFonts w:ascii="Times New Roman" w:hAnsi="Times New Roman"/>
            <w:sz w:val="28"/>
            <w:szCs w:val="28"/>
            <w:lang w:eastAsia="ru-RU"/>
          </w:rPr>
          <w:t>юридических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4D25B5">
          <w:rPr>
            <w:rFonts w:ascii="Times New Roman" w:hAnsi="Times New Roman"/>
            <w:sz w:val="28"/>
            <w:szCs w:val="28"/>
            <w:lang w:eastAsia="ru-RU"/>
          </w:rPr>
          <w:t>лиц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(Н12).</w:t>
      </w:r>
    </w:p>
    <w:p w14:paraId="425026B6" w14:textId="77777777" w:rsidR="00E6269C" w:rsidRPr="004D25B5" w:rsidRDefault="00F245A8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сказать,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что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несоблюдение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кредитной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орг</w:t>
      </w:r>
      <w:r w:rsidRPr="004D25B5">
        <w:rPr>
          <w:rFonts w:ascii="Times New Roman" w:hAnsi="Times New Roman"/>
          <w:sz w:val="28"/>
          <w:szCs w:val="28"/>
          <w:lang w:eastAsia="ru-RU"/>
        </w:rPr>
        <w:t>анизацией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нормативов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существенным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нарушение</w:t>
      </w:r>
      <w:r w:rsidRPr="004D25B5">
        <w:rPr>
          <w:rFonts w:ascii="Times New Roman" w:hAnsi="Times New Roman"/>
          <w:sz w:val="28"/>
          <w:szCs w:val="28"/>
          <w:lang w:eastAsia="ru-RU"/>
        </w:rPr>
        <w:t>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порядка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ведения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lastRenderedPageBreak/>
        <w:t>банковской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за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которое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Банк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России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применяет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виды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взысканий,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вплоть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до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отзыва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лицензии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банковской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69C" w:rsidRPr="004D25B5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14:paraId="17E9EB56" w14:textId="77777777" w:rsidR="005031CE" w:rsidRPr="004D25B5" w:rsidRDefault="00697DA6" w:rsidP="004D25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25B5">
        <w:rPr>
          <w:rFonts w:ascii="Times New Roman" w:hAnsi="Times New Roman"/>
          <w:sz w:val="28"/>
          <w:szCs w:val="28"/>
        </w:rPr>
        <w:t>Порядок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расчета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кредитными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организациями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размера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рыночных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рисков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предусмотрен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F245A8" w:rsidRPr="004D25B5">
        <w:rPr>
          <w:rFonts w:ascii="Times New Roman" w:hAnsi="Times New Roman"/>
          <w:sz w:val="28"/>
          <w:szCs w:val="28"/>
        </w:rPr>
        <w:t>согласно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F245A8" w:rsidRPr="004D25B5">
        <w:rPr>
          <w:rFonts w:ascii="Times New Roman" w:hAnsi="Times New Roman"/>
          <w:sz w:val="28"/>
          <w:szCs w:val="28"/>
        </w:rPr>
        <w:t>Положения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ЦБ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РФ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5031CE" w:rsidRPr="004D25B5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«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О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порядке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расчета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кредитными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организациями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величины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рыночного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риска»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(утв.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Банком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России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03.12.2015)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N</w:t>
        </w:r>
        <w:r w:rsidR="0056335D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5031CE" w:rsidRPr="004D25B5">
          <w:rPr>
            <w:rFonts w:ascii="Times New Roman" w:hAnsi="Times New Roman"/>
            <w:bCs/>
            <w:sz w:val="28"/>
            <w:szCs w:val="28"/>
          </w:rPr>
          <w:t>511-П</w:t>
        </w:r>
      </w:hyperlink>
      <w:r w:rsidR="005031CE" w:rsidRPr="004D25B5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3F60635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Совокупная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рыночного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рассчитывается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формуле:</w:t>
      </w:r>
    </w:p>
    <w:p w14:paraId="1058C911" w14:textId="77777777" w:rsidR="004D25B5" w:rsidRDefault="004D25B5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dst100023"/>
      <w:bookmarkEnd w:id="1"/>
    </w:p>
    <w:p w14:paraId="3926524A" w14:textId="77777777" w:rsidR="005031CE" w:rsidRPr="004D25B5" w:rsidRDefault="004D25B5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=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12,5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x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+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ТР)</w:t>
      </w:r>
    </w:p>
    <w:p w14:paraId="0E2FB4CE" w14:textId="77777777" w:rsidR="004D25B5" w:rsidRDefault="004D25B5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dst100024"/>
      <w:bookmarkEnd w:id="2"/>
    </w:p>
    <w:p w14:paraId="57380718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5B5">
        <w:rPr>
          <w:rFonts w:ascii="Times New Roman" w:hAnsi="Times New Roman"/>
          <w:sz w:val="28"/>
          <w:szCs w:val="28"/>
          <w:lang w:eastAsia="ru-RU"/>
        </w:rPr>
        <w:t>где:</w:t>
      </w:r>
      <w:bookmarkStart w:id="3" w:name="dst100025"/>
      <w:bookmarkEnd w:id="3"/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совокупная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рыночного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риска;</w:t>
      </w:r>
    </w:p>
    <w:p w14:paraId="1B750FC5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dst100026"/>
      <w:bookmarkEnd w:id="4"/>
      <w:r w:rsidRPr="004D25B5">
        <w:rPr>
          <w:rFonts w:ascii="Times New Roman" w:hAnsi="Times New Roman"/>
          <w:sz w:val="28"/>
          <w:szCs w:val="28"/>
          <w:lang w:eastAsia="ru-RU"/>
        </w:rPr>
        <w:t>ПР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рыночного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ценным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бумагам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производным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финансовым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инструментам,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чувствительным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изменениям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процентных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ставок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(далее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процентный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риск);</w:t>
      </w:r>
    </w:p>
    <w:p w14:paraId="74EAA931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dst100027"/>
      <w:bookmarkEnd w:id="5"/>
      <w:r w:rsidRPr="004D25B5">
        <w:rPr>
          <w:rFonts w:ascii="Times New Roman" w:hAnsi="Times New Roman"/>
          <w:sz w:val="28"/>
          <w:szCs w:val="28"/>
          <w:lang w:eastAsia="ru-RU"/>
        </w:rPr>
        <w:t>ФР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рыночного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ценным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бумагам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производным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финансовым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инструментам,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чувствительным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изменению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справедливой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стоимости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долевые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ценные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бумаги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(далее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фондовый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риск);</w:t>
      </w:r>
    </w:p>
    <w:p w14:paraId="6969B895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dst100028"/>
      <w:bookmarkEnd w:id="6"/>
      <w:r w:rsidRPr="004D25B5">
        <w:rPr>
          <w:rFonts w:ascii="Times New Roman" w:hAnsi="Times New Roman"/>
          <w:sz w:val="28"/>
          <w:szCs w:val="28"/>
          <w:lang w:eastAsia="ru-RU"/>
        </w:rPr>
        <w:t>ВР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рыночного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кредитной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позициям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валютах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золоте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(далее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валютный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риск);</w:t>
      </w:r>
    </w:p>
    <w:p w14:paraId="17DB08AB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dst100029"/>
      <w:bookmarkEnd w:id="7"/>
      <w:r w:rsidRPr="004D25B5">
        <w:rPr>
          <w:rFonts w:ascii="Times New Roman" w:hAnsi="Times New Roman"/>
          <w:sz w:val="28"/>
          <w:szCs w:val="28"/>
          <w:lang w:eastAsia="ru-RU"/>
        </w:rPr>
        <w:t>ТР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величина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рыночного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товарам,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включая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драгоценные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металлы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(кроме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золота),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производным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финансовым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инструментам,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чувствительным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изменению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цен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товаров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(далее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товарный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25B5">
        <w:rPr>
          <w:rFonts w:ascii="Times New Roman" w:hAnsi="Times New Roman"/>
          <w:sz w:val="28"/>
          <w:szCs w:val="28"/>
          <w:lang w:eastAsia="ru-RU"/>
        </w:rPr>
        <w:t>риск).</w:t>
      </w:r>
    </w:p>
    <w:p w14:paraId="48E8481C" w14:textId="77777777" w:rsidR="005031CE" w:rsidRPr="004D25B5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2338A9" w14:textId="77777777" w:rsidR="005031CE" w:rsidRPr="00561A32" w:rsidRDefault="005031CE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561A32">
        <w:rPr>
          <w:rFonts w:ascii="Times New Roman" w:hAnsi="Times New Roman"/>
          <w:b/>
          <w:caps/>
          <w:sz w:val="28"/>
          <w:szCs w:val="28"/>
        </w:rPr>
        <w:t>1.3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61A32">
        <w:rPr>
          <w:rFonts w:ascii="Times New Roman" w:hAnsi="Times New Roman"/>
          <w:b/>
          <w:sz w:val="28"/>
          <w:szCs w:val="28"/>
        </w:rPr>
        <w:t>М</w:t>
      </w:r>
      <w:r w:rsidR="00561A32" w:rsidRPr="00561A32">
        <w:rPr>
          <w:rFonts w:ascii="Times New Roman" w:hAnsi="Times New Roman"/>
          <w:b/>
          <w:sz w:val="28"/>
          <w:szCs w:val="28"/>
        </w:rPr>
        <w:t>етоды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61A32" w:rsidRPr="00561A32">
        <w:rPr>
          <w:rFonts w:ascii="Times New Roman" w:hAnsi="Times New Roman"/>
          <w:b/>
          <w:sz w:val="28"/>
          <w:szCs w:val="28"/>
        </w:rPr>
        <w:t>снижения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61A32" w:rsidRPr="00561A32">
        <w:rPr>
          <w:rFonts w:ascii="Times New Roman" w:hAnsi="Times New Roman"/>
          <w:b/>
          <w:sz w:val="28"/>
          <w:szCs w:val="28"/>
        </w:rPr>
        <w:t>рыночного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61A32" w:rsidRPr="00561A32">
        <w:rPr>
          <w:rFonts w:ascii="Times New Roman" w:hAnsi="Times New Roman"/>
          <w:b/>
          <w:sz w:val="28"/>
          <w:szCs w:val="28"/>
        </w:rPr>
        <w:t>риска</w:t>
      </w:r>
    </w:p>
    <w:p w14:paraId="6C4160BE" w14:textId="77777777" w:rsidR="00990451" w:rsidRPr="004D25B5" w:rsidRDefault="00990451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93F74" w14:textId="77777777" w:rsidR="005031CE" w:rsidRPr="004D25B5" w:rsidRDefault="000F6A1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данной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работе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рассмотрим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следующие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методы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990451" w:rsidRPr="004D25B5">
        <w:rPr>
          <w:rFonts w:ascii="Times New Roman" w:hAnsi="Times New Roman"/>
          <w:sz w:val="28"/>
          <w:szCs w:val="28"/>
        </w:rPr>
        <w:t>снижения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990451" w:rsidRPr="004D25B5">
        <w:rPr>
          <w:rFonts w:ascii="Times New Roman" w:hAnsi="Times New Roman"/>
          <w:sz w:val="28"/>
          <w:szCs w:val="28"/>
        </w:rPr>
        <w:t>кредитного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990451" w:rsidRPr="004D25B5">
        <w:rPr>
          <w:rFonts w:ascii="Times New Roman" w:hAnsi="Times New Roman"/>
          <w:sz w:val="28"/>
          <w:szCs w:val="28"/>
        </w:rPr>
        <w:t>риска</w:t>
      </w:r>
      <w:r w:rsidRPr="004D25B5">
        <w:rPr>
          <w:rFonts w:ascii="Times New Roman" w:hAnsi="Times New Roman"/>
          <w:sz w:val="28"/>
          <w:szCs w:val="28"/>
        </w:rPr>
        <w:t>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среди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которых:</w:t>
      </w:r>
    </w:p>
    <w:p w14:paraId="0074044F" w14:textId="77777777" w:rsidR="005031CE" w:rsidRPr="004D25B5" w:rsidRDefault="000F6A1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1.</w:t>
      </w:r>
      <w:r w:rsidR="00697DA6" w:rsidRPr="004D25B5">
        <w:rPr>
          <w:rFonts w:ascii="Times New Roman" w:hAnsi="Times New Roman"/>
          <w:sz w:val="28"/>
          <w:szCs w:val="28"/>
        </w:rPr>
        <w:t>Форвардное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соглашение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-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данный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метод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защиты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риска</w:t>
      </w:r>
      <w:r w:rsidRPr="004D25B5">
        <w:rPr>
          <w:rFonts w:ascii="Times New Roman" w:hAnsi="Times New Roman"/>
          <w:sz w:val="28"/>
          <w:szCs w:val="28"/>
        </w:rPr>
        <w:t>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который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связан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с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заключением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между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бан</w:t>
      </w:r>
      <w:r w:rsidR="00697DA6" w:rsidRPr="004D25B5">
        <w:rPr>
          <w:rFonts w:ascii="Times New Roman" w:hAnsi="Times New Roman"/>
          <w:sz w:val="28"/>
          <w:szCs w:val="28"/>
        </w:rPr>
        <w:t>ком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lastRenderedPageBreak/>
        <w:t>клиентом/контрагентом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особого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форвардного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соглашения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предоставлении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определенный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день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(дата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оговорена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договоре)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ссуды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определенном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размере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(размер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определен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договоре)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установленный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(процент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определен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договоре)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купле-продаже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иностранной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валюты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фиксации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соглашении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суммы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сделки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форвардного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обменного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курса.</w:t>
      </w:r>
    </w:p>
    <w:p w14:paraId="7DD602E4" w14:textId="77777777" w:rsidR="004630CD" w:rsidRPr="004D25B5" w:rsidRDefault="000F6A16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При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заключении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такого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соглашения</w:t>
      </w:r>
      <w:r w:rsidR="00697DA6" w:rsidRPr="004D25B5">
        <w:rPr>
          <w:rFonts w:ascii="Times New Roman" w:hAnsi="Times New Roman"/>
          <w:sz w:val="28"/>
          <w:szCs w:val="28"/>
        </w:rPr>
        <w:t>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банк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страхует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себя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возможного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потерь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случае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падения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момент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выдачи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ссуды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рыночных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ставок/обменного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курса.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Если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же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ставка/обменный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курс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повысились,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то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выигрыше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остается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кли</w:t>
      </w:r>
      <w:r w:rsidR="00697DA6" w:rsidRPr="004D25B5">
        <w:rPr>
          <w:rFonts w:ascii="Times New Roman" w:hAnsi="Times New Roman"/>
          <w:sz w:val="28"/>
          <w:szCs w:val="28"/>
        </w:rPr>
        <w:t>ент/контрагент,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получающий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кредит/валюту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более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низкую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плату.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Данный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метод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хеджирования,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таким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образом,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позволяет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распределить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который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связан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колебанием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ставок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031CE" w:rsidRPr="004D25B5">
        <w:rPr>
          <w:rFonts w:ascii="Times New Roman" w:hAnsi="Times New Roman"/>
          <w:sz w:val="28"/>
          <w:szCs w:val="28"/>
        </w:rPr>
        <w:t>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валютного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курса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между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клиен</w:t>
      </w:r>
      <w:r w:rsidR="00697DA6" w:rsidRPr="004D25B5">
        <w:rPr>
          <w:rFonts w:ascii="Times New Roman" w:hAnsi="Times New Roman"/>
          <w:sz w:val="28"/>
          <w:szCs w:val="28"/>
        </w:rPr>
        <w:t>том/контрагентом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кредитной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организацией.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Теперь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риск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лежит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только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плечах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банка.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современных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условиях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данный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метод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снижения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кредитного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риска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достаточно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4630CD" w:rsidRPr="004D25B5">
        <w:rPr>
          <w:rFonts w:ascii="Times New Roman" w:hAnsi="Times New Roman"/>
          <w:sz w:val="28"/>
          <w:szCs w:val="28"/>
        </w:rPr>
        <w:t>актуален.</w:t>
      </w:r>
    </w:p>
    <w:p w14:paraId="1639EDE0" w14:textId="77777777" w:rsidR="005031CE" w:rsidRPr="004D25B5" w:rsidRDefault="004630CD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2.</w:t>
      </w:r>
      <w:r w:rsidR="00697DA6" w:rsidRPr="004D25B5">
        <w:rPr>
          <w:rFonts w:ascii="Times New Roman" w:hAnsi="Times New Roman"/>
          <w:sz w:val="28"/>
          <w:szCs w:val="28"/>
        </w:rPr>
        <w:t>Фьючерсные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контракты</w:t>
      </w:r>
      <w:r w:rsidRPr="004D25B5">
        <w:rPr>
          <w:rFonts w:ascii="Times New Roman" w:hAnsi="Times New Roman"/>
          <w:sz w:val="28"/>
          <w:szCs w:val="28"/>
        </w:rPr>
        <w:t>-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это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контракты,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которые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пред</w:t>
      </w:r>
      <w:r w:rsidRPr="004D25B5">
        <w:rPr>
          <w:rFonts w:ascii="Times New Roman" w:hAnsi="Times New Roman"/>
          <w:sz w:val="28"/>
          <w:szCs w:val="28"/>
        </w:rPr>
        <w:t>о</w:t>
      </w:r>
      <w:r w:rsidR="00697DA6" w:rsidRPr="004D25B5">
        <w:rPr>
          <w:rFonts w:ascii="Times New Roman" w:hAnsi="Times New Roman"/>
          <w:sz w:val="28"/>
          <w:szCs w:val="28"/>
        </w:rPr>
        <w:t>ставляют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право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владельцу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куплю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/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продажу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соответствующего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будущем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заранее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установленной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оговоренной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контракте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цене.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Данные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позволяют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играть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колебаниях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рыночной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стоимости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тем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самым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значительно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уменьшать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потерь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таких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колебаний.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Фьючерсы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(фьючерсные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контракты)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покупаются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продаются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бирже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как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стандартизированные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порции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товара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актива,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которые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называют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контрак</w:t>
      </w:r>
      <w:r w:rsidRPr="004D25B5">
        <w:rPr>
          <w:rFonts w:ascii="Times New Roman" w:hAnsi="Times New Roman"/>
          <w:sz w:val="28"/>
          <w:szCs w:val="28"/>
        </w:rPr>
        <w:t>ты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лоты</w:t>
      </w:r>
      <w:r w:rsidR="00697DA6" w:rsidRPr="004D25B5">
        <w:rPr>
          <w:rFonts w:ascii="Times New Roman" w:hAnsi="Times New Roman"/>
          <w:sz w:val="28"/>
          <w:szCs w:val="28"/>
        </w:rPr>
        <w:t>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Множество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фьючерсных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контрактов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предполагают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поставку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физическом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смысле</w:t>
      </w:r>
      <w:r w:rsidR="00697DA6" w:rsidRPr="004D25B5">
        <w:rPr>
          <w:rFonts w:ascii="Times New Roman" w:hAnsi="Times New Roman"/>
          <w:sz w:val="28"/>
          <w:szCs w:val="28"/>
        </w:rPr>
        <w:t>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самом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деле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</w:t>
      </w:r>
      <w:r w:rsidR="005031CE" w:rsidRPr="004D25B5">
        <w:rPr>
          <w:rFonts w:ascii="Times New Roman" w:hAnsi="Times New Roman"/>
          <w:sz w:val="28"/>
          <w:szCs w:val="28"/>
        </w:rPr>
        <w:t>исходят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денежные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взаиморасчеты.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При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заключении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форвардного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</w:t>
      </w:r>
      <w:r w:rsidR="00347A45" w:rsidRPr="004D25B5">
        <w:rPr>
          <w:rFonts w:ascii="Times New Roman" w:hAnsi="Times New Roman"/>
          <w:sz w:val="28"/>
          <w:szCs w:val="28"/>
        </w:rPr>
        <w:t>а</w:t>
      </w:r>
      <w:r w:rsidR="00697DA6" w:rsidRPr="004D25B5">
        <w:rPr>
          <w:rFonts w:ascii="Times New Roman" w:hAnsi="Times New Roman"/>
          <w:sz w:val="28"/>
          <w:szCs w:val="28"/>
        </w:rPr>
        <w:t>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участник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может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разорвать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его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одностороннем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порядке.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Здесь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необходимо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со</w:t>
      </w:r>
      <w:r w:rsidR="00347A45" w:rsidRPr="004D25B5">
        <w:rPr>
          <w:rFonts w:ascii="Times New Roman" w:hAnsi="Times New Roman"/>
          <w:sz w:val="28"/>
          <w:szCs w:val="28"/>
        </w:rPr>
        <w:t>гласие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контрагента,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иначе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данная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ситуация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влечет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за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собой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определенный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проблемы.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Фьючерс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же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можно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разорвать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л</w:t>
      </w:r>
      <w:r w:rsidR="005031CE" w:rsidRPr="004D25B5">
        <w:rPr>
          <w:rFonts w:ascii="Times New Roman" w:hAnsi="Times New Roman"/>
          <w:sz w:val="28"/>
          <w:szCs w:val="28"/>
        </w:rPr>
        <w:t>юбой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мо</w:t>
      </w:r>
      <w:r w:rsidR="00697DA6" w:rsidRPr="004D25B5">
        <w:rPr>
          <w:rFonts w:ascii="Times New Roman" w:hAnsi="Times New Roman"/>
          <w:sz w:val="28"/>
          <w:szCs w:val="28"/>
        </w:rPr>
        <w:t>мент,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посредством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совершения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нему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обратной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сделки</w:t>
      </w:r>
      <w:r w:rsidR="00697DA6" w:rsidRPr="004D25B5">
        <w:rPr>
          <w:rFonts w:ascii="Times New Roman" w:hAnsi="Times New Roman"/>
          <w:sz w:val="28"/>
          <w:szCs w:val="28"/>
        </w:rPr>
        <w:t>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этом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состоят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главные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отличия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данных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47A45" w:rsidRPr="004D25B5">
        <w:rPr>
          <w:rFonts w:ascii="Times New Roman" w:hAnsi="Times New Roman"/>
          <w:sz w:val="28"/>
          <w:szCs w:val="28"/>
        </w:rPr>
        <w:t>контрактов</w:t>
      </w:r>
      <w:r w:rsidR="00697DA6" w:rsidRPr="004D25B5">
        <w:rPr>
          <w:rFonts w:ascii="Times New Roman" w:hAnsi="Times New Roman"/>
          <w:sz w:val="28"/>
          <w:szCs w:val="28"/>
        </w:rPr>
        <w:t>.</w:t>
      </w:r>
    </w:p>
    <w:p w14:paraId="476771EE" w14:textId="77777777" w:rsidR="005031CE" w:rsidRPr="004D25B5" w:rsidRDefault="00347A45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lastRenderedPageBreak/>
        <w:t>3.</w:t>
      </w:r>
      <w:r w:rsidR="00697DA6" w:rsidRPr="004D25B5">
        <w:rPr>
          <w:rFonts w:ascii="Times New Roman" w:hAnsi="Times New Roman"/>
          <w:sz w:val="28"/>
          <w:szCs w:val="28"/>
        </w:rPr>
        <w:t>Опцион</w:t>
      </w:r>
      <w:r w:rsidR="005031CE" w:rsidRPr="004D25B5">
        <w:rPr>
          <w:rFonts w:ascii="Times New Roman" w:hAnsi="Times New Roman"/>
          <w:sz w:val="28"/>
          <w:szCs w:val="28"/>
        </w:rPr>
        <w:t>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Существует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двух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формах</w:t>
      </w:r>
      <w:r w:rsidR="00697DA6" w:rsidRPr="004D25B5">
        <w:rPr>
          <w:rFonts w:ascii="Times New Roman" w:hAnsi="Times New Roman"/>
          <w:sz w:val="28"/>
          <w:szCs w:val="28"/>
        </w:rPr>
        <w:t>: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европейский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американский.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Европейский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опцион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предоставляет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его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держателю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право,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</w:t>
      </w:r>
      <w:r w:rsidR="005031CE" w:rsidRPr="004D25B5">
        <w:rPr>
          <w:rFonts w:ascii="Times New Roman" w:hAnsi="Times New Roman"/>
          <w:sz w:val="28"/>
          <w:szCs w:val="28"/>
        </w:rPr>
        <w:t>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обязанность,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купить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(опци</w:t>
      </w:r>
      <w:r w:rsidR="00697DA6" w:rsidRPr="004D25B5">
        <w:rPr>
          <w:rFonts w:ascii="Times New Roman" w:hAnsi="Times New Roman"/>
          <w:sz w:val="28"/>
          <w:szCs w:val="28"/>
        </w:rPr>
        <w:t>он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«колл»)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продать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(опцион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«пут»)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определенное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количество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активов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заранее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установленной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(цене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исполнения)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момент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окончания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действия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контракта.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Американский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опцион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предоставляет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его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держателю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право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купить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продать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определенное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количество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активов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заранее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установленной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исполнения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любое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время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момента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окончания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действия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контракта.</w:t>
      </w:r>
    </w:p>
    <w:p w14:paraId="668AA335" w14:textId="77777777" w:rsidR="00E6269C" w:rsidRPr="004D25B5" w:rsidRDefault="00347A45" w:rsidP="004D25B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5B5">
        <w:rPr>
          <w:rFonts w:ascii="Times New Roman" w:hAnsi="Times New Roman"/>
          <w:sz w:val="28"/>
          <w:szCs w:val="28"/>
        </w:rPr>
        <w:t>4.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Своп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–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это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Pr="004D25B5">
        <w:rPr>
          <w:rFonts w:ascii="Times New Roman" w:hAnsi="Times New Roman"/>
          <w:sz w:val="28"/>
          <w:szCs w:val="28"/>
        </w:rPr>
        <w:t>такое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соглашение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обмене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потока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будущих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платежей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одних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активов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поток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будущих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платежей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других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активов.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Одним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из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способов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снижения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являются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операции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«своп»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процентами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(процентный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своп),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когда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две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стороны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заключают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между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собой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сделку,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условиям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которой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обязуются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уплатить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друг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другу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определенным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обязательствам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заранее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обусловленные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сроки.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результате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сде</w:t>
      </w:r>
      <w:r w:rsidR="005031CE" w:rsidRPr="004D25B5">
        <w:rPr>
          <w:rFonts w:ascii="Times New Roman" w:hAnsi="Times New Roman"/>
          <w:sz w:val="28"/>
          <w:szCs w:val="28"/>
        </w:rPr>
        <w:t>лки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выигрывает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та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сторона,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5031CE" w:rsidRPr="004D25B5">
        <w:rPr>
          <w:rFonts w:ascii="Times New Roman" w:hAnsi="Times New Roman"/>
          <w:sz w:val="28"/>
          <w:szCs w:val="28"/>
        </w:rPr>
        <w:t>кото</w:t>
      </w:r>
      <w:r w:rsidR="00697DA6" w:rsidRPr="004D25B5">
        <w:rPr>
          <w:rFonts w:ascii="Times New Roman" w:hAnsi="Times New Roman"/>
          <w:sz w:val="28"/>
          <w:szCs w:val="28"/>
        </w:rPr>
        <w:t>рая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правильно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спрогнозировала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динамику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ставок.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Валютный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своп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представляет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собой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соглашение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между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двумя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сторонами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обмене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основной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суммы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фиксированных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процентных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платежей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займу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одной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валюте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другую.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Страхование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рыночного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—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передача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всего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риска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страховой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организации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(в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России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настоящее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время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распространено).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Диверсификация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портфеля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представляет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собой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включение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инвестиционный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портфель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шир</w:t>
      </w:r>
      <w:r w:rsidR="00353B9C" w:rsidRPr="004D25B5">
        <w:rPr>
          <w:rFonts w:ascii="Times New Roman" w:hAnsi="Times New Roman"/>
          <w:sz w:val="28"/>
          <w:szCs w:val="28"/>
        </w:rPr>
        <w:t>окого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круга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ценных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бумаг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с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целях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снижения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серьезных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потерь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случае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падения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одной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нескольких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бумаг.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Чем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больше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диверсифицирован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портфель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или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включать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его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состав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различные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финансовые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инструменты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ценные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бумаги</w:t>
      </w:r>
      <w:r w:rsidR="00697DA6" w:rsidRPr="004D25B5">
        <w:rPr>
          <w:rFonts w:ascii="Times New Roman" w:hAnsi="Times New Roman"/>
          <w:sz w:val="28"/>
          <w:szCs w:val="28"/>
        </w:rPr>
        <w:t>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тем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меньший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убыток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покажет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падении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стоимости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ценной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бумаги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одного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эмитента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при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условии,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что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цена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остальных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бумаг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не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изменилась.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Возможен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исход,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когда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697DA6" w:rsidRPr="004D25B5">
        <w:rPr>
          <w:rFonts w:ascii="Times New Roman" w:hAnsi="Times New Roman"/>
          <w:sz w:val="28"/>
          <w:szCs w:val="28"/>
        </w:rPr>
        <w:t>убыт</w:t>
      </w:r>
      <w:r w:rsidR="00353B9C" w:rsidRPr="004D25B5">
        <w:rPr>
          <w:rFonts w:ascii="Times New Roman" w:hAnsi="Times New Roman"/>
          <w:sz w:val="28"/>
          <w:szCs w:val="28"/>
        </w:rPr>
        <w:t>ок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будет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нулевым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в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случае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роста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доходности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по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ценным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бумагам,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из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которого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состоит</w:t>
      </w:r>
      <w:r w:rsidR="0056335D">
        <w:rPr>
          <w:rFonts w:ascii="Times New Roman" w:hAnsi="Times New Roman"/>
          <w:sz w:val="28"/>
          <w:szCs w:val="28"/>
        </w:rPr>
        <w:t xml:space="preserve"> </w:t>
      </w:r>
      <w:r w:rsidR="00353B9C" w:rsidRPr="004D25B5">
        <w:rPr>
          <w:rFonts w:ascii="Times New Roman" w:hAnsi="Times New Roman"/>
          <w:sz w:val="28"/>
          <w:szCs w:val="28"/>
        </w:rPr>
        <w:t>портфель.</w:t>
      </w:r>
    </w:p>
    <w:p w14:paraId="6FA409BC" w14:textId="77777777" w:rsidR="00313D66" w:rsidRPr="004D25B5" w:rsidRDefault="00313D66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3165734" w14:textId="77777777" w:rsidR="00087400" w:rsidRPr="00561A32" w:rsidRDefault="004D25B5" w:rsidP="00561A3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lastRenderedPageBreak/>
        <w:t>2.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t>Рыночные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t>риски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t>и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t>управление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t>ими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87400" w:rsidRPr="00561A32">
        <w:rPr>
          <w:rFonts w:ascii="Times New Roman" w:hAnsi="Times New Roman"/>
          <w:b/>
          <w:caps/>
          <w:sz w:val="28"/>
          <w:szCs w:val="28"/>
        </w:rPr>
        <w:t>в</w:t>
      </w:r>
      <w:r w:rsidR="0056335D" w:rsidRPr="00561A32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61A32" w:rsidRPr="00561A32">
        <w:rPr>
          <w:rFonts w:ascii="Times New Roman" w:hAnsi="Times New Roman"/>
          <w:b/>
          <w:caps/>
          <w:sz w:val="28"/>
          <w:szCs w:val="28"/>
        </w:rPr>
        <w:t>«ЮГ-Инвестбанк»</w:t>
      </w:r>
    </w:p>
    <w:p w14:paraId="0B1C1A92" w14:textId="77777777" w:rsidR="00087400" w:rsidRPr="004D25B5" w:rsidRDefault="00087400" w:rsidP="004D25B5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14:paraId="5033FAC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"ЮГ-Инвестбанк" является универсальным финансово-кредитным учреждением, которое осуществляет свою деятельность на рынке банковских услуг уже 20 лет. Банк предоставляет полный спектр банковских услуг, в число которых входит расчетно-кассовое обслуживание, кредитование юридических и физических лиц, прием вкладов от населения, переводы граждан, валютно-обменные операции, выпуск именных пластиковых карт систем Visa и Mastercard, продажа монет из ценных металлов и золотых мерных слитков, прием коммунальных и других платежей.</w:t>
      </w:r>
    </w:p>
    <w:p w14:paraId="752792EB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Полное наименование - Акционерный банк "ЮГ-Инвестбанк" (открытое акционерное общество). Сокращенное наименование на русском языке - ОАО "ЮГ-Инвестбанк". Полное и сокращенное наименование на английском языке - Join-Stock Bank "Yug-Investbank" ("Join-Stock Company"), JSC "Yug-Investbank". Дата регистрации и регистрационный номер - 09 марта 1999 г. №2772.</w:t>
      </w:r>
    </w:p>
    <w:p w14:paraId="0A3C49F8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Банк является:</w:t>
      </w:r>
    </w:p>
    <w:p w14:paraId="45EE67A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Членом Ассоциации российских банков;</w:t>
      </w:r>
    </w:p>
    <w:p w14:paraId="660BC3E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Членом СРО (Национальная Фондовая Ассоциация);</w:t>
      </w:r>
    </w:p>
    <w:p w14:paraId="6C67DC12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Членом валютной и фондовой секции Московской Межбанковской - Валютной Биржи;</w:t>
      </w:r>
    </w:p>
    <w:p w14:paraId="6772863D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Членом международной дилинговой системы REUTERS DEALING;</w:t>
      </w:r>
    </w:p>
    <w:p w14:paraId="2F94BAF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Членом Ростовской валютной и фондовой биржи;</w:t>
      </w:r>
    </w:p>
    <w:p w14:paraId="77D633CE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Членом Краснодарской Торгово-Промышленной палаты;</w:t>
      </w:r>
    </w:p>
    <w:p w14:paraId="6F8E530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Ассоциированным членом компании VISA INTERNATIONAL;</w:t>
      </w:r>
    </w:p>
    <w:p w14:paraId="4213403B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Аффилированным членом MasterCard;</w:t>
      </w:r>
    </w:p>
    <w:p w14:paraId="7793DC7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Участником системы обязательного страхования вкладов (порядковый номер по реестру №90 от 21.10.2004 г.).</w:t>
      </w:r>
    </w:p>
    <w:p w14:paraId="7E7CC00D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Лицензии:</w:t>
      </w:r>
    </w:p>
    <w:p w14:paraId="12E0AD3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lastRenderedPageBreak/>
        <w:t>- Генеральная лицензия ЦБ РФ №2772 от 21.02.2003 г. на осуществление банковской деятельности;</w:t>
      </w:r>
    </w:p>
    <w:p w14:paraId="506289A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Лицензия на осуществление банковских операций с драгоценными металлами №2772 от "11" января 2008 года.</w:t>
      </w:r>
    </w:p>
    <w:p w14:paraId="6F487222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Лицензия профессионального участника рынка ценных бумаг на осуществление деятельности по управлению ценными бумагами №023-06705-00100 от 03.06.2003 г. выдана ФКЦБ без ограничения срока действия;</w:t>
      </w:r>
    </w:p>
    <w:p w14:paraId="494F7CB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Лицензия профессионального участника рынка ценных бумаг на осуществление дилерской деятельности №023-06703-01000 от 03.06.2003 г. выдана ФКЦБ без ограничения срока действия;</w:t>
      </w:r>
    </w:p>
    <w:p w14:paraId="09701D6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Лицензия профессионального участника рынка ценных бумаг на осуществление брокерской деятельности №023-06700-10000 от 03.06.2003 г. выдана ФКЦБ без ограничения срока действия;</w:t>
      </w:r>
    </w:p>
    <w:p w14:paraId="2D2580C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Лицензия профессионального участника рынка ценных бумаг на осуществление депозитарной деятельности №123-12497-000100 от 01.09.2009 г. выдана ФСФР без ограничения срока действия.</w:t>
      </w:r>
    </w:p>
    <w:p w14:paraId="12C9B27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Адрес местонахождения банка: ОАО "ЮГ-Инвестбанк" 350000, г. Краснодар, ул. Красная, 113. Электронный почтовый адрес: main@invb.ru; pr@invb.ru. Адрес сайта: www.invb.ru . Уставной капитал составляет 100010 тыс. рублей.</w:t>
      </w:r>
    </w:p>
    <w:p w14:paraId="5ECFB80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 xml:space="preserve">21 октября 2004 г. банк был принят в систему обязательного страхования вкладов под номером 90. 24 ноября 2005 г. была регистрация пятого выпуска обыкновенных акций ОАО "ЮГ-Инвестбанк" на 10 млн. рублей, а уже 7 ноября 2006 г. состоялась регистрация отчета об итогах пятого выпуска обыкновенных акций ОАО "ЮГ-Инвестбанк" на сумму 10 млн. рублей. Далее 18 сентября 2007 г. произошла регистрация шестого выпуска обыкновенных акций ОАО "ЮГ-Инвестбанк" на сумму 5 млн. рублей, а с января по декабрь 2007 г. состоялось долгожданное расширение региональной сети на основе открытия дополнительных офисов в г. Апшеронске, г. Курганинске, г. Краснодаре (ул. Игнатова, 10/1), г. </w:t>
      </w:r>
      <w:r w:rsidRPr="00C91EBA">
        <w:rPr>
          <w:rFonts w:ascii="Times New Roman" w:hAnsi="Times New Roman"/>
          <w:sz w:val="28"/>
          <w:szCs w:val="28"/>
        </w:rPr>
        <w:lastRenderedPageBreak/>
        <w:t>Краснодаре (ул. Зиповская, 11), пос. Мостовском.</w:t>
      </w:r>
    </w:p>
    <w:p w14:paraId="61D48F2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11 января 2008 г. Банк получил лицензию банка России на осуществление операций с драгоценными металлами №2772 от 11. 01. 08 г., а 6 марта 2008 г. Был принят в аффилированные члены Международной организации MasterCard. 4 июля 2008 г. Состоялось открытие операционного офиса в г. Азове, Ростовской области, а 29 августа 2008 г. Была регистрация отчета об итогах шестого выпуска обыкновенных акций ОАО "ЮГ-Инвестбанк" на сумму 5 млн. руб.</w:t>
      </w:r>
    </w:p>
    <w:p w14:paraId="3283DEF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Развивая и совершенствуя свою деятельность ОАО "ЮГ-Инвестбанк" на протяжении многих лет прочно занимает место среднего банка России.</w:t>
      </w:r>
    </w:p>
    <w:p w14:paraId="080DC53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По данным информационного агентства "Интерфакс" по состоянию на 01.01.2013 г. ОАО "ЮГ-Инвестбанк" занимает среди 926 банков России по размеру активов 345 место, по размеру капитала 421 место, по размеру прибыли 368 место.</w:t>
      </w:r>
    </w:p>
    <w:p w14:paraId="1353586D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Среди 14 самостоятельных Кубанских банков по состоянию на 01.01.2013 г. ОАО "ЮГ Инвестбанк" занимает по размеру активов 4 место, капитала - 5 место, по прибыли - 5 место.</w:t>
      </w:r>
    </w:p>
    <w:p w14:paraId="7F73FCB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ОАО "ЮГ-Инвестбанк" сегодня - это динамичный финансовый институт, активно участвующий в развитии экономики южного региона страны. В качестве географии своего присутствия Банк имеет практически все крупные города Краснодарского края, столицы Ростовской области и Республики Адыгея. По состоянию на 01.01.2013 г. банк имеет 3 филиала и 17 дополнительных офисов, 1 операционный офис, 23 операционные кассы вне кассового узла. Своим клиентам и партнерам ОАО "ЮГ Инвестбанк" предлагает широкий выбор банковских продуктов, индивидуальных подход, деловой профессионализм. Ответственность решений и высокий уровень обслуживания являются определяющими факторами нашей работы на финансовом рынке.</w:t>
      </w:r>
    </w:p>
    <w:p w14:paraId="1FB34F1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 xml:space="preserve">Рассмотрим услуги предоставляемые банком юридическим и физическим лицам. ОАО "ЮГ-Инвестбанк" предоставляет огромный пакет </w:t>
      </w:r>
      <w:r w:rsidRPr="00C91EBA">
        <w:rPr>
          <w:rFonts w:ascii="Times New Roman" w:hAnsi="Times New Roman"/>
          <w:sz w:val="28"/>
          <w:szCs w:val="28"/>
        </w:rPr>
        <w:lastRenderedPageBreak/>
        <w:t>услуг не только юридическим, но и физическим лицам. Вот основные из них:</w:t>
      </w:r>
    </w:p>
    <w:p w14:paraId="3CED6E22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1) Вклады. Вклады могут быть как в рублях так и в иностранной валюте и даже в драгоценных металлах. Мною будут приведены в пример по одному виду вкладов каждой формы.</w:t>
      </w:r>
    </w:p>
    <w:p w14:paraId="7BA6ED3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а) Вклад в рублях "Состоятельный".</w:t>
      </w:r>
    </w:p>
    <w:p w14:paraId="4DE708CF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Срок вклада - 1100 дней.</w:t>
      </w:r>
    </w:p>
    <w:p w14:paraId="3349BF1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Минимальная сумма вклада - 10 000 рублей.</w:t>
      </w:r>
    </w:p>
    <w:p w14:paraId="2F34EA0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Процентная ставка по вкладу устанавливается:</w:t>
      </w:r>
    </w:p>
    <w:p w14:paraId="1C025D5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в первый год действия вклада - 10,5% годовых;</w:t>
      </w:r>
    </w:p>
    <w:p w14:paraId="21C2B94E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во второй год действия вклада - 3,0% годовых;</w:t>
      </w:r>
    </w:p>
    <w:p w14:paraId="464BA6C0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в третий год действия вклада (до конца срока) - 2,0% годовых.</w:t>
      </w:r>
    </w:p>
    <w:p w14:paraId="5F48DD2E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Довложения не принимаются.</w:t>
      </w:r>
    </w:p>
    <w:p w14:paraId="095A07D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Получение процентов - в конце срока вклада. При расторжении договора до истечения срока вклада проценты начисляются и уплачиваются за фактическое нахождение средств на вкладе в следующем порядке:</w:t>
      </w:r>
    </w:p>
    <w:p w14:paraId="5DEBFD60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за период полного года (периода) нахождения средств на вкладе - 365(366) дней или 730(731) дней или 1100(1101) дней - по основной ставке соответствующего года (периода);</w:t>
      </w:r>
    </w:p>
    <w:p w14:paraId="41643B2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за неполный год (период) нахождения средств на вкладе - по ставке вклада "до востребования" за фактическое количество дней.</w:t>
      </w:r>
    </w:p>
    <w:p w14:paraId="3D3DCA2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2) Вклад в иностранной валюте "Срочный 367 дней" - 5,0% годовых.</w:t>
      </w:r>
    </w:p>
    <w:p w14:paraId="0681914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Срок вклада 367 дней.</w:t>
      </w:r>
    </w:p>
    <w:p w14:paraId="33AF8A2B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Минимальная сумма вклада - 500 евро.</w:t>
      </w:r>
    </w:p>
    <w:p w14:paraId="705455A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Процентная ставка по вкладу - 5,0% годовых.</w:t>
      </w:r>
    </w:p>
    <w:p w14:paraId="6E6602A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Довложения не принимаются.</w:t>
      </w:r>
    </w:p>
    <w:p w14:paraId="5A81134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Выплата процентов - в конце срока действия вклада.</w:t>
      </w:r>
    </w:p>
    <w:p w14:paraId="24CDEE8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При досрочном расторжении вклада проценты выплачиваются по ставке вклада "До востребования".</w:t>
      </w:r>
    </w:p>
    <w:p w14:paraId="0B437E9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 xml:space="preserve">3) Вклады в драгоценных металлах. ОАО "ЮГ-Инвестбанк" предлагает новую услугу - обезличенные металлические счета (ОМС) в драгоценных </w:t>
      </w:r>
      <w:r w:rsidRPr="00C91EBA">
        <w:rPr>
          <w:rFonts w:ascii="Times New Roman" w:hAnsi="Times New Roman"/>
          <w:sz w:val="28"/>
          <w:szCs w:val="28"/>
        </w:rPr>
        <w:lastRenderedPageBreak/>
        <w:t>металлах: в золоте, серебре, платине, палладии. ОМС - счет, открываемый Банком Клиенту для учета драгоценных металлов без указания индивидуальных признаков слитка (проба, номер слитка, год выпуска, и др.) на условиях возвратности в соответствии с Договором открытия и ведения обезличенного металлического счета.</w:t>
      </w:r>
    </w:p>
    <w:p w14:paraId="375B40E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Открывая ОМС, клиент получает возможность:</w:t>
      </w:r>
    </w:p>
    <w:p w14:paraId="42D537DB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купить у Банка безналичные драгоценные металлы за рубли РФ;</w:t>
      </w:r>
    </w:p>
    <w:p w14:paraId="08CC9BE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продать безналичные драгоценные металлы Банку за рубли РФ;</w:t>
      </w:r>
    </w:p>
    <w:p w14:paraId="2C85FAD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снимать с ОМС золото и серебро в мерных слитках в подразделения Банка, оснащенных весоизмерительными приборами.</w:t>
      </w:r>
    </w:p>
    <w:p w14:paraId="2AF4984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Минимальное количество драгоценного металла по операции покупки продажи - 1 грамм.</w:t>
      </w:r>
    </w:p>
    <w:p w14:paraId="04824F3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Покупка и продажа безналичных драгоценных металлов не облагается налогом на добавленную стоимость.</w:t>
      </w:r>
    </w:p>
    <w:p w14:paraId="16256A5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Клиент имеет возможность в любой день купить или продать драгоценные металлы.</w:t>
      </w:r>
    </w:p>
    <w:p w14:paraId="346C528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Проценты на остаток по ОМС не начисляются. Доход Клиент получает при росте цены на драгоценные металлы.</w:t>
      </w:r>
    </w:p>
    <w:p w14:paraId="3AA7129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2) Переводы денежных средств.</w:t>
      </w:r>
    </w:p>
    <w:p w14:paraId="3680BC8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В рублях: ОАО "ЮГ-Инвестбанк" осуществляет денежные переводы в валюте РФ со счета по поручению граждан. Размер комиссионного вознаграждения - 1% от суммы перевода, мин. 100 рублей, мах. 1500 рублей.</w:t>
      </w:r>
    </w:p>
    <w:p w14:paraId="03CDCEE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В иностранной валюте: ОАО "ЮГ-Инвестбанк" осуществляет переводы в иностранной валюте со счетов по поручению физических лиц ссоблюдением требований валютного законодательства РФ. Размер комиссионного вознаграждения - 0,5% от суммы перевода, но не менее 20 (USD) или 25 (EUR) в зависимости от валюты перевода.</w:t>
      </w:r>
    </w:p>
    <w:p w14:paraId="098651ED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 xml:space="preserve">3) Аренда индивидуальных банковских сейфов. Банк предоставляет возможность клиентам воспользоваться услугами индивидуальных сейфов. Индивидуальный сейф может быть использован для хранения различных </w:t>
      </w:r>
      <w:r w:rsidRPr="00C91EBA">
        <w:rPr>
          <w:rFonts w:ascii="Times New Roman" w:hAnsi="Times New Roman"/>
          <w:sz w:val="28"/>
          <w:szCs w:val="28"/>
        </w:rPr>
        <w:lastRenderedPageBreak/>
        <w:t>ценностей - антиквариат, валюта, денежные средства, ценные бумаги, драгоценности и т.д. Банк не устанавливает контроль за вложением Клиентом имущества в сейф. Банк предлагает воспользоваться услугами банковского сейфа, которые располагаются не только в головном банке - г. Краснодаре, но также в курортных городах - г. Сочи, г. Анапе, г. Темрюке, Приморско-Ахтарске.</w:t>
      </w:r>
    </w:p>
    <w:p w14:paraId="0101AFD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Срок кредитования: от 6 мес. до 60 мес. по выбору клиента.</w:t>
      </w:r>
    </w:p>
    <w:p w14:paraId="38C299AD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Лимит кредитования: от 100 000 руб. до 2 500 000 руб.; максимальный размер кредита определяется на основании оценки личности и платежеспособности заемщика, а также стоимости приобретаемого транспортного средства.</w:t>
      </w:r>
    </w:p>
    <w:p w14:paraId="1C8E56E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Первоначальный взнос: от 15% до 70% от стоимости приобретаемого транспортного средства.</w:t>
      </w:r>
    </w:p>
    <w:p w14:paraId="1BA8545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Обеспечение: залог приобретаемого за счет кредитных средств легкового либо грузового автотранспортного средства;</w:t>
      </w:r>
    </w:p>
    <w:p w14:paraId="23B8CD4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Процентные ставки:</w:t>
      </w:r>
    </w:p>
    <w:p w14:paraId="03A7C25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D710CB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Таблица 1: "Процентные ставки по авто-кредиту".</w:t>
      </w:r>
    </w:p>
    <w:tbl>
      <w:tblPr>
        <w:tblStyle w:val="a4"/>
        <w:tblW w:w="0" w:type="auto"/>
        <w:tblInd w:w="817" w:type="dxa"/>
        <w:tblLook w:val="0400" w:firstRow="0" w:lastRow="0" w:firstColumn="0" w:lastColumn="0" w:noHBand="0" w:noVBand="1"/>
      </w:tblPr>
      <w:tblGrid>
        <w:gridCol w:w="3119"/>
        <w:gridCol w:w="2976"/>
        <w:gridCol w:w="2552"/>
      </w:tblGrid>
      <w:tr w:rsidR="00561A32" w:rsidRPr="00C91EBA" w14:paraId="7643D449" w14:textId="77777777" w:rsidTr="004376C2">
        <w:tc>
          <w:tcPr>
            <w:tcW w:w="3119" w:type="dxa"/>
            <w:hideMark/>
          </w:tcPr>
          <w:p w14:paraId="36AC1463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Срок кредитования</w:t>
            </w:r>
          </w:p>
        </w:tc>
        <w:tc>
          <w:tcPr>
            <w:tcW w:w="2976" w:type="dxa"/>
            <w:hideMark/>
          </w:tcPr>
          <w:p w14:paraId="0296EF3D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С ежегодным страхованием АвтоКАСКО</w:t>
            </w:r>
          </w:p>
        </w:tc>
        <w:tc>
          <w:tcPr>
            <w:tcW w:w="2552" w:type="dxa"/>
            <w:hideMark/>
          </w:tcPr>
          <w:p w14:paraId="73649F65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Без ежегодного страхования АвтоКАСКО</w:t>
            </w:r>
          </w:p>
        </w:tc>
      </w:tr>
      <w:tr w:rsidR="00561A32" w:rsidRPr="00C91EBA" w14:paraId="76D35648" w14:textId="77777777" w:rsidTr="004376C2">
        <w:tc>
          <w:tcPr>
            <w:tcW w:w="3119" w:type="dxa"/>
            <w:hideMark/>
          </w:tcPr>
          <w:p w14:paraId="2333E956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до 1 года</w:t>
            </w:r>
          </w:p>
        </w:tc>
        <w:tc>
          <w:tcPr>
            <w:tcW w:w="2976" w:type="dxa"/>
            <w:hideMark/>
          </w:tcPr>
          <w:p w14:paraId="198B429D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14,0%</w:t>
            </w:r>
          </w:p>
        </w:tc>
        <w:tc>
          <w:tcPr>
            <w:tcW w:w="2552" w:type="dxa"/>
            <w:hideMark/>
          </w:tcPr>
          <w:p w14:paraId="0E87479F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16,5%</w:t>
            </w:r>
          </w:p>
        </w:tc>
      </w:tr>
      <w:tr w:rsidR="00561A32" w:rsidRPr="00C91EBA" w14:paraId="2CFE6B93" w14:textId="77777777" w:rsidTr="004376C2">
        <w:tc>
          <w:tcPr>
            <w:tcW w:w="3119" w:type="dxa"/>
            <w:hideMark/>
          </w:tcPr>
          <w:p w14:paraId="24A1F8DA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1-го года и до 2-х лет</w:t>
            </w:r>
          </w:p>
        </w:tc>
        <w:tc>
          <w:tcPr>
            <w:tcW w:w="2976" w:type="dxa"/>
            <w:hideMark/>
          </w:tcPr>
          <w:p w14:paraId="74D47DDC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14,2%</w:t>
            </w:r>
          </w:p>
        </w:tc>
        <w:tc>
          <w:tcPr>
            <w:tcW w:w="2552" w:type="dxa"/>
            <w:hideMark/>
          </w:tcPr>
          <w:p w14:paraId="16ED69BE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18,0%</w:t>
            </w:r>
          </w:p>
        </w:tc>
      </w:tr>
      <w:tr w:rsidR="00561A32" w:rsidRPr="00C91EBA" w14:paraId="21641C9C" w14:textId="77777777" w:rsidTr="004376C2">
        <w:tc>
          <w:tcPr>
            <w:tcW w:w="3119" w:type="dxa"/>
            <w:hideMark/>
          </w:tcPr>
          <w:p w14:paraId="3771C02B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2-х лет и до 3-х лет</w:t>
            </w:r>
          </w:p>
        </w:tc>
        <w:tc>
          <w:tcPr>
            <w:tcW w:w="2976" w:type="dxa"/>
            <w:hideMark/>
          </w:tcPr>
          <w:p w14:paraId="21E5FC54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14,5%</w:t>
            </w:r>
          </w:p>
        </w:tc>
        <w:tc>
          <w:tcPr>
            <w:tcW w:w="2552" w:type="dxa"/>
            <w:hideMark/>
          </w:tcPr>
          <w:p w14:paraId="0F0DD9AB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19,0%</w:t>
            </w:r>
          </w:p>
        </w:tc>
      </w:tr>
      <w:tr w:rsidR="00561A32" w:rsidRPr="00C91EBA" w14:paraId="42886792" w14:textId="77777777" w:rsidTr="004376C2">
        <w:tc>
          <w:tcPr>
            <w:tcW w:w="3119" w:type="dxa"/>
            <w:hideMark/>
          </w:tcPr>
          <w:p w14:paraId="18AA5BF3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3-х лет и до 4-ти лет</w:t>
            </w:r>
          </w:p>
        </w:tc>
        <w:tc>
          <w:tcPr>
            <w:tcW w:w="2976" w:type="dxa"/>
            <w:hideMark/>
          </w:tcPr>
          <w:p w14:paraId="5A96337F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14,7%</w:t>
            </w:r>
          </w:p>
        </w:tc>
        <w:tc>
          <w:tcPr>
            <w:tcW w:w="2552" w:type="dxa"/>
            <w:hideMark/>
          </w:tcPr>
          <w:p w14:paraId="4F426E25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20,0%</w:t>
            </w:r>
          </w:p>
        </w:tc>
      </w:tr>
      <w:tr w:rsidR="00561A32" w:rsidRPr="00C91EBA" w14:paraId="5A6AC4FE" w14:textId="77777777" w:rsidTr="004376C2">
        <w:tc>
          <w:tcPr>
            <w:tcW w:w="3119" w:type="dxa"/>
            <w:hideMark/>
          </w:tcPr>
          <w:p w14:paraId="05FA159F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4-х лет и до 5-ти лет</w:t>
            </w:r>
          </w:p>
        </w:tc>
        <w:tc>
          <w:tcPr>
            <w:tcW w:w="2976" w:type="dxa"/>
            <w:hideMark/>
          </w:tcPr>
          <w:p w14:paraId="661C3679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14,9%</w:t>
            </w:r>
          </w:p>
        </w:tc>
        <w:tc>
          <w:tcPr>
            <w:tcW w:w="2552" w:type="dxa"/>
            <w:hideMark/>
          </w:tcPr>
          <w:p w14:paraId="6362A542" w14:textId="77777777" w:rsidR="00561A32" w:rsidRPr="00C91EBA" w:rsidRDefault="00561A32" w:rsidP="00022A0F">
            <w:pPr>
              <w:widowControl w:val="0"/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21,0%</w:t>
            </w:r>
          </w:p>
        </w:tc>
      </w:tr>
    </w:tbl>
    <w:p w14:paraId="4D14335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018B9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3) Ипотека-"NEW".</w:t>
      </w:r>
    </w:p>
    <w:p w14:paraId="2555A9B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Срок кредитования: от 180 дней до 84 мес.</w:t>
      </w:r>
    </w:p>
    <w:p w14:paraId="625C238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lastRenderedPageBreak/>
        <w:t>- Лимит кредитования: от 500 000 руб. до 2 500 000 руб.; максимальный размер кредита определяется на основании оценки личности и платежеспособности заемщика.</w:t>
      </w:r>
    </w:p>
    <w:p w14:paraId="03CCA4CE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Процентная ставка по кредиту на покупку земли, коммерческой и нежилой недвижимости:</w:t>
      </w:r>
    </w:p>
    <w:p w14:paraId="5CDB1860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42F4C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Таблица 2: "Процентная ставка по кредиту на покупку земли, коммерческой и нежилой недвижимости".</w:t>
      </w:r>
    </w:p>
    <w:tbl>
      <w:tblPr>
        <w:tblStyle w:val="a4"/>
        <w:tblW w:w="0" w:type="auto"/>
        <w:tblInd w:w="817" w:type="dxa"/>
        <w:tblLook w:val="0400" w:firstRow="0" w:lastRow="0" w:firstColumn="0" w:lastColumn="0" w:noHBand="0" w:noVBand="1"/>
      </w:tblPr>
      <w:tblGrid>
        <w:gridCol w:w="4536"/>
        <w:gridCol w:w="1854"/>
        <w:gridCol w:w="2257"/>
      </w:tblGrid>
      <w:tr w:rsidR="00561A32" w:rsidRPr="00C91EBA" w14:paraId="04749079" w14:textId="77777777" w:rsidTr="00A62A98">
        <w:tc>
          <w:tcPr>
            <w:tcW w:w="4536" w:type="dxa"/>
            <w:hideMark/>
          </w:tcPr>
          <w:p w14:paraId="0FB5C207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Срок кредитования</w:t>
            </w:r>
          </w:p>
        </w:tc>
        <w:tc>
          <w:tcPr>
            <w:tcW w:w="1854" w:type="dxa"/>
            <w:hideMark/>
          </w:tcPr>
          <w:p w14:paraId="4AE13573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С ежегодным страхованием</w:t>
            </w:r>
          </w:p>
        </w:tc>
        <w:tc>
          <w:tcPr>
            <w:tcW w:w="2257" w:type="dxa"/>
            <w:hideMark/>
          </w:tcPr>
          <w:p w14:paraId="3CCC4B61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Без ежегодного страхования</w:t>
            </w:r>
          </w:p>
        </w:tc>
      </w:tr>
      <w:tr w:rsidR="00561A32" w:rsidRPr="00C91EBA" w14:paraId="479CF950" w14:textId="77777777" w:rsidTr="00A62A98">
        <w:tc>
          <w:tcPr>
            <w:tcW w:w="4536" w:type="dxa"/>
            <w:hideMark/>
          </w:tcPr>
          <w:p w14:paraId="06D72955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до 180 дней</w:t>
            </w:r>
          </w:p>
        </w:tc>
        <w:tc>
          <w:tcPr>
            <w:tcW w:w="1854" w:type="dxa"/>
            <w:hideMark/>
          </w:tcPr>
          <w:p w14:paraId="07595E46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13,0%</w:t>
            </w:r>
          </w:p>
        </w:tc>
        <w:tc>
          <w:tcPr>
            <w:tcW w:w="2257" w:type="dxa"/>
            <w:hideMark/>
          </w:tcPr>
          <w:p w14:paraId="0A826658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15,0%</w:t>
            </w:r>
          </w:p>
        </w:tc>
      </w:tr>
      <w:tr w:rsidR="00561A32" w:rsidRPr="00C91EBA" w14:paraId="0BD86042" w14:textId="77777777" w:rsidTr="00A62A98">
        <w:tc>
          <w:tcPr>
            <w:tcW w:w="4536" w:type="dxa"/>
            <w:hideMark/>
          </w:tcPr>
          <w:p w14:paraId="6C154681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180 дней и до 1 года</w:t>
            </w:r>
          </w:p>
        </w:tc>
        <w:tc>
          <w:tcPr>
            <w:tcW w:w="1854" w:type="dxa"/>
            <w:hideMark/>
          </w:tcPr>
          <w:p w14:paraId="073EB7E8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13,5%</w:t>
            </w:r>
          </w:p>
        </w:tc>
        <w:tc>
          <w:tcPr>
            <w:tcW w:w="2257" w:type="dxa"/>
            <w:hideMark/>
          </w:tcPr>
          <w:p w14:paraId="0C21E845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15,5%</w:t>
            </w:r>
          </w:p>
        </w:tc>
      </w:tr>
      <w:tr w:rsidR="00561A32" w:rsidRPr="00C91EBA" w14:paraId="30FF93C8" w14:textId="77777777" w:rsidTr="00A62A98">
        <w:tc>
          <w:tcPr>
            <w:tcW w:w="4536" w:type="dxa"/>
            <w:hideMark/>
          </w:tcPr>
          <w:p w14:paraId="06F17881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1-го года и до 2-х лет</w:t>
            </w:r>
          </w:p>
        </w:tc>
        <w:tc>
          <w:tcPr>
            <w:tcW w:w="1854" w:type="dxa"/>
            <w:hideMark/>
          </w:tcPr>
          <w:p w14:paraId="78A8AD00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14,0%</w:t>
            </w:r>
          </w:p>
        </w:tc>
        <w:tc>
          <w:tcPr>
            <w:tcW w:w="2257" w:type="dxa"/>
            <w:hideMark/>
          </w:tcPr>
          <w:p w14:paraId="7A01C56B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17,0%</w:t>
            </w:r>
          </w:p>
        </w:tc>
      </w:tr>
      <w:tr w:rsidR="00561A32" w:rsidRPr="00C91EBA" w14:paraId="6264626A" w14:textId="77777777" w:rsidTr="00A62A98">
        <w:tc>
          <w:tcPr>
            <w:tcW w:w="4536" w:type="dxa"/>
            <w:hideMark/>
          </w:tcPr>
          <w:p w14:paraId="57D52783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2-х лет и до 3-х лет</w:t>
            </w:r>
          </w:p>
        </w:tc>
        <w:tc>
          <w:tcPr>
            <w:tcW w:w="1854" w:type="dxa"/>
            <w:hideMark/>
          </w:tcPr>
          <w:p w14:paraId="2759ADD9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14,5%</w:t>
            </w:r>
          </w:p>
        </w:tc>
        <w:tc>
          <w:tcPr>
            <w:tcW w:w="2257" w:type="dxa"/>
            <w:hideMark/>
          </w:tcPr>
          <w:p w14:paraId="366F2ED5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17,5%</w:t>
            </w:r>
          </w:p>
        </w:tc>
      </w:tr>
      <w:tr w:rsidR="00561A32" w:rsidRPr="00C91EBA" w14:paraId="12F9F848" w14:textId="77777777" w:rsidTr="00A62A98">
        <w:tc>
          <w:tcPr>
            <w:tcW w:w="4536" w:type="dxa"/>
            <w:hideMark/>
          </w:tcPr>
          <w:p w14:paraId="40206FD3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3-х лет и до 4-х лет</w:t>
            </w:r>
          </w:p>
        </w:tc>
        <w:tc>
          <w:tcPr>
            <w:tcW w:w="1854" w:type="dxa"/>
            <w:hideMark/>
          </w:tcPr>
          <w:p w14:paraId="376EBA09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15,0%</w:t>
            </w:r>
          </w:p>
        </w:tc>
        <w:tc>
          <w:tcPr>
            <w:tcW w:w="2257" w:type="dxa"/>
            <w:hideMark/>
          </w:tcPr>
          <w:p w14:paraId="2DE3B094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18,0%</w:t>
            </w:r>
          </w:p>
        </w:tc>
      </w:tr>
      <w:tr w:rsidR="00561A32" w:rsidRPr="00C91EBA" w14:paraId="358E63A3" w14:textId="77777777" w:rsidTr="00A62A98">
        <w:tc>
          <w:tcPr>
            <w:tcW w:w="4536" w:type="dxa"/>
            <w:hideMark/>
          </w:tcPr>
          <w:p w14:paraId="1AB6A5D2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4-х лет и до 5-ти лет</w:t>
            </w:r>
          </w:p>
        </w:tc>
        <w:tc>
          <w:tcPr>
            <w:tcW w:w="1854" w:type="dxa"/>
            <w:hideMark/>
          </w:tcPr>
          <w:p w14:paraId="6C041D96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15,5%</w:t>
            </w:r>
          </w:p>
        </w:tc>
        <w:tc>
          <w:tcPr>
            <w:tcW w:w="2257" w:type="dxa"/>
            <w:hideMark/>
          </w:tcPr>
          <w:p w14:paraId="74EFFB73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18,5%</w:t>
            </w:r>
          </w:p>
        </w:tc>
      </w:tr>
      <w:tr w:rsidR="00561A32" w:rsidRPr="00C91EBA" w14:paraId="053E80A9" w14:textId="77777777" w:rsidTr="00A62A98">
        <w:tc>
          <w:tcPr>
            <w:tcW w:w="4536" w:type="dxa"/>
            <w:hideMark/>
          </w:tcPr>
          <w:p w14:paraId="32913D9B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5-ти лет и до 7-ми лет</w:t>
            </w:r>
          </w:p>
        </w:tc>
        <w:tc>
          <w:tcPr>
            <w:tcW w:w="1854" w:type="dxa"/>
            <w:hideMark/>
          </w:tcPr>
          <w:p w14:paraId="08F5318A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16,5%</w:t>
            </w:r>
          </w:p>
        </w:tc>
        <w:tc>
          <w:tcPr>
            <w:tcW w:w="2257" w:type="dxa"/>
            <w:hideMark/>
          </w:tcPr>
          <w:p w14:paraId="417A2086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19,0%</w:t>
            </w:r>
          </w:p>
        </w:tc>
      </w:tr>
    </w:tbl>
    <w:p w14:paraId="49DA8DE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31E8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Анализируя данную таблицу, предоставленную ОАО "ЮГ-Инвестбанк", можно сделать вывод о том, что воспользовавшись услугами данного банка вполне реально получить кредит на очень выгодных условиях, которые не уступают более крупным банкам. Можно заметить, что процентная ставка, которую предлагает нам ОАО "ЮГ-Инвестбанк" изменяется с наличием ежегодного страхования на 3%. Самым минимальным сроком кредитования является 180 дней, а самым максимальным 7 лет. Эти условия оптимально подходят для молодых бизнесменов и предпринимателем, которые только начинаю свой бизнес.</w:t>
      </w:r>
    </w:p>
    <w:p w14:paraId="2136F6B0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lastRenderedPageBreak/>
        <w:t>- Процентная ставка по кредиту на покупку жилой недвижимости:</w:t>
      </w:r>
    </w:p>
    <w:p w14:paraId="54A2890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6F3870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Таблица 3: "Процентная ставка по кредиту на покупку жилой недвижимости".</w:t>
      </w:r>
    </w:p>
    <w:tbl>
      <w:tblPr>
        <w:tblStyle w:val="a4"/>
        <w:tblW w:w="0" w:type="auto"/>
        <w:tblInd w:w="817" w:type="dxa"/>
        <w:tblLook w:val="0400" w:firstRow="0" w:lastRow="0" w:firstColumn="0" w:lastColumn="0" w:noHBand="0" w:noVBand="1"/>
      </w:tblPr>
      <w:tblGrid>
        <w:gridCol w:w="3127"/>
        <w:gridCol w:w="2685"/>
        <w:gridCol w:w="2835"/>
      </w:tblGrid>
      <w:tr w:rsidR="00561A32" w:rsidRPr="00C91EBA" w14:paraId="1D493F57" w14:textId="77777777" w:rsidTr="003F7BFF">
        <w:tc>
          <w:tcPr>
            <w:tcW w:w="3127" w:type="dxa"/>
            <w:hideMark/>
          </w:tcPr>
          <w:p w14:paraId="17D526A9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Срок кредитования</w:t>
            </w:r>
          </w:p>
        </w:tc>
        <w:tc>
          <w:tcPr>
            <w:tcW w:w="2685" w:type="dxa"/>
          </w:tcPr>
          <w:p w14:paraId="6738F28A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</w:rPr>
            </w:pPr>
            <w:r w:rsidRPr="00C91EBA">
              <w:rPr>
                <w:sz w:val="20"/>
              </w:rPr>
              <w:t>Размер собственных средств от 30% до 50% /</w:t>
            </w:r>
          </w:p>
          <w:p w14:paraId="0EBD8D79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</w:rPr>
            </w:pPr>
            <w:r w:rsidRPr="00C91EBA">
              <w:rPr>
                <w:sz w:val="20"/>
              </w:rPr>
              <w:t>Свыше 50%</w:t>
            </w:r>
          </w:p>
          <w:p w14:paraId="18E91FAB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С ежегодным страхованием</w:t>
            </w:r>
          </w:p>
        </w:tc>
        <w:tc>
          <w:tcPr>
            <w:tcW w:w="2835" w:type="dxa"/>
          </w:tcPr>
          <w:p w14:paraId="4270AC40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</w:rPr>
            </w:pPr>
            <w:r w:rsidRPr="00C91EBA">
              <w:rPr>
                <w:sz w:val="20"/>
              </w:rPr>
              <w:t>Размер собственных средств от 30% до 50% /</w:t>
            </w:r>
          </w:p>
          <w:p w14:paraId="778CF7E0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</w:rPr>
            </w:pPr>
            <w:r w:rsidRPr="00C91EBA">
              <w:rPr>
                <w:sz w:val="20"/>
              </w:rPr>
              <w:t>Свыше 50%</w:t>
            </w:r>
          </w:p>
          <w:p w14:paraId="760E4A67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Без ежегодного страхования</w:t>
            </w:r>
          </w:p>
        </w:tc>
      </w:tr>
      <w:tr w:rsidR="00561A32" w:rsidRPr="00C91EBA" w14:paraId="2665F4AD" w14:textId="77777777" w:rsidTr="003F7BFF">
        <w:tc>
          <w:tcPr>
            <w:tcW w:w="3127" w:type="dxa"/>
            <w:hideMark/>
          </w:tcPr>
          <w:p w14:paraId="1E0FB211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до 180 дней</w:t>
            </w:r>
          </w:p>
        </w:tc>
        <w:tc>
          <w:tcPr>
            <w:tcW w:w="2685" w:type="dxa"/>
            <w:hideMark/>
          </w:tcPr>
          <w:p w14:paraId="5B2EF843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12,5% / 12,0%</w:t>
            </w:r>
          </w:p>
        </w:tc>
        <w:tc>
          <w:tcPr>
            <w:tcW w:w="2835" w:type="dxa"/>
            <w:hideMark/>
          </w:tcPr>
          <w:p w14:paraId="33F7041F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14,5% / 14,0%</w:t>
            </w:r>
          </w:p>
        </w:tc>
      </w:tr>
      <w:tr w:rsidR="00561A32" w:rsidRPr="00C91EBA" w14:paraId="69D0E7AC" w14:textId="77777777" w:rsidTr="003F7BFF">
        <w:tc>
          <w:tcPr>
            <w:tcW w:w="3127" w:type="dxa"/>
            <w:hideMark/>
          </w:tcPr>
          <w:p w14:paraId="30685B67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180 дней и до 1 года</w:t>
            </w:r>
          </w:p>
        </w:tc>
        <w:tc>
          <w:tcPr>
            <w:tcW w:w="2685" w:type="dxa"/>
            <w:hideMark/>
          </w:tcPr>
          <w:p w14:paraId="2E874DFE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13,0% / 12,5%</w:t>
            </w:r>
          </w:p>
        </w:tc>
        <w:tc>
          <w:tcPr>
            <w:tcW w:w="2835" w:type="dxa"/>
            <w:hideMark/>
          </w:tcPr>
          <w:p w14:paraId="17C7DF5E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15,0% / 14,5%</w:t>
            </w:r>
          </w:p>
        </w:tc>
      </w:tr>
      <w:tr w:rsidR="00561A32" w:rsidRPr="00C91EBA" w14:paraId="42EF7188" w14:textId="77777777" w:rsidTr="003F7BFF">
        <w:tc>
          <w:tcPr>
            <w:tcW w:w="3127" w:type="dxa"/>
            <w:hideMark/>
          </w:tcPr>
          <w:p w14:paraId="0E54991D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1-го года и до 2-х лет</w:t>
            </w:r>
          </w:p>
        </w:tc>
        <w:tc>
          <w:tcPr>
            <w:tcW w:w="2685" w:type="dxa"/>
            <w:hideMark/>
          </w:tcPr>
          <w:p w14:paraId="5E82A907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13,5% / 13,0%</w:t>
            </w:r>
          </w:p>
        </w:tc>
        <w:tc>
          <w:tcPr>
            <w:tcW w:w="2835" w:type="dxa"/>
            <w:hideMark/>
          </w:tcPr>
          <w:p w14:paraId="559B53EC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16,5% / 16,0%</w:t>
            </w:r>
          </w:p>
        </w:tc>
      </w:tr>
      <w:tr w:rsidR="00561A32" w:rsidRPr="00C91EBA" w14:paraId="05A841D0" w14:textId="77777777" w:rsidTr="003F7BFF">
        <w:tc>
          <w:tcPr>
            <w:tcW w:w="3127" w:type="dxa"/>
            <w:hideMark/>
          </w:tcPr>
          <w:p w14:paraId="76E33E5A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2-х лет и до 3-х лет</w:t>
            </w:r>
          </w:p>
        </w:tc>
        <w:tc>
          <w:tcPr>
            <w:tcW w:w="2685" w:type="dxa"/>
            <w:hideMark/>
          </w:tcPr>
          <w:p w14:paraId="06DBFBA2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14,0% / 13,5%</w:t>
            </w:r>
          </w:p>
        </w:tc>
        <w:tc>
          <w:tcPr>
            <w:tcW w:w="2835" w:type="dxa"/>
            <w:hideMark/>
          </w:tcPr>
          <w:p w14:paraId="40512FEC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17,0% / 16,5%</w:t>
            </w:r>
          </w:p>
        </w:tc>
      </w:tr>
      <w:tr w:rsidR="00561A32" w:rsidRPr="00C91EBA" w14:paraId="5117E789" w14:textId="77777777" w:rsidTr="003F7BFF">
        <w:tc>
          <w:tcPr>
            <w:tcW w:w="3127" w:type="dxa"/>
            <w:hideMark/>
          </w:tcPr>
          <w:p w14:paraId="22F16A35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3-х лет и до 4-х лет</w:t>
            </w:r>
          </w:p>
        </w:tc>
        <w:tc>
          <w:tcPr>
            <w:tcW w:w="2685" w:type="dxa"/>
            <w:hideMark/>
          </w:tcPr>
          <w:p w14:paraId="22843C16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14,5% / 14,0%</w:t>
            </w:r>
          </w:p>
        </w:tc>
        <w:tc>
          <w:tcPr>
            <w:tcW w:w="2835" w:type="dxa"/>
            <w:hideMark/>
          </w:tcPr>
          <w:p w14:paraId="4601E0BF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17,5% / 17,0%</w:t>
            </w:r>
          </w:p>
        </w:tc>
      </w:tr>
      <w:tr w:rsidR="00561A32" w:rsidRPr="00C91EBA" w14:paraId="1373AC88" w14:textId="77777777" w:rsidTr="003F7BFF">
        <w:tc>
          <w:tcPr>
            <w:tcW w:w="3127" w:type="dxa"/>
            <w:hideMark/>
          </w:tcPr>
          <w:p w14:paraId="1D1A5F0B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4-х лет и до 5-ти лет</w:t>
            </w:r>
          </w:p>
        </w:tc>
        <w:tc>
          <w:tcPr>
            <w:tcW w:w="2685" w:type="dxa"/>
            <w:hideMark/>
          </w:tcPr>
          <w:p w14:paraId="17BCEE88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15,0% / 14,5%</w:t>
            </w:r>
          </w:p>
        </w:tc>
        <w:tc>
          <w:tcPr>
            <w:tcW w:w="2835" w:type="dxa"/>
            <w:hideMark/>
          </w:tcPr>
          <w:p w14:paraId="4617A076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18,0% / 17,5%</w:t>
            </w:r>
          </w:p>
        </w:tc>
      </w:tr>
      <w:tr w:rsidR="00561A32" w:rsidRPr="00C91EBA" w14:paraId="45CCC549" w14:textId="77777777" w:rsidTr="003F7BFF">
        <w:tc>
          <w:tcPr>
            <w:tcW w:w="3127" w:type="dxa"/>
            <w:hideMark/>
          </w:tcPr>
          <w:p w14:paraId="57AE92D4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При сроке кредитования свыше 5-ти лет и до 7-ми лет</w:t>
            </w:r>
          </w:p>
        </w:tc>
        <w:tc>
          <w:tcPr>
            <w:tcW w:w="2685" w:type="dxa"/>
            <w:hideMark/>
          </w:tcPr>
          <w:p w14:paraId="5F43BC69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15,9% / 15,5%</w:t>
            </w:r>
          </w:p>
        </w:tc>
        <w:tc>
          <w:tcPr>
            <w:tcW w:w="2835" w:type="dxa"/>
            <w:hideMark/>
          </w:tcPr>
          <w:p w14:paraId="449FE97A" w14:textId="77777777" w:rsidR="00561A32" w:rsidRPr="00C91EBA" w:rsidRDefault="00561A32" w:rsidP="00022A0F">
            <w:pPr>
              <w:widowControl w:val="0"/>
              <w:tabs>
                <w:tab w:val="left" w:pos="6510"/>
              </w:tabs>
              <w:suppressAutoHyphens/>
              <w:spacing w:line="360" w:lineRule="auto"/>
              <w:rPr>
                <w:sz w:val="20"/>
                <w:szCs w:val="24"/>
              </w:rPr>
            </w:pPr>
            <w:r w:rsidRPr="00C91EBA">
              <w:rPr>
                <w:sz w:val="20"/>
              </w:rPr>
              <w:t>18,5% / 18,0%</w:t>
            </w:r>
          </w:p>
        </w:tc>
      </w:tr>
    </w:tbl>
    <w:p w14:paraId="5BB964C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5CD9C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 xml:space="preserve">Кадровая политика - это главное направление в работе с кадрами, набор основополагающих принципов, которые реализуются Отделом управления персоналом Банка. В этом отношении кадровая политика представляет собой стратегическую линию поведения в работе с персоналом. Главным объектом кадровой политики Банка является персонал (кадры). От квалификации работников, их профессиональной подготовки, деловых качеств в значительной мере зависят эффективность и качество предоставления банковских услуг и работа Банка в целом. Поэтому кадровая политика Банка направлена на формирование такой системы работы с кадрами, которая ориентировалась бы на получение не только экономического, но и социального эффекта при условии соблюдения </w:t>
      </w:r>
      <w:r w:rsidRPr="00C91EBA">
        <w:rPr>
          <w:rFonts w:ascii="Times New Roman" w:hAnsi="Times New Roman"/>
          <w:sz w:val="28"/>
          <w:szCs w:val="28"/>
        </w:rPr>
        <w:lastRenderedPageBreak/>
        <w:t>действующего законодательства.</w:t>
      </w:r>
    </w:p>
    <w:p w14:paraId="6F1C5254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Кадровая политика формирует:</w:t>
      </w:r>
    </w:p>
    <w:p w14:paraId="2C8F5E0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требования к персоналу на стадии их трудоустройства (к образованию, возрасту, стажу в банковской сфере, уровню специальной подготовки и т.п.);</w:t>
      </w:r>
    </w:p>
    <w:p w14:paraId="1316C940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отношение к стабилизации коллектива Банка (всего или определенной его части);</w:t>
      </w:r>
    </w:p>
    <w:p w14:paraId="6C33512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отношение к характеру подготовки новых работников, а также к переподготовке кадров;</w:t>
      </w:r>
    </w:p>
    <w:p w14:paraId="07BD01CA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отношение к внутрифирменному движению кадров и т.п.</w:t>
      </w:r>
    </w:p>
    <w:p w14:paraId="78FA53E8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Задачи кадровой политики включают:</w:t>
      </w:r>
    </w:p>
    <w:p w14:paraId="3671EDF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поднятие престижа Банка за счет обеспечения квалифицированными кадрами;</w:t>
      </w:r>
    </w:p>
    <w:p w14:paraId="4BC2A173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исследование атмосферы внутри Банка;</w:t>
      </w:r>
    </w:p>
    <w:p w14:paraId="04B8A3A1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анализ перспективы развития потенциалов работников;</w:t>
      </w:r>
    </w:p>
    <w:p w14:paraId="3A6A0BB7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разработка локальной нормативной базы;</w:t>
      </w:r>
    </w:p>
    <w:p w14:paraId="1150361D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развитие корпоративной культуры;</w:t>
      </w:r>
    </w:p>
    <w:p w14:paraId="4D38A6B7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- обобщение и предупреждение причин увольнения с работы.</w:t>
      </w:r>
    </w:p>
    <w:p w14:paraId="11608C75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 xml:space="preserve">Подводя итог анализа деятельности ОАО "ЮГ-Инвестбанк" можно сделать вывод, что банк крепко занял определенную нишу на рынке банковских услуг. Имеет большой выбор разнообразных банковских услуг, которые пользуются спросом среди населения. Банк имеет обширную сеть филиалов и дополнительных офисов. Не малое внимание в банке уделяется кадровой политике, которая важна для любого коммерческого предприятия. Существует четкая система заработной платы и премирования сотрудников, которая адекватно оценивает вклад работников в деятельность банка. Проведя анализ наиболее важных экономических показателей деятельности банка можно сделать вывод о том, что банк успешно развивается. Статистика за последние годы говорит, что капитал и прибыль банка увеличиваются с каждым годом, а это самые главный фактор развития коммерческого банка. </w:t>
      </w:r>
      <w:r w:rsidRPr="00C91EBA">
        <w:rPr>
          <w:rFonts w:ascii="Times New Roman" w:hAnsi="Times New Roman"/>
          <w:sz w:val="28"/>
          <w:szCs w:val="28"/>
        </w:rPr>
        <w:lastRenderedPageBreak/>
        <w:t>И все остальные показатели позитивно оценивают нынешнее состояние банка и его перспективу развития.</w:t>
      </w:r>
    </w:p>
    <w:p w14:paraId="3FF90D0A" w14:textId="77777777" w:rsidR="00323207" w:rsidRPr="004D25B5" w:rsidRDefault="00323207" w:rsidP="004D25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61CBD" w14:textId="77777777" w:rsidR="008530A3" w:rsidRDefault="008530A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5E394BE9" w14:textId="77777777" w:rsidR="00323207" w:rsidRPr="00561A32" w:rsidRDefault="00323207" w:rsidP="00561A3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61A3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14:paraId="57220DE6" w14:textId="77777777" w:rsidR="00323207" w:rsidRPr="004D25B5" w:rsidRDefault="00323207" w:rsidP="004D25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07C0BBE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Подводя итоги проделанной работы, следует отметить последовательное выполнение поставленных задач. В ходе исследования было проанализировано достаточное число методической и учебной литературы, научных статей, что позволило провести подробный анализ банковской системы Российской Федерации. Было установлено, что, в России существует двухуровневая банковская система во главе с Центральным банком. Следует отметить, что наиболее эффективным путем развитие банковской системы нашей страны была бы синтезированная система, состоящая из всех положительных сторон имеющихся вариантов.</w:t>
      </w:r>
    </w:p>
    <w:p w14:paraId="41DB540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Именно к такой модели стремятся сраны с более устойчивыми банковскими системами, в этом же направлении необходимо развиваться и российским.</w:t>
      </w:r>
    </w:p>
    <w:p w14:paraId="1633B936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В ходе исследования была описана роль банковской системы в экономике не только нашей страны, но и в мировой экономике. Были даны характеристики элементов банковской системы, а именно Центрального банка и коммерческого банка. Так же были установлены проблемы, стоящие перед банковской системой нашей страны на современном этапе развития.</w:t>
      </w:r>
    </w:p>
    <w:p w14:paraId="5954FB39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При описании методики проведения анализа деятельности банковской системы России и финансово-экономических показателей, было использовано достаточное количество методической литературы для формирования интегрированного анализа эффективности функционирования объекта исследования - ОАО "ЮГ-Инвестбанк</w:t>
      </w:r>
      <w:r>
        <w:rPr>
          <w:rFonts w:ascii="Times New Roman" w:hAnsi="Times New Roman"/>
          <w:sz w:val="28"/>
          <w:szCs w:val="28"/>
        </w:rPr>
        <w:t>"</w:t>
      </w:r>
      <w:r w:rsidRPr="00C91EBA">
        <w:rPr>
          <w:rFonts w:ascii="Times New Roman" w:hAnsi="Times New Roman"/>
          <w:sz w:val="28"/>
          <w:szCs w:val="28"/>
        </w:rPr>
        <w:t xml:space="preserve">. При проведении анализа было проведено большое количество вычислительной работы с использованием компьютерных программ, которая позволила выявить не только динамику показателей экономической деятельности организации, но и проанализировать социально-трудовую деятельность ОАО "ЮГ-Инвестбанк". По результатам анализа было установлено, что деятельность банка носит прибыльный характер и преподносит клиентам огромный выбор </w:t>
      </w:r>
      <w:r w:rsidRPr="00C91EBA">
        <w:rPr>
          <w:rFonts w:ascii="Times New Roman" w:hAnsi="Times New Roman"/>
          <w:sz w:val="28"/>
          <w:szCs w:val="28"/>
        </w:rPr>
        <w:lastRenderedPageBreak/>
        <w:t>самых качественных банковских продуктов, в среднем динамика основных показателей эффективности положительна, однако, необходимо провести ряд мероприятий, направленных на стабилизацию темпов роста основных экономических показателей. Анализ социально-трудовых показателей выявил проблемы, связанные с ростом текучести кадров в организации. Это говорит о необходимости проведения глубокого анализа этих показателей с целью выявления причин их негативного изменения, а также разработки программы мероприятий по устранению этих проблем.</w:t>
      </w:r>
    </w:p>
    <w:p w14:paraId="2C3692CC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На основе приведенного перечня основных проблем, препятствующих быстрому развитию российской банковской системы, были предложены мероприятия, способные разрешить обозначенные проблемы. На основе этого списка, а также анализа объекта исследования был предложен проект, способный решить проблему некачественного и неэфективного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EBA">
        <w:rPr>
          <w:rFonts w:ascii="Times New Roman" w:hAnsi="Times New Roman"/>
          <w:sz w:val="28"/>
          <w:szCs w:val="28"/>
        </w:rPr>
        <w:t>обслуживания клиентов ОАО "ЮГ-Инвестбанк".</w:t>
      </w:r>
    </w:p>
    <w:p w14:paraId="44AA74D3" w14:textId="77777777" w:rsidR="00561A32" w:rsidRPr="00C91EBA" w:rsidRDefault="00561A32" w:rsidP="00561A3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BA">
        <w:rPr>
          <w:rFonts w:ascii="Times New Roman" w:hAnsi="Times New Roman"/>
          <w:sz w:val="28"/>
          <w:szCs w:val="28"/>
        </w:rPr>
        <w:t>Данным проектом является внедрение автоматизированной системы управления электронной очередью. Данная система позволит повысить качество обслуживания клиентов, увеличит эффективность работы отделов по обслуживанию юридических и физических лиц. Расчет эффективности данного мероприятия наглядно показал, что мероприятие будет прибыльным и принесет не мало выгодны банку. Экономическая эффективность данного мероприятия в стоимостном выражении составит 826319 рублей за первый год. Таким образом, внедрение данного мероприятия положительно отразится на деятельности ОАО "ЮГ-Инвестбанк".</w:t>
      </w:r>
    </w:p>
    <w:p w14:paraId="5A509EE3" w14:textId="77777777" w:rsidR="00DE08D2" w:rsidRPr="004D25B5" w:rsidRDefault="00DE08D2" w:rsidP="004D25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1EC5B4E" w14:textId="77777777" w:rsidR="008530A3" w:rsidRDefault="008530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377AE4E" w14:textId="77777777" w:rsidR="00DE08D2" w:rsidRPr="00194840" w:rsidRDefault="007A3B59" w:rsidP="0019484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840">
        <w:rPr>
          <w:rFonts w:ascii="Times New Roman" w:hAnsi="Times New Roman"/>
          <w:b/>
          <w:sz w:val="28"/>
          <w:szCs w:val="28"/>
        </w:rPr>
        <w:lastRenderedPageBreak/>
        <w:t>СПИ</w:t>
      </w:r>
      <w:r w:rsidR="00313D66" w:rsidRPr="00194840">
        <w:rPr>
          <w:rFonts w:ascii="Times New Roman" w:hAnsi="Times New Roman"/>
          <w:b/>
          <w:sz w:val="28"/>
          <w:szCs w:val="28"/>
        </w:rPr>
        <w:t>СОК</w:t>
      </w:r>
      <w:r w:rsidR="0056335D" w:rsidRPr="00194840">
        <w:rPr>
          <w:rFonts w:ascii="Times New Roman" w:hAnsi="Times New Roman"/>
          <w:b/>
          <w:sz w:val="28"/>
          <w:szCs w:val="28"/>
        </w:rPr>
        <w:t xml:space="preserve"> </w:t>
      </w:r>
      <w:r w:rsidR="00313D66" w:rsidRPr="00194840">
        <w:rPr>
          <w:rFonts w:ascii="Times New Roman" w:hAnsi="Times New Roman"/>
          <w:b/>
          <w:sz w:val="28"/>
          <w:szCs w:val="28"/>
        </w:rPr>
        <w:t>ИСПОЛЬЗОВАННЫХ</w:t>
      </w:r>
      <w:r w:rsidR="0056335D" w:rsidRPr="00194840">
        <w:rPr>
          <w:rFonts w:ascii="Times New Roman" w:hAnsi="Times New Roman"/>
          <w:b/>
          <w:sz w:val="28"/>
          <w:szCs w:val="28"/>
        </w:rPr>
        <w:t xml:space="preserve"> </w:t>
      </w:r>
      <w:r w:rsidRPr="00194840">
        <w:rPr>
          <w:rFonts w:ascii="Times New Roman" w:hAnsi="Times New Roman"/>
          <w:b/>
          <w:sz w:val="28"/>
          <w:szCs w:val="28"/>
        </w:rPr>
        <w:t>ИСТОЧНИКОВ</w:t>
      </w:r>
    </w:p>
    <w:p w14:paraId="6166C08C" w14:textId="77777777" w:rsidR="00DE08D2" w:rsidRPr="004D25B5" w:rsidRDefault="00DE08D2" w:rsidP="004D25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DF5AF60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Авдийский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В.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И.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Риски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хозяйствующих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субъектов: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основы,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методологии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анализа,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прогнозирования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упр.: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Уч.пос.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В.И.Авдийский,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В.М.Безденежных.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Альфа-М: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НИЦ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ИНФРА-М,2013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368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1555BAA9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Вешкин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Ю.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Г.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Экономический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анализ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банка: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Учебное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пособие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Ю.Г.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Вешкин,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Г.Л.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Авагян.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Магистр: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2011.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352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14E6B57F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Герасимова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Е.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Б.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Турбо-анализ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банка: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Учебное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пособие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Е.Б.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Герасимова.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Форум,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2010.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384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71CD8347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Звонова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Е.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А.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банка: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Учебник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Е.А.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Звонова,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Белецкий,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М.Ю.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Богачева,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О.Ю.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Дадашева;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Под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ред.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Е.А.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Звоновой.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НИЦ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2012.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632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74323932" w14:textId="77777777" w:rsidR="007B28A8" w:rsidRPr="004D25B5" w:rsidRDefault="007B28A8" w:rsidP="00194840">
      <w:pPr>
        <w:pStyle w:val="a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Ивлиев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Управление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рыночным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риском: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методология,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практика,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рекомендации.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Практическое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Ивлиев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В.,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Ефремова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Т.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А.,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Лапшин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А.,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Степанова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О.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А.,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Манаев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М.: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Регламент,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2013.</w:t>
      </w:r>
    </w:p>
    <w:p w14:paraId="45C91D7D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Казакова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Н.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А.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среда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предпринимательства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предпринимательские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риски: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Учебное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пособие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Н.А.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Казакова.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2011.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208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4F7D14A8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Казимагомедов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А.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А.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Банковское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дело: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центрального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банка,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небанковских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учебник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А.А.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Казимагомедов.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–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2017.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–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502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0C8E5F7B" w14:textId="77777777" w:rsidR="007B28A8" w:rsidRPr="004D25B5" w:rsidRDefault="007B28A8" w:rsidP="00194840">
      <w:pPr>
        <w:pStyle w:val="a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Костюченко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Анализ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кредитных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Костюченко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СПб.: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«Скифия»,</w:t>
      </w:r>
      <w:r w:rsidR="005633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5B5">
        <w:rPr>
          <w:rFonts w:ascii="Times New Roman" w:hAnsi="Times New Roman"/>
          <w:sz w:val="28"/>
          <w:szCs w:val="28"/>
          <w:shd w:val="clear" w:color="auto" w:fill="FFFFFF"/>
        </w:rPr>
        <w:t>2010.</w:t>
      </w:r>
    </w:p>
    <w:p w14:paraId="4CF19B1E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Маркова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О.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М.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банка: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Учебник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Маркова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О.М.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ИД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ФОРУМ,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НИЦ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2016.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496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</w:t>
      </w:r>
    </w:p>
    <w:p w14:paraId="6BD8B8E5" w14:textId="77777777" w:rsidR="007B28A8" w:rsidRPr="004D25B5" w:rsidRDefault="009D22BC" w:rsidP="00194840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anchor="none" w:history="1"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Рудько-Селиванов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В.</w:t>
        </w:r>
        <w:r w:rsidR="0056335D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7B28A8" w:rsidRPr="004D25B5">
          <w:rPr>
            <w:rFonts w:ascii="Times New Roman" w:hAnsi="Times New Roman"/>
            <w:sz w:val="28"/>
            <w:szCs w:val="28"/>
            <w:lang w:eastAsia="ru-RU"/>
          </w:rPr>
          <w:t>В.</w:t>
        </w:r>
      </w:hyperlink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банковскими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рисками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в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глобализ.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мировой..: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Науч.-практ.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пос.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для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спец.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/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Под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ред.В.В.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Ткаченко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изд.,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перераб.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доп.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М.: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ИЦ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РИОР: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НИЦ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Инфра-М,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2013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t>-</w:t>
      </w:r>
      <w:r w:rsidR="00563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8A8" w:rsidRPr="004D25B5">
        <w:rPr>
          <w:rFonts w:ascii="Times New Roman" w:hAnsi="Times New Roman"/>
          <w:sz w:val="28"/>
          <w:szCs w:val="28"/>
          <w:lang w:eastAsia="ru-RU"/>
        </w:rPr>
        <w:lastRenderedPageBreak/>
        <w:t>318с.</w:t>
      </w:r>
    </w:p>
    <w:sectPr w:rsidR="007B28A8" w:rsidRPr="004D25B5" w:rsidSect="00BE116F"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B1144" w14:textId="77777777" w:rsidR="009D22BC" w:rsidRDefault="009D22BC" w:rsidP="007B28A8">
      <w:pPr>
        <w:spacing w:after="0" w:line="240" w:lineRule="auto"/>
      </w:pPr>
      <w:r>
        <w:separator/>
      </w:r>
    </w:p>
  </w:endnote>
  <w:endnote w:type="continuationSeparator" w:id="0">
    <w:p w14:paraId="76F8FF6D" w14:textId="77777777" w:rsidR="009D22BC" w:rsidRDefault="009D22BC" w:rsidP="007B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166562"/>
      <w:docPartObj>
        <w:docPartGallery w:val="Page Numbers (Bottom of Page)"/>
        <w:docPartUnique/>
      </w:docPartObj>
    </w:sdtPr>
    <w:sdtEndPr/>
    <w:sdtContent>
      <w:p w14:paraId="69006778" w14:textId="238F02DB" w:rsidR="00BE116F" w:rsidRDefault="00BE11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31">
          <w:rPr>
            <w:noProof/>
          </w:rPr>
          <w:t>2</w:t>
        </w:r>
        <w:r>
          <w:fldChar w:fldCharType="end"/>
        </w:r>
      </w:p>
    </w:sdtContent>
  </w:sdt>
  <w:p w14:paraId="34880CD1" w14:textId="33F8C092" w:rsidR="00194840" w:rsidRPr="00194840" w:rsidRDefault="00194840">
    <w:pPr>
      <w:pStyle w:val="aa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1E3F" w14:textId="56A68CF7" w:rsidR="00BE116F" w:rsidRDefault="00BE116F">
    <w:pPr>
      <w:pStyle w:val="aa"/>
      <w:jc w:val="center"/>
    </w:pPr>
  </w:p>
  <w:p w14:paraId="4CB9921D" w14:textId="77777777" w:rsidR="00BE116F" w:rsidRDefault="00BE11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54D7C" w14:textId="77777777" w:rsidR="009D22BC" w:rsidRDefault="009D22BC" w:rsidP="007B28A8">
      <w:pPr>
        <w:spacing w:after="0" w:line="240" w:lineRule="auto"/>
      </w:pPr>
      <w:r>
        <w:separator/>
      </w:r>
    </w:p>
  </w:footnote>
  <w:footnote w:type="continuationSeparator" w:id="0">
    <w:p w14:paraId="07A01BC8" w14:textId="77777777" w:rsidR="009D22BC" w:rsidRDefault="009D22BC" w:rsidP="007B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87F"/>
    <w:multiLevelType w:val="hybridMultilevel"/>
    <w:tmpl w:val="E77649E8"/>
    <w:lvl w:ilvl="0" w:tplc="EDCC40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9385A46"/>
    <w:multiLevelType w:val="hybridMultilevel"/>
    <w:tmpl w:val="14E605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22381D"/>
    <w:multiLevelType w:val="multilevel"/>
    <w:tmpl w:val="D4F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A6B00"/>
    <w:multiLevelType w:val="multilevel"/>
    <w:tmpl w:val="5506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2755B"/>
    <w:multiLevelType w:val="multilevel"/>
    <w:tmpl w:val="005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E4"/>
    <w:rsid w:val="000068A6"/>
    <w:rsid w:val="0004557F"/>
    <w:rsid w:val="0007262C"/>
    <w:rsid w:val="00087400"/>
    <w:rsid w:val="00091835"/>
    <w:rsid w:val="000D78F5"/>
    <w:rsid w:val="000F0318"/>
    <w:rsid w:val="000F3A13"/>
    <w:rsid w:val="000F6A16"/>
    <w:rsid w:val="00112677"/>
    <w:rsid w:val="0012287E"/>
    <w:rsid w:val="00164A40"/>
    <w:rsid w:val="00190BCC"/>
    <w:rsid w:val="00194840"/>
    <w:rsid w:val="001C2E24"/>
    <w:rsid w:val="00261025"/>
    <w:rsid w:val="002A2DA9"/>
    <w:rsid w:val="002A7970"/>
    <w:rsid w:val="00313D66"/>
    <w:rsid w:val="00323207"/>
    <w:rsid w:val="003261BC"/>
    <w:rsid w:val="00337298"/>
    <w:rsid w:val="0034712E"/>
    <w:rsid w:val="00347A45"/>
    <w:rsid w:val="00353B9C"/>
    <w:rsid w:val="0037087D"/>
    <w:rsid w:val="00382BDC"/>
    <w:rsid w:val="0038702E"/>
    <w:rsid w:val="003A51E8"/>
    <w:rsid w:val="00423D31"/>
    <w:rsid w:val="00454E29"/>
    <w:rsid w:val="004630CD"/>
    <w:rsid w:val="004763DE"/>
    <w:rsid w:val="00487F75"/>
    <w:rsid w:val="00490263"/>
    <w:rsid w:val="0049177B"/>
    <w:rsid w:val="004A14D4"/>
    <w:rsid w:val="004A2AD8"/>
    <w:rsid w:val="004C7DCF"/>
    <w:rsid w:val="004D25B5"/>
    <w:rsid w:val="005031CE"/>
    <w:rsid w:val="00504B8D"/>
    <w:rsid w:val="0051023C"/>
    <w:rsid w:val="00534C0C"/>
    <w:rsid w:val="005425E4"/>
    <w:rsid w:val="00543909"/>
    <w:rsid w:val="00561A32"/>
    <w:rsid w:val="0056335D"/>
    <w:rsid w:val="00566A2D"/>
    <w:rsid w:val="00575BC5"/>
    <w:rsid w:val="005B1657"/>
    <w:rsid w:val="005D5AB5"/>
    <w:rsid w:val="006452C6"/>
    <w:rsid w:val="006471B7"/>
    <w:rsid w:val="006542E6"/>
    <w:rsid w:val="00697DA6"/>
    <w:rsid w:val="006A379D"/>
    <w:rsid w:val="006B313B"/>
    <w:rsid w:val="006F3E98"/>
    <w:rsid w:val="00707D5D"/>
    <w:rsid w:val="00730DC0"/>
    <w:rsid w:val="00740EA2"/>
    <w:rsid w:val="00773F38"/>
    <w:rsid w:val="00775EB2"/>
    <w:rsid w:val="007A3B59"/>
    <w:rsid w:val="007B28A8"/>
    <w:rsid w:val="007F0B16"/>
    <w:rsid w:val="007F2D85"/>
    <w:rsid w:val="00800639"/>
    <w:rsid w:val="008530A3"/>
    <w:rsid w:val="0085624B"/>
    <w:rsid w:val="00862656"/>
    <w:rsid w:val="0088451F"/>
    <w:rsid w:val="008D0AE6"/>
    <w:rsid w:val="008D3EC2"/>
    <w:rsid w:val="009472D0"/>
    <w:rsid w:val="00990451"/>
    <w:rsid w:val="009A38B8"/>
    <w:rsid w:val="009C51A7"/>
    <w:rsid w:val="009D22BC"/>
    <w:rsid w:val="009F16F6"/>
    <w:rsid w:val="00A019CE"/>
    <w:rsid w:val="00A06944"/>
    <w:rsid w:val="00A113E5"/>
    <w:rsid w:val="00A47DB7"/>
    <w:rsid w:val="00A973C6"/>
    <w:rsid w:val="00AA2F29"/>
    <w:rsid w:val="00AD3E00"/>
    <w:rsid w:val="00AE123B"/>
    <w:rsid w:val="00AE6A0E"/>
    <w:rsid w:val="00B234CD"/>
    <w:rsid w:val="00B41C70"/>
    <w:rsid w:val="00B43B95"/>
    <w:rsid w:val="00B716E7"/>
    <w:rsid w:val="00B9036A"/>
    <w:rsid w:val="00B94019"/>
    <w:rsid w:val="00BA3A68"/>
    <w:rsid w:val="00BD5781"/>
    <w:rsid w:val="00BE116F"/>
    <w:rsid w:val="00BE3C6C"/>
    <w:rsid w:val="00BE40FA"/>
    <w:rsid w:val="00C05BDD"/>
    <w:rsid w:val="00C16338"/>
    <w:rsid w:val="00C21167"/>
    <w:rsid w:val="00C53188"/>
    <w:rsid w:val="00C62764"/>
    <w:rsid w:val="00CB6E30"/>
    <w:rsid w:val="00CE0544"/>
    <w:rsid w:val="00CE0AD5"/>
    <w:rsid w:val="00D956AC"/>
    <w:rsid w:val="00DB459C"/>
    <w:rsid w:val="00DD2483"/>
    <w:rsid w:val="00DE08D2"/>
    <w:rsid w:val="00E2020E"/>
    <w:rsid w:val="00E55407"/>
    <w:rsid w:val="00E61D78"/>
    <w:rsid w:val="00E6269C"/>
    <w:rsid w:val="00E8725D"/>
    <w:rsid w:val="00E975F9"/>
    <w:rsid w:val="00EA4D39"/>
    <w:rsid w:val="00ED0A87"/>
    <w:rsid w:val="00F0649F"/>
    <w:rsid w:val="00F12FA6"/>
    <w:rsid w:val="00F245A8"/>
    <w:rsid w:val="00F30F91"/>
    <w:rsid w:val="00F32920"/>
    <w:rsid w:val="00F71DFA"/>
    <w:rsid w:val="00F869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021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C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E4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740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D2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8740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08D2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42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5E4"/>
    <w:rPr>
      <w:rFonts w:cs="Times New Roman"/>
    </w:rPr>
  </w:style>
  <w:style w:type="table" w:styleId="a4">
    <w:name w:val="Table Grid"/>
    <w:basedOn w:val="a1"/>
    <w:uiPriority w:val="59"/>
    <w:rsid w:val="005425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7400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400"/>
    <w:rPr>
      <w:rFonts w:cs="Times New Roman"/>
      <w:color w:val="800080"/>
      <w:u w:val="single"/>
    </w:rPr>
  </w:style>
  <w:style w:type="table" w:customStyle="1" w:styleId="11">
    <w:name w:val="Сетка таблицы светлая1"/>
    <w:basedOn w:val="a1"/>
    <w:uiPriority w:val="40"/>
    <w:rsid w:val="0085624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8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B28A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B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B28A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7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73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4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E40F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E40FA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40FA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E40FA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CC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E4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740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D2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87400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08D2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542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5E4"/>
    <w:rPr>
      <w:rFonts w:cs="Times New Roman"/>
    </w:rPr>
  </w:style>
  <w:style w:type="table" w:styleId="a4">
    <w:name w:val="Table Grid"/>
    <w:basedOn w:val="a1"/>
    <w:uiPriority w:val="59"/>
    <w:rsid w:val="005425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7400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400"/>
    <w:rPr>
      <w:rFonts w:cs="Times New Roman"/>
      <w:color w:val="800080"/>
      <w:u w:val="single"/>
    </w:rPr>
  </w:style>
  <w:style w:type="table" w:customStyle="1" w:styleId="11">
    <w:name w:val="Сетка таблицы светлая1"/>
    <w:basedOn w:val="a1"/>
    <w:uiPriority w:val="40"/>
    <w:rsid w:val="0085624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8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B28A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B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B28A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7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73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4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BE40F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E40FA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40FA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E40FA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item=booksearch&amp;code=%D1%80%D0%B8%D1%81%D0%BA%D0%B8" TargetMode="External"/><Relationship Id="rId18" Type="http://schemas.openxmlformats.org/officeDocument/2006/relationships/hyperlink" Target="http://znanium.com/catalog.php?item=booksearch&amp;code=%D0%B1%D0%B0%D0%BD%D0%BA%D0%B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0828/" TargetMode="External"/><Relationship Id="rId17" Type="http://schemas.openxmlformats.org/officeDocument/2006/relationships/hyperlink" Target="http://znanium.com/catalog.php?item=booksearch&amp;code=%D1%80%D0%B8%D1%81%D0%BA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0%B1%D0%B0%D0%BD%D0%BA%D0%B0" TargetMode="External"/><Relationship Id="rId20" Type="http://schemas.openxmlformats.org/officeDocument/2006/relationships/hyperlink" Target="http://znanium.com/catalog.php?item=booksearch&amp;code=%D1%80%D0%B8%D1%81%D0%BA%D0%B8&amp;page=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i.ru/wikibank/%DE%F0%E8%E4%E8%F7%E5%F1%EA%EE%E5+%EB%E8%F6%E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item=booksearch&amp;code=%D0%B1%D0%B0%D0%BD%D0%BA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nki.ru/wikibank/%CA%F0%E5%E4%E8%F2/" TargetMode="External"/><Relationship Id="rId19" Type="http://schemas.openxmlformats.org/officeDocument/2006/relationships/hyperlink" Target="http://znanium.com/catalog.php?item=booksearch&amp;code=%D0%B1%D0%B0%D0%BD%D0%BA%D0%B0&amp;page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ki.ru/wikibank/%CA%E0%EF%E8%F2%E0%EB/" TargetMode="External"/><Relationship Id="rId14" Type="http://schemas.openxmlformats.org/officeDocument/2006/relationships/hyperlink" Target="http://znanium.com/catalog.php?item=booksearch&amp;code=%D0%B1%D0%B0%D0%BD%D0%BA%D0%B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3A25-B794-4301-AA74-BB2FE9AC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2020-06-29T16:45:00Z</dcterms:created>
  <dcterms:modified xsi:type="dcterms:W3CDTF">2020-06-29T16:45:00Z</dcterms:modified>
</cp:coreProperties>
</file>