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CFFCA" w14:textId="77777777" w:rsidR="0001197F" w:rsidRPr="0001197F" w:rsidRDefault="0001197F" w:rsidP="000119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b/>
          <w:i/>
          <w:sz w:val="28"/>
          <w:szCs w:val="28"/>
          <w:lang w:val="en-US"/>
        </w:rPr>
        <w:t>1.Государственный бюджет Франции.</w:t>
      </w:r>
    </w:p>
    <w:p w14:paraId="26CDBABB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Финансовая система Франции многозвенная, но отличается высокой степенью централизации.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Центральный бюджет (общий бюджет, присоединенные бюджеты различных государственных организаций, специальные счета казначейства) аккумулирует приблизительно 80% всех доходов и расходов финансовой системы Франции.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На долю гос.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бюджета приходится 47% местных бюджетов, 9 фондов социального страхования, 40% государственных предприятий и приблизительно 4% всех средств Финансовой системы.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Через бюджетную систему Франции перераспределяется приблизительно 20% ВНП и 50% Национального Дохода.</w:t>
      </w:r>
      <w:proofErr w:type="gramEnd"/>
    </w:p>
    <w:p w14:paraId="3D816350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Бюджетный процесс во Франции имеет 4 стадии и продолжается более 3-х лет.</w:t>
      </w:r>
      <w:proofErr w:type="gramEnd"/>
    </w:p>
    <w:p w14:paraId="27CBC390" w14:textId="77777777" w:rsidR="0001197F" w:rsidRPr="0001197F" w:rsidRDefault="0001197F" w:rsidP="0001197F">
      <w:pPr>
        <w:widowControl w:val="0"/>
        <w:autoSpaceDE w:val="0"/>
        <w:autoSpaceDN w:val="0"/>
        <w:adjustRightInd w:val="0"/>
        <w:ind w:firstLine="3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Первая стадия – 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>Составление проекта бюджета, осуществляется под контролем.</w:t>
      </w:r>
      <w:proofErr w:type="gramEnd"/>
    </w:p>
    <w:p w14:paraId="4F1A3A70" w14:textId="77777777" w:rsidR="0001197F" w:rsidRPr="0001197F" w:rsidRDefault="0001197F" w:rsidP="0078047C">
      <w:pPr>
        <w:widowControl w:val="0"/>
        <w:autoSpaceDE w:val="0"/>
        <w:autoSpaceDN w:val="0"/>
        <w:adjustRightInd w:val="0"/>
        <w:ind w:firstLine="3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Вторая стадия – 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>рассмотрение и утверждение бюджета, длится приблизительно 3 месяца.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40AD55" w14:textId="77777777" w:rsidR="0001197F" w:rsidRPr="0001197F" w:rsidRDefault="0001197F" w:rsidP="0078047C">
      <w:pPr>
        <w:widowControl w:val="0"/>
        <w:autoSpaceDE w:val="0"/>
        <w:autoSpaceDN w:val="0"/>
        <w:adjustRightInd w:val="0"/>
        <w:ind w:firstLine="3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i/>
          <w:iCs/>
          <w:sz w:val="28"/>
          <w:szCs w:val="28"/>
          <w:lang w:val="en-US"/>
        </w:rPr>
        <w:t>Третья стадия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– исполнение бюджета, называется финансовым годом, и во Франции совпадает с календарным</w:t>
      </w:r>
    </w:p>
    <w:p w14:paraId="18467D22" w14:textId="77777777" w:rsidR="0001197F" w:rsidRPr="0001197F" w:rsidRDefault="0001197F" w:rsidP="0001197F">
      <w:pPr>
        <w:widowControl w:val="0"/>
        <w:autoSpaceDE w:val="0"/>
        <w:autoSpaceDN w:val="0"/>
        <w:adjustRightInd w:val="0"/>
        <w:ind w:firstLine="3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i/>
          <w:iCs/>
          <w:sz w:val="28"/>
          <w:szCs w:val="28"/>
          <w:lang w:val="en-US"/>
        </w:rPr>
        <w:t>Четвертая стадия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– начинается после окончания бюджетного года - составление МЭФ отчета об исполнении бюджета.</w:t>
      </w:r>
      <w:proofErr w:type="gramEnd"/>
    </w:p>
    <w:p w14:paraId="633B405D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Центральный бюджет делится на 2 раздела: 90% - операции окончательного характера (безвозвратное финансирование), которые подразделяются на текущие, гражданские,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капитальные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и военные расходы.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10% - операции временного характера (кредиты).</w:t>
      </w:r>
      <w:proofErr w:type="gramEnd"/>
    </w:p>
    <w:p w14:paraId="732126C5" w14:textId="77777777" w:rsid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Налоговая система включает прямые и косвенные налоги и взносы на социальное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страхование .косвенные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налоги играют ведущую роль.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 стране действуют три вида косвенных налогов (акцизы, таможенные пошлины, фискальные монопольные налоги).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Но решающее значение принадлежит универсальному акцизу –налогу с оборота,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который функционирует как НДС.</w:t>
      </w:r>
      <w:proofErr w:type="gramEnd"/>
    </w:p>
    <w:p w14:paraId="59D93E7D" w14:textId="77777777" w:rsidR="00AD6DD3" w:rsidRDefault="00AD6DD3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3F230A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b/>
          <w:i/>
          <w:sz w:val="28"/>
          <w:szCs w:val="28"/>
          <w:lang w:val="en-US"/>
        </w:rPr>
        <w:t>2. Доходы и расходы государственного бюджета.</w:t>
      </w:r>
      <w:proofErr w:type="gramEnd"/>
    </w:p>
    <w:p w14:paraId="57302A79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Франция – унитарное государство, и ее бюджетная система включает только два звена: государственный бюджет и местные бюджеты.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 стране нет единой бюджетной системы, и все бюджеты формально обособлены.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Бюджет каждой административной единицы утверждается ее исполнительным органом власти.</w:t>
      </w:r>
      <w:proofErr w:type="gramEnd"/>
    </w:p>
    <w:p w14:paraId="6DDA36E6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Финансовая система Франции отличается высокой степенью централизации.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Центральный бюджет включает в себя общий бюджет государства, присоединенные к нему бюджеты различных государственных организаций, специальные счета казначейства.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 Центральном бюджете аккумулируется примерно 80% всех доходов финансовой системы Франции.</w:t>
      </w:r>
      <w:proofErr w:type="gramEnd"/>
    </w:p>
    <w:p w14:paraId="677918AD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Бюджетный процесс во Франции включает в себя </w:t>
      </w:r>
      <w:r w:rsidRPr="0001197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четыре стадии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>, и его длительность составляет более 3-х 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 чём говорилось ранее)</w:t>
      </w:r>
      <w:r w:rsidRPr="0001197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BB4A042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lastRenderedPageBreak/>
        <w:t>Бюджетный процесс сопровождается постоянным финансовым контролем.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Функции предварительного, текущего и последующего контроля бюджетного процесса выполняет счётная палата.</w:t>
      </w:r>
      <w:proofErr w:type="gramEnd"/>
    </w:p>
    <w:p w14:paraId="4B74BDAC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Расходы Центрального бюджета Франции могут быть безвозвратными (операции окончательного характера – около 90%) и возвратными (операции временного характера – около 10%). Операции окончательного характера связаны с финансированием государственных расходов по содержанию армии, полиции и иных государственных органов. Операции временного характера – это кредиты.</w:t>
      </w:r>
      <w:proofErr w:type="gramEnd"/>
    </w:p>
    <w:p w14:paraId="589D4414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Каждый бюджет во Франции формально обособлен.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Но на самом деле здесь существует строгая централизация, благодаря тому, что нижестоящие бюджеты утверждаются исполнительной властью вышестоящего уровня.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Финансовое подчинение местных органов обеспечивается системой государственных субсидий и займов, а также надбавками к центральным налогам.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Средства местных органов власти хранятся на счетах органов казначейства.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Это дает возможность центральному правительству контролировать финансовую деятельность на местах.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Выпуск местных займов также требует одобрения государства.</w:t>
      </w:r>
      <w:proofErr w:type="gramEnd"/>
    </w:p>
    <w:p w14:paraId="24498FE1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Центральный бюджет (общий бюджет, присоединенные бюджеты различных государственных организаций, специальные счета казначейства) аккумулирует приблизительно 80% всех доходов и расходов финансовой системы Франции.</w:t>
      </w:r>
      <w:proofErr w:type="gramEnd"/>
    </w:p>
    <w:p w14:paraId="352171B2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На долю государственного бюджета приходится 47% местных бюджетов, 9 фондов социального страхования, 40% государственных предприятий и приблизительно 4% всех средств Финансовой системы.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Через бюджетную систему Франции перераспределяется приблизительно 20% ВНП и 50% Национального Дохода.</w:t>
      </w:r>
      <w:proofErr w:type="gramEnd"/>
    </w:p>
    <w:p w14:paraId="5F139407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>Центральный бюджет делится на два раздела:</w:t>
      </w:r>
    </w:p>
    <w:p w14:paraId="0D22ACA2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· 90% - операции окончательного характера (безвозвратное финансирование), которые подразделяются на текущие, гражданские и военные расходы.</w:t>
      </w:r>
      <w:proofErr w:type="gramEnd"/>
    </w:p>
    <w:p w14:paraId="06457F66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· 10% - операции временного характера (кредиты).</w:t>
      </w:r>
      <w:proofErr w:type="gramEnd"/>
    </w:p>
    <w:p w14:paraId="3335168A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Превалирующую роль в доходах бюджета играют налоги.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На них приходится 90% всех доходов бюджета.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Налоговая система включает прямые и косвенные налоги и взносы на социальное страхование.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Косвенные налоги играют ведущую роль.</w:t>
      </w:r>
      <w:proofErr w:type="gramEnd"/>
    </w:p>
    <w:p w14:paraId="16AE859A" w14:textId="77777777" w:rsidR="00AD6DD3" w:rsidRDefault="00AD6DD3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404813C7" w14:textId="77777777" w:rsidR="0001197F" w:rsidRPr="0001197F" w:rsidRDefault="00AD6DD3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 w:rsidR="0001197F" w:rsidRPr="0001197F">
        <w:rPr>
          <w:rFonts w:ascii="Times New Roman" w:hAnsi="Times New Roman" w:cs="Times New Roman"/>
          <w:b/>
          <w:i/>
          <w:sz w:val="28"/>
          <w:szCs w:val="28"/>
          <w:lang w:val="en-US"/>
        </w:rPr>
        <w:t>.Финансы местных органов власти.</w:t>
      </w:r>
    </w:p>
    <w:p w14:paraId="282B80ED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Главная роль в местных финансах Франции принадлежит местным бюджетам.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Местные бюджеты находятся в ведении местных органов управления.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Их деятельность регламентируется Конституцией Франции и текущим законодательством.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Каждая административная единица имеет свой бюджет.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Всего насчитывается около 39 тыс.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местных бюджетов.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Советы (региональные, департаментов, коммун) составляют бюджеты и распоряжаются местными ресурсами.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Однако вся полнота власти принадлежит на местах префектам, назначаемым директором президента.</w:t>
      </w:r>
      <w:proofErr w:type="gramEnd"/>
    </w:p>
    <w:p w14:paraId="27FDD074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>Основные разновидности местных бюджетов Франции:</w:t>
      </w:r>
    </w:p>
    <w:p w14:paraId="4F32A923" w14:textId="77777777" w:rsidR="0001197F" w:rsidRPr="0001197F" w:rsidRDefault="0001197F" w:rsidP="000119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>бюджеты различных местных коллективов</w:t>
      </w:r>
    </w:p>
    <w:p w14:paraId="658F89FD" w14:textId="77777777" w:rsidR="0001197F" w:rsidRPr="0001197F" w:rsidRDefault="0001197F" w:rsidP="0001197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>бюджеты территориальных коллективов (бюджеты регионов, департаментов и коммун)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,а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также их объединений: городских сообществ, районов, синдикатов</w:t>
      </w:r>
    </w:p>
    <w:p w14:paraId="4EADACCA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Во Франции более трети всех текущих расходов местных органов власти приходится на административно-полицейский аппарат (полицию, гражданскую оборону, пожарную охрану, управление), одна треть – на образование, просвещение, культуру, остальные – это расходы на экономическую инфраструктуру.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Местные власти осуществляют большие капиталовложения, на них приходится свыше 52% всех капитальных государственных затрат.</w:t>
      </w:r>
      <w:proofErr w:type="gramEnd"/>
    </w:p>
    <w:p w14:paraId="77CAA137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Доходами местных органов власти являются собственные (налоги и неналоговые поступления) и привлеченные (государственные субсидии и займы) средства.</w:t>
      </w:r>
      <w:proofErr w:type="gramEnd"/>
    </w:p>
    <w:p w14:paraId="3397A109" w14:textId="77777777" w:rsidR="0001197F" w:rsidRP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Решающее значение, как и в государственном бюджете, принадлежит косвенным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налогам 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Основным косвенным налогом выступает надбавка к налогу на добавленную стоимость, которая обеспечивает более 40% всех налоговых поступлений.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Среди местных налогов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действуют :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два поземельных налога, налог на жилые строения. Налог на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профессию ,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взимаемый с любого лица, осуществляющего торгово-промышленную деятельность и ряд других.</w:t>
      </w:r>
    </w:p>
    <w:p w14:paraId="5B099908" w14:textId="77777777" w:rsidR="0001197F" w:rsidRDefault="0001197F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Недостаток финансовых ресурсов вызывает необходимость привлечения дополнительных средств.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Государство предоставляет местным властям субсидии, составляющие около 20% всех доходов местных бюджетов.</w:t>
      </w:r>
      <w:proofErr w:type="gramEnd"/>
      <w:r w:rsidRPr="0001197F">
        <w:rPr>
          <w:rFonts w:ascii="Times New Roman" w:hAnsi="Times New Roman" w:cs="Times New Roman"/>
          <w:sz w:val="28"/>
          <w:szCs w:val="28"/>
          <w:lang w:val="en-US"/>
        </w:rPr>
        <w:t xml:space="preserve"> Существуют два вида субсидий: на текущие расходы, главным образом на социальную помощь (около 60% всех субсидий) и на капстроительство. </w:t>
      </w:r>
      <w:proofErr w:type="gramStart"/>
      <w:r w:rsidRPr="0001197F">
        <w:rPr>
          <w:rFonts w:ascii="Times New Roman" w:hAnsi="Times New Roman" w:cs="Times New Roman"/>
          <w:sz w:val="28"/>
          <w:szCs w:val="28"/>
          <w:lang w:val="en-US"/>
        </w:rPr>
        <w:t>Кроме субсидий местные органы используют заемные средства, получаемые на денежном рынке.</w:t>
      </w:r>
      <w:proofErr w:type="gramEnd"/>
    </w:p>
    <w:p w14:paraId="1A409BAE" w14:textId="77777777" w:rsidR="00AD6DD3" w:rsidRPr="003A6435" w:rsidRDefault="00AD6DD3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3BA11889" w14:textId="77777777" w:rsidR="003A6435" w:rsidRPr="003A6435" w:rsidRDefault="00AD6DD3" w:rsidP="003A6435">
      <w:pPr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4</w:t>
      </w:r>
      <w:r w:rsidR="003A6435" w:rsidRPr="003A643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en-US"/>
        </w:rPr>
        <w:t xml:space="preserve">. </w:t>
      </w:r>
      <w:r w:rsidR="003A6435" w:rsidRPr="003A643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Банковская система Франции </w:t>
      </w:r>
    </w:p>
    <w:p w14:paraId="2E370DB2" w14:textId="77777777" w:rsidR="003A6435" w:rsidRPr="003A6435" w:rsidRDefault="003A6435" w:rsidP="003A6435">
      <w:pPr>
        <w:spacing w:line="33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3A6435">
        <w:rPr>
          <w:rFonts w:ascii="Times New Roman" w:hAnsi="Times New Roman" w:cs="Times New Roman"/>
          <w:color w:val="222222"/>
          <w:sz w:val="28"/>
          <w:szCs w:val="28"/>
        </w:rPr>
        <w:t>Банковская система Франции характеризуется трехуровневой моделью:</w:t>
      </w:r>
    </w:p>
    <w:p w14:paraId="11153BE9" w14:textId="77777777" w:rsidR="003A6435" w:rsidRPr="003A6435" w:rsidRDefault="003A6435" w:rsidP="003A6435">
      <w:pPr>
        <w:spacing w:line="33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3A6435">
        <w:rPr>
          <w:rFonts w:ascii="Times New Roman" w:hAnsi="Times New Roman" w:cs="Times New Roman"/>
          <w:color w:val="222222"/>
          <w:sz w:val="28"/>
          <w:szCs w:val="28"/>
        </w:rPr>
        <w:t>-первый уровень представлен Банком Франции, ключевыми задачами которого являются поддержка ценовой и монетарной стабильности в стране;</w:t>
      </w:r>
    </w:p>
    <w:p w14:paraId="76A80FBD" w14:textId="77777777" w:rsidR="003A6435" w:rsidRPr="003A6435" w:rsidRDefault="003A6435" w:rsidP="003A6435">
      <w:pPr>
        <w:spacing w:line="33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3A6435">
        <w:rPr>
          <w:rFonts w:ascii="Times New Roman" w:hAnsi="Times New Roman" w:cs="Times New Roman"/>
          <w:color w:val="222222"/>
          <w:sz w:val="28"/>
          <w:szCs w:val="28"/>
        </w:rPr>
        <w:t>-второй уровень формируют специализированные коммерческие банки (торговые, деловые, сберегательные), финансовые компании, а также филиалы и дочерние представительства иностранных банков;</w:t>
      </w:r>
    </w:p>
    <w:p w14:paraId="2870CB69" w14:textId="77777777" w:rsidR="003A6435" w:rsidRPr="003A6435" w:rsidRDefault="003A6435" w:rsidP="003A6435">
      <w:pPr>
        <w:spacing w:line="33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3A6435">
        <w:rPr>
          <w:rFonts w:ascii="Times New Roman" w:hAnsi="Times New Roman" w:cs="Times New Roman"/>
          <w:color w:val="222222"/>
          <w:sz w:val="28"/>
          <w:szCs w:val="28"/>
        </w:rPr>
        <w:t>- третий уровень занимают многочисленные учреждения взаимного и кооперативного кредита, представленные деятельностью народных банков, учреждений сельскохозяйственного кредита, обществ взаимного кредита, кооперативных банков.  </w:t>
      </w:r>
    </w:p>
    <w:p w14:paraId="0A383777" w14:textId="77777777" w:rsidR="003A6435" w:rsidRPr="003A6435" w:rsidRDefault="003A6435" w:rsidP="003A6435">
      <w:pPr>
        <w:spacing w:line="33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3A6435">
        <w:rPr>
          <w:rFonts w:ascii="Times New Roman" w:hAnsi="Times New Roman" w:cs="Times New Roman"/>
          <w:color w:val="222222"/>
          <w:sz w:val="28"/>
          <w:szCs w:val="28"/>
        </w:rPr>
        <w:t>Банковская система Франции по специализации банков идентична английской и вместе с ней является характерным примером континентальной (европейской) модели банковской системы. При этом большую роль в эффективном функционировании банковской системы Франции играет Государственный банк развития Франции (Caisse des Depots et Consignations), его основные функции – инвестирование средств в  различные государственные проекты и осуществление надзора за фондами сберегательных касс и почтовых отделений.</w:t>
      </w:r>
    </w:p>
    <w:p w14:paraId="29B48C2D" w14:textId="77777777" w:rsidR="003A6435" w:rsidRPr="003A6435" w:rsidRDefault="00AD6DD3" w:rsidP="003A6435">
      <w:pPr>
        <w:pStyle w:val="a5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5</w:t>
      </w:r>
      <w:r w:rsidR="003A6435" w:rsidRPr="003A6435">
        <w:rPr>
          <w:color w:val="222222"/>
          <w:sz w:val="28"/>
          <w:szCs w:val="28"/>
          <w:lang w:val="en-US"/>
        </w:rPr>
        <w:t>.</w:t>
      </w:r>
      <w:r w:rsidR="003A6435" w:rsidRPr="003A6435">
        <w:rPr>
          <w:b/>
          <w:bCs/>
          <w:color w:val="000000"/>
          <w:sz w:val="28"/>
          <w:szCs w:val="28"/>
        </w:rPr>
        <w:t>Особенности налоговой системы во Франции.</w:t>
      </w:r>
      <w:r w:rsidR="003A6435" w:rsidRPr="003A6435">
        <w:rPr>
          <w:color w:val="000000"/>
          <w:sz w:val="28"/>
          <w:szCs w:val="28"/>
        </w:rPr>
        <w:br/>
        <w:t>Главная особенность налоговой системы во Франции: обязательные отчисления в государственные и общественные кассы складываются из двух крупных, примерно равных по объему, категорий: налоги (прямые, косвенные и местные), составляющие около 51 процента обязательных выплат, а также взносы в социальную кассу, объем которых составляет почти 49 процентов обязательных отчислений.</w:t>
      </w:r>
      <w:r w:rsidR="003A6435" w:rsidRPr="003A6435">
        <w:rPr>
          <w:color w:val="000000"/>
          <w:sz w:val="28"/>
          <w:szCs w:val="28"/>
        </w:rPr>
        <w:br/>
        <w:t>Налоговая система Франции интересна тем, что именно в этой стране был разработан и впервые в 1954 г. внедрен налог на добавленную стоимость. В настоящее время система обладает стабильностью в отношении перечня взимаемых налогов и сборов, правил их применения. Ставки же налогов ежегодно пересматриваются с учетом экономической ситуации и направления экономико-социальной политики государства.</w:t>
      </w:r>
      <w:r w:rsidR="003A6435" w:rsidRPr="003A6435">
        <w:rPr>
          <w:color w:val="000000"/>
          <w:sz w:val="28"/>
          <w:szCs w:val="28"/>
        </w:rPr>
        <w:br/>
        <w:t>Среди главных черт французской налоговой системы следовало бы выделить такие как</w:t>
      </w:r>
      <w:r w:rsidR="003A6435" w:rsidRPr="003A6435">
        <w:rPr>
          <w:color w:val="000000"/>
          <w:sz w:val="28"/>
          <w:szCs w:val="28"/>
        </w:rPr>
        <w:br/>
        <w:t>–   социальная направленность,</w:t>
      </w:r>
      <w:r w:rsidR="003A6435" w:rsidRPr="003A6435">
        <w:rPr>
          <w:color w:val="000000"/>
          <w:sz w:val="28"/>
          <w:szCs w:val="28"/>
        </w:rPr>
        <w:br/>
        <w:t>–   преобладание косвенных налогов,</w:t>
      </w:r>
      <w:r w:rsidR="003A6435" w:rsidRPr="003A6435">
        <w:rPr>
          <w:color w:val="000000"/>
          <w:sz w:val="28"/>
          <w:szCs w:val="28"/>
        </w:rPr>
        <w:br/>
        <w:t>–   особая роль подоходного налога,</w:t>
      </w:r>
      <w:r w:rsidR="003A6435" w:rsidRPr="003A6435">
        <w:rPr>
          <w:color w:val="000000"/>
          <w:sz w:val="28"/>
          <w:szCs w:val="28"/>
        </w:rPr>
        <w:br/>
        <w:t>–   учет территориальных аспектов,</w:t>
      </w:r>
      <w:r w:rsidR="003A6435" w:rsidRPr="003A6435">
        <w:rPr>
          <w:color w:val="000000"/>
          <w:sz w:val="28"/>
          <w:szCs w:val="28"/>
        </w:rPr>
        <w:br/>
        <w:t>–   гибкость системы в сочетании со строгостью,</w:t>
      </w:r>
      <w:r w:rsidR="003A6435" w:rsidRPr="003A6435">
        <w:rPr>
          <w:color w:val="000000"/>
          <w:sz w:val="28"/>
          <w:szCs w:val="28"/>
        </w:rPr>
        <w:br/>
        <w:t>–   широкая система льгот и скидок,</w:t>
      </w:r>
      <w:r w:rsidR="003A6435" w:rsidRPr="003A6435">
        <w:rPr>
          <w:color w:val="000000"/>
          <w:sz w:val="28"/>
          <w:szCs w:val="28"/>
        </w:rPr>
        <w:br/>
        <w:t>–   открытость для международных налоговых соглашений.</w:t>
      </w:r>
      <w:r w:rsidR="003A6435" w:rsidRPr="003A6435">
        <w:rPr>
          <w:color w:val="000000"/>
          <w:sz w:val="28"/>
          <w:szCs w:val="28"/>
        </w:rPr>
        <w:br/>
        <w:t>Отличительная черта налоговой системы Франции – высокая доля взносов в фонды социального назначения (ФСН) .</w:t>
      </w:r>
    </w:p>
    <w:p w14:paraId="0E7259D1" w14:textId="77777777" w:rsidR="003A6435" w:rsidRPr="003A6435" w:rsidRDefault="00AD6DD3" w:rsidP="003A6435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3A6435" w:rsidRPr="003A6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Oрганы управления финансами </w:t>
      </w:r>
      <w:r w:rsidR="003A6435" w:rsidRPr="003A6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</w:p>
    <w:p w14:paraId="53EC54A2" w14:textId="77777777" w:rsidR="003A6435" w:rsidRPr="003A6435" w:rsidRDefault="003A6435" w:rsidP="003A6435">
      <w:pPr>
        <w:rPr>
          <w:rFonts w:ascii="Times New Roman" w:eastAsia="Times New Roman" w:hAnsi="Times New Roman" w:cs="Times New Roman"/>
          <w:sz w:val="28"/>
          <w:szCs w:val="28"/>
        </w:rPr>
      </w:pPr>
      <w:r w:rsidRPr="003A64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Парламент и министерство финансов</w:t>
      </w:r>
      <w:r w:rsidRPr="003A6435">
        <w:rPr>
          <w:rFonts w:ascii="Times New Roman" w:eastAsia="Times New Roman" w:hAnsi="Times New Roman" w:cs="Times New Roman"/>
          <w:sz w:val="28"/>
          <w:szCs w:val="28"/>
        </w:rPr>
        <w:t>. Управление финансами в зарубежных странах находится в ведении высших законодательных органов власти — парламентов: во Франции — Национальное собрание</w:t>
      </w:r>
      <w:r w:rsidRPr="003A64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A6435">
        <w:rPr>
          <w:rFonts w:ascii="Times New Roman" w:eastAsia="Times New Roman" w:hAnsi="Times New Roman" w:cs="Times New Roman"/>
          <w:sz w:val="28"/>
          <w:szCs w:val="28"/>
        </w:rPr>
        <w:t>Парламенты имеют две палаты — нижнюю и верхнюю. Все основные финансовые законы и, прежде всего, утверждение государственного бюджета осуществляются двумя палатами парламента и подписываются главой государства.</w:t>
      </w:r>
      <w:r w:rsidRPr="003A6435">
        <w:rPr>
          <w:rFonts w:ascii="Times New Roman" w:eastAsia="Times New Roman" w:hAnsi="Times New Roman" w:cs="Times New Roman"/>
          <w:sz w:val="28"/>
          <w:szCs w:val="28"/>
        </w:rPr>
        <w:br/>
        <w:t>Парламенты также утверждают отчеты об исполнении государственного бюджета, законы о налогах, устанавливают предельный размер (лимит) государственного долга.</w:t>
      </w:r>
      <w:r w:rsidRPr="003A6435">
        <w:rPr>
          <w:rFonts w:ascii="Times New Roman" w:eastAsia="Times New Roman" w:hAnsi="Times New Roman" w:cs="Times New Roman"/>
          <w:sz w:val="28"/>
          <w:szCs w:val="28"/>
        </w:rPr>
        <w:br/>
        <w:t>Непосредственное управление финансами находится в ведении финансового аппарата, главное звено которого — министерство финансов. Оно разрабатывает финансовую и налоговую политику государства, политику в области государственных расходов, проводит контроль за соблюдением финансовых законов. Министерство финансов составляет проект государственного бюджета и организует его исполнение. Во Франции управление финансами возложено на Министерство экономики, финансов и бюджета</w:t>
      </w:r>
      <w:r w:rsidRPr="003A6435">
        <w:rPr>
          <w:rFonts w:ascii="Times New Roman" w:eastAsia="Times New Roman" w:hAnsi="Times New Roman" w:cs="Times New Roman"/>
          <w:sz w:val="28"/>
          <w:szCs w:val="28"/>
        </w:rPr>
        <w:br/>
        <w:t>Органы финансового контроля. Важное значение в управлении финансами принадлежит специализированным органам финансового контроля, которые независимы от правительства и подотчетны парламенту. Во Франции контроль за исполнением бюджета всеми государственными органами в центре и на местах осуществляет Счетная палата, которая представляет собой судебный орган, состоящий из несменяемых магистров.</w:t>
      </w:r>
    </w:p>
    <w:p w14:paraId="2C779D0D" w14:textId="77777777" w:rsidR="00FE3D9D" w:rsidRPr="003A6435" w:rsidRDefault="00FE3D9D" w:rsidP="000119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FE3D9D" w:rsidRPr="003A6435" w:rsidSect="007F1C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3A1E8E"/>
    <w:multiLevelType w:val="hybridMultilevel"/>
    <w:tmpl w:val="1826E888"/>
    <w:lvl w:ilvl="0" w:tplc="BC78BF44">
      <w:start w:val="4"/>
      <w:numFmt w:val="bullet"/>
      <w:lvlText w:val="–"/>
      <w:lvlJc w:val="left"/>
      <w:pPr>
        <w:ind w:left="720" w:hanging="360"/>
      </w:pPr>
      <w:rPr>
        <w:rFonts w:ascii="PT Sans" w:eastAsiaTheme="minorEastAsia" w:hAnsi="P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7F"/>
    <w:rsid w:val="0001197F"/>
    <w:rsid w:val="003A6435"/>
    <w:rsid w:val="0078047C"/>
    <w:rsid w:val="007F1CF4"/>
    <w:rsid w:val="00AD6DD3"/>
    <w:rsid w:val="00FE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C5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4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97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97F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643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A6435"/>
  </w:style>
  <w:style w:type="paragraph" w:styleId="a5">
    <w:name w:val="Normal (Web)"/>
    <w:basedOn w:val="a"/>
    <w:uiPriority w:val="99"/>
    <w:semiHidden/>
    <w:unhideWhenUsed/>
    <w:rsid w:val="003A64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A6435"/>
    <w:pPr>
      <w:ind w:left="720"/>
      <w:contextualSpacing/>
    </w:pPr>
  </w:style>
  <w:style w:type="character" w:styleId="a7">
    <w:name w:val="Strong"/>
    <w:basedOn w:val="a0"/>
    <w:uiPriority w:val="22"/>
    <w:qFormat/>
    <w:rsid w:val="003A643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4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97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97F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A643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A6435"/>
  </w:style>
  <w:style w:type="paragraph" w:styleId="a5">
    <w:name w:val="Normal (Web)"/>
    <w:basedOn w:val="a"/>
    <w:uiPriority w:val="99"/>
    <w:semiHidden/>
    <w:unhideWhenUsed/>
    <w:rsid w:val="003A64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A6435"/>
    <w:pPr>
      <w:ind w:left="720"/>
      <w:contextualSpacing/>
    </w:pPr>
  </w:style>
  <w:style w:type="character" w:styleId="a7">
    <w:name w:val="Strong"/>
    <w:basedOn w:val="a0"/>
    <w:uiPriority w:val="22"/>
    <w:qFormat/>
    <w:rsid w:val="003A6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1570</Words>
  <Characters>8954</Characters>
  <Application>Microsoft Macintosh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2018-11-24T16:15:00Z</dcterms:created>
  <dcterms:modified xsi:type="dcterms:W3CDTF">2018-11-25T19:31:00Z</dcterms:modified>
</cp:coreProperties>
</file>