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B" w:rsidRPr="0031216B" w:rsidRDefault="0031216B" w:rsidP="0031216B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Министерство науки и высшего образования</w:t>
      </w:r>
      <w:r w:rsidRPr="0031216B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br/>
        <w:t>Российской Федерации</w:t>
      </w:r>
    </w:p>
    <w:p w:rsidR="0031216B" w:rsidRPr="0031216B" w:rsidRDefault="0031216B" w:rsidP="0031216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федеральное государственное бюджетное образовательное </w:t>
      </w:r>
      <w:r w:rsidRPr="003121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учреждение высшего образования</w:t>
      </w:r>
    </w:p>
    <w:p w:rsidR="0031216B" w:rsidRPr="0031216B" w:rsidRDefault="0031216B" w:rsidP="00312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«КУБАНСКИЙ ГОСУДАРСТВЕННЫЙ УНИВЕРСИТЕТ»</w:t>
      </w:r>
    </w:p>
    <w:p w:rsidR="0031216B" w:rsidRPr="0031216B" w:rsidRDefault="0031216B" w:rsidP="00312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(ФГБОУ ВО «КубГУ»)</w:t>
      </w:r>
    </w:p>
    <w:p w:rsidR="0031216B" w:rsidRPr="0031216B" w:rsidRDefault="0031216B" w:rsidP="0031216B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  <w:lang w:eastAsia="en-US"/>
        </w:rPr>
      </w:pPr>
    </w:p>
    <w:p w:rsidR="0031216B" w:rsidRPr="0031216B" w:rsidRDefault="0031216B" w:rsidP="003121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1216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Экономический факультет</w:t>
      </w:r>
    </w:p>
    <w:p w:rsidR="0031216B" w:rsidRPr="0031216B" w:rsidRDefault="0031216B" w:rsidP="003121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1216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Кафедра бухгалтерского учета, аудита</w:t>
      </w:r>
      <w:r w:rsidRPr="0031216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и автоматизированной обработки данных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160" w:line="256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160" w:line="256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160" w:line="256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216B" w:rsidRPr="0031216B" w:rsidRDefault="0031216B" w:rsidP="0031216B">
      <w:pPr>
        <w:keepNext/>
        <w:spacing w:after="160" w:line="256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0" w:name="_Toc46076510"/>
      <w:r w:rsidRPr="0031216B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  <w:r w:rsidRPr="0031216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ПРОХОЖДЕНИИ </w:t>
      </w:r>
      <w:r w:rsidRPr="0031216B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</w:t>
      </w:r>
      <w:r w:rsidRPr="0031216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21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(ПРАКТИКИ </w:t>
      </w:r>
      <w:r w:rsidRPr="0031216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 получению профессиональных умений и опыта профессиональной деятельности)</w:t>
      </w:r>
      <w:bookmarkEnd w:id="0"/>
    </w:p>
    <w:p w:rsidR="0031216B" w:rsidRPr="0031216B" w:rsidRDefault="0031216B" w:rsidP="0031216B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16B" w:rsidRPr="0031216B" w:rsidRDefault="0031216B" w:rsidP="0031216B">
      <w:pPr>
        <w:widowControl w:val="0"/>
        <w:spacing w:after="160" w:line="256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16B" w:rsidRPr="0031216B" w:rsidRDefault="0031216B" w:rsidP="0031216B">
      <w:pPr>
        <w:widowControl w:val="0"/>
        <w:spacing w:after="160" w:line="256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16B" w:rsidRPr="0031216B" w:rsidRDefault="0031216B" w:rsidP="0031216B">
      <w:pPr>
        <w:widowControl w:val="0"/>
        <w:spacing w:after="160" w:line="256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12" w:type="dxa"/>
        <w:jc w:val="center"/>
        <w:tblLook w:val="00A0"/>
      </w:tblPr>
      <w:tblGrid>
        <w:gridCol w:w="4696"/>
        <w:gridCol w:w="5116"/>
      </w:tblGrid>
      <w:tr w:rsidR="0031216B" w:rsidRPr="0031216B" w:rsidTr="0031216B">
        <w:trPr>
          <w:jc w:val="center"/>
        </w:trPr>
        <w:tc>
          <w:tcPr>
            <w:tcW w:w="4678" w:type="dxa"/>
          </w:tcPr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 принят с оценкой __________</w:t>
            </w:r>
          </w:p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практики от</w:t>
            </w:r>
          </w:p>
          <w:p w:rsidR="0031216B" w:rsidRPr="0031216B" w:rsidRDefault="0031216B" w:rsidP="0031216B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ФГБОУ ВО «КубГУ»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к.э.н., доц. Белозерова Т.Г.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(должность, Ф.И.О.)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</w:t>
            </w:r>
          </w:p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(Подпись)</w:t>
            </w:r>
          </w:p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Выполнила: студентка 4 курса </w:t>
            </w:r>
          </w:p>
          <w:p w:rsidR="0031216B" w:rsidRPr="0031216B" w:rsidRDefault="0031216B" w:rsidP="003121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1216B" w:rsidRPr="0031216B" w:rsidRDefault="0031216B" w:rsidP="003121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подготовки </w:t>
            </w:r>
          </w:p>
          <w:p w:rsidR="0031216B" w:rsidRPr="0031216B" w:rsidRDefault="0031216B" w:rsidP="003121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38.05.01 Экономическая безопасность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(шифр и название направления подготовки)</w:t>
            </w:r>
          </w:p>
          <w:p w:rsidR="0031216B" w:rsidRPr="0031216B" w:rsidRDefault="0031216B" w:rsidP="003121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1216B" w:rsidRPr="0031216B" w:rsidRDefault="0031216B" w:rsidP="003121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Специализация</w:t>
            </w:r>
          </w:p>
          <w:p w:rsidR="0031216B" w:rsidRPr="0031216B" w:rsidRDefault="0031216B" w:rsidP="003121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Финансовый учет и контроль  в 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правоохранительных органах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название программы)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Григорьян И.С     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___________ </w:t>
            </w: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(Ф.И.О.)</w:t>
            </w:r>
          </w:p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</w:t>
            </w:r>
          </w:p>
          <w:p w:rsidR="0031216B" w:rsidRPr="0031216B" w:rsidRDefault="0031216B" w:rsidP="0031216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31216B" w:rsidRPr="0031216B" w:rsidRDefault="0031216B" w:rsidP="0031216B">
      <w:pPr>
        <w:widowControl w:val="0"/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widowControl w:val="0"/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noProof/>
          <w:sz w:val="28"/>
          <w:szCs w:val="28"/>
        </w:rPr>
        <w:t>Краснодар 2020</w:t>
      </w:r>
    </w:p>
    <w:p w:rsidR="0031216B" w:rsidRPr="0031216B" w:rsidRDefault="0031216B" w:rsidP="0031216B">
      <w:pPr>
        <w:suppressAutoHyphens/>
        <w:spacing w:after="18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sectPr w:rsidR="0031216B" w:rsidRPr="0031216B" w:rsidSect="0031216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1216B" w:rsidRPr="0031216B" w:rsidRDefault="0031216B" w:rsidP="0031216B">
      <w:pPr>
        <w:suppressAutoHyphens/>
        <w:spacing w:after="18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sz w:val="28"/>
          <w:lang w:eastAsia="en-US"/>
        </w:rPr>
        <w:id w:val="-433511013"/>
        <w:docPartObj>
          <w:docPartGallery w:val="Table of Contents"/>
          <w:docPartUnique/>
        </w:docPartObj>
      </w:sdtPr>
      <w:sdtEndPr>
        <w:rPr>
          <w:b/>
          <w:bCs/>
          <w:szCs w:val="28"/>
        </w:rPr>
      </w:sdtEndPr>
      <w:sdtContent>
        <w:p w:rsidR="0031216B" w:rsidRPr="0031216B" w:rsidRDefault="0031216B" w:rsidP="0031216B">
          <w:pPr>
            <w:keepNext/>
            <w:keepLines/>
            <w:spacing w:before="240" w:after="0" w:line="259" w:lineRule="auto"/>
            <w:rPr>
              <w:rFonts w:ascii="Calibri Light" w:eastAsia="Times New Roman" w:hAnsi="Calibri Light" w:cs="Times New Roman"/>
              <w:color w:val="2F5496"/>
              <w:sz w:val="32"/>
              <w:szCs w:val="32"/>
            </w:rPr>
          </w:pPr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r w:rsidRPr="00B6357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fldChar w:fldCharType="begin"/>
          </w:r>
          <w:r w:rsidR="0031216B" w:rsidRPr="0016226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instrText xml:space="preserve"> TOC \o "1-3" \h \z \u </w:instrText>
          </w:r>
          <w:r w:rsidRPr="00B6357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fldChar w:fldCharType="separate"/>
          </w:r>
          <w:hyperlink w:anchor="_Toc46076511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Введение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_Toc46076511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4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993" w:hanging="284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2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1 Пл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анирование финансового контроля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br/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_Toc46076512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7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firstLine="709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3" w:history="1"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1.1 Понимание деятельности </w:t>
            </w:r>
            <w:r w:rsidR="00E64635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_Toc46076513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7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4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1.2 Анализ основных фина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нсовых показателей деятельности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br/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_Toc46076514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14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5" w:history="1"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1.3 Изучение и оцен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ка системы бухгалтерского учета и внутреннего </w:t>
            </w:r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контроля </w:t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. Общий план финансового контроля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_Toc46076515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14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993" w:hanging="284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6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2 Организация и осуществление фина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нсового контроля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br/>
              <w:t xml:space="preserve">бухгалтерского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учета объек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тов бухгалтерского наблюдения и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составления отчетности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_Toc46076516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23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7" w:history="1"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2.1 Финансовый контроль бухгалтерского учета основных средств в </w:t>
            </w:r>
            <w:r w:rsidR="00E64635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_Toc46076517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23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8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>2.2 Финансов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 xml:space="preserve">ый контроль бухгалтерского учет нематериальных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 xml:space="preserve">активов в </w:t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_Toc46076518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24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19" w:history="1"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2.3 Финансовый контроль бухгалтерского учета материа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льно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noBreakHyphen/>
              <w:t>производственных запасов в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br/>
            </w:r>
            <w:r w:rsidR="00E64635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_Toc46076519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26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0" w:history="1"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2.4 Финансовый контроль 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бухгалтерского учета финансовых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br/>
              <w:t xml:space="preserve">вложений </w:t>
            </w:r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в </w:t>
            </w:r>
            <w:r w:rsidR="00E64635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_Toc46076520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28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1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>2.5 Финансовый контроль б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 xml:space="preserve">ухгалтерского учета расчетов по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ru-RU"/>
              </w:rPr>
              <w:t>краткосрочным и долгосрочным кредитам и займам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_Toc46076521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30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2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2.6 Финансовый контроль бухгал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терского учета денежных средств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и их эквивалентов в </w:t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_Toc46076522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32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3" w:history="1"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2.7 Финансовый контроль бухгалте</w:t>
            </w:r>
            <w:r w:rsid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рского учета доходов и расходов </w:t>
            </w:r>
            <w:r w:rsidR="0031216B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в </w:t>
            </w:r>
            <w:r w:rsidR="00E64635" w:rsidRPr="001622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_Toc46076523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35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4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2.8 Финансовый контроль б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ухгалтерского учета расчетов по налогам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и сборам в </w:t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_Toc46076524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38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left="1134" w:hanging="425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5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2.9 Заключение по финансовом</w:t>
            </w:r>
            <w:r w:rsid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у контролю бухгалтерского учета и </w:t>
            </w:r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составления отчетности в </w:t>
            </w:r>
            <w:r w:rsidR="00E64635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ПАО «ГМК «Норильский никель»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_Toc46076525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41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firstLine="709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6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Заключение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_Toc46076526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45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firstLine="709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7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Список использованных источников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_Toc46076527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47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tabs>
              <w:tab w:val="right" w:leader="dot" w:pos="9345"/>
            </w:tabs>
            <w:spacing w:after="0" w:line="360" w:lineRule="auto"/>
            <w:ind w:firstLine="709"/>
            <w:contextualSpacing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  <w:hyperlink w:anchor="_Toc46076528" w:history="1">
            <w:r w:rsidR="0031216B" w:rsidRPr="001622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Приложения</w:t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ab/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31216B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instrText xml:space="preserve"> PAGEREF _Toc46076528 \h </w:instrTex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62265"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53</w:t>
            </w:r>
            <w:r w:rsidRPr="0016226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31216B" w:rsidRPr="00162265" w:rsidRDefault="00B63575" w:rsidP="00162265">
          <w:pPr>
            <w:spacing w:after="0" w:line="360" w:lineRule="auto"/>
            <w:ind w:firstLine="709"/>
            <w:contextualSpacing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162265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  <w:fldChar w:fldCharType="end"/>
          </w:r>
        </w:p>
      </w:sdtContent>
    </w:sdt>
    <w:p w:rsidR="0031216B" w:rsidRPr="00162265" w:rsidRDefault="0031216B" w:rsidP="0016226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162265" w:rsidRDefault="0031216B" w:rsidP="0016226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1216B" w:rsidRPr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265" w:rsidRDefault="00162265" w:rsidP="0031216B">
      <w:pPr>
        <w:keepNext/>
        <w:keepLines/>
        <w:spacing w:after="18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sectPr w:rsidR="00162265" w:rsidSect="003121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46076511"/>
    </w:p>
    <w:p w:rsidR="0031216B" w:rsidRPr="0031216B" w:rsidRDefault="0031216B" w:rsidP="0031216B">
      <w:pPr>
        <w:keepNext/>
        <w:keepLines/>
        <w:spacing w:after="18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lastRenderedPageBreak/>
        <w:t>ВВЕДЕНИЕ</w:t>
      </w:r>
      <w:bookmarkEnd w:id="1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06.07.2020 г. по 19.07.2020 г. была пройдена производс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венная практика (практика по получению профессиональных умений и опыта профессиональной деятельности)</w:t>
      </w:r>
      <w:r w:rsid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базе ФГБОУ ВО 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«КубГУ».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Производственная практика является основной частью процесса подг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товки квалифицированных работников и специалистов для дальнейшей раб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 на предприятиях.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практики обуславливается тем, что в процессе прохо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дения практики студенты получают необходимые практические навыки, без которых невозможно обойтись специалисту.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проведенной в результате прохождения производственной практики (практики по получению профессиональных умений и опыта пр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фессиональной деятельности) аудиторской проверки является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исследования являются основные средства, нематериальные активы, материально-производственные запасы, финансовые вложения, д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нежные средства</w:t>
      </w:r>
      <w:r w:rsid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их эквиваленты, акт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вы, обязательства и операции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иностра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валюте, доходы и расходы организации, а также расчеты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активам и обязательствам, кредитам и займам и расчеты по налогам и сборам.</w:t>
      </w:r>
    </w:p>
    <w:p w:rsidR="0031216B" w:rsidRPr="0031216B" w:rsidRDefault="002B3359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работы — 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и получить профессиональные умения и опыт профессиональной деятельности в сфере получения профессиональных компетенций в области обеспечения экономической безопасности эконом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ческих субъектов различных организационно-правовых форм и видов де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тельности, а также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выразить независимое мнение о достоверности бухгалте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ской отчетности и соответствии порядка ведения бухгалтерского учета орг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низации законодательству Российской Федерации.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соответствии с данной целью в работе поставлены следующие зад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чи:</w:t>
      </w:r>
    </w:p>
    <w:p w:rsidR="0031216B" w:rsidRPr="002B3359" w:rsidRDefault="0031216B" w:rsidP="002B3359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планирование финансового контроля </w:t>
      </w:r>
      <w:r w:rsidR="00E64635"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</w:t>
      </w:r>
      <w:r w:rsidR="00E64635"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64635"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рильский никель»</w:t>
      </w: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, проанализировав основные финансовые показатели его деятельности, изучив и оценив систему бухгалтерского учета и внутреннего контроля организации;</w:t>
      </w:r>
    </w:p>
    <w:p w:rsidR="0031216B" w:rsidRPr="002B3359" w:rsidRDefault="0031216B" w:rsidP="002B3359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структуре организации-объекта практики, ее основных видах деятельности, особенностях учета и финансового контроля;</w:t>
      </w:r>
    </w:p>
    <w:p w:rsidR="0031216B" w:rsidRPr="002B3359" w:rsidRDefault="0031216B" w:rsidP="002B3359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основные организационно-экономические показатели и проанализировать основные финансовые показатели деятельности объекта производственной практики;</w:t>
      </w:r>
    </w:p>
    <w:p w:rsidR="0031216B" w:rsidRPr="002B3359" w:rsidRDefault="0031216B" w:rsidP="002B3359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финансовый контроль бухгалтерского учета всех объектов бухгалтерского наблюдения в </w:t>
      </w:r>
      <w:r w:rsidR="00E64635"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216B" w:rsidRPr="002B3359" w:rsidRDefault="0031216B" w:rsidP="002B3359">
      <w:pPr>
        <w:pStyle w:val="a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выразить независимое мнение о достоверности бухгалтерской о</w:t>
      </w: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четности и соответствии порядка ведения бухгалтерского учета </w:t>
      </w:r>
      <w:r w:rsidR="00E64635"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законодательству Российской Федерации.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Методами, используемыми в работе, являются методы сравнения, а также методы анализа.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Методологической базой послужили такие документы</w:t>
      </w:r>
      <w:r w:rsidR="002B3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, как отчетность организации за 2017—2019 гг., устав организации, штатное расписание, основные положения предприятия об 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следуемых в работе объектах исследования, а также различные труды отеч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ученых в области бухгалтерского учета, экономического анализа, статистики, а также публикации периодических изданий и нормативно-справочные документы.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Методической основой при написании отчета послужили научные тр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ды известных отечественных и зарубежных экономистов и бухгалтеров. В качестве теоретической базы исследования были использованы публикации, посвящённые аудиторским проверкам.</w:t>
      </w:r>
    </w:p>
    <w:p w:rsidR="002B3359" w:rsidRDefault="0031216B" w:rsidP="002B33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B3359" w:rsidSect="00162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 состоит из введения, основной части, включающей в себя две главы, заключения, списка использованных источников, а также приложений, в которых представлены тесты средств аудиторского контроля по каждо</w:t>
      </w:r>
      <w:r w:rsidR="002B3359">
        <w:rPr>
          <w:rFonts w:ascii="Times New Roman" w:eastAsia="Calibri" w:hAnsi="Times New Roman" w:cs="Times New Roman"/>
          <w:sz w:val="28"/>
          <w:szCs w:val="28"/>
          <w:lang w:eastAsia="en-US"/>
        </w:rPr>
        <w:t>му объекту аудиторской проверки.</w:t>
      </w:r>
    </w:p>
    <w:p w:rsidR="0031216B" w:rsidRPr="0031216B" w:rsidRDefault="0031216B" w:rsidP="002B3359">
      <w:pPr>
        <w:keepNext/>
        <w:keepLines/>
        <w:suppressAutoHyphens/>
        <w:spacing w:after="180" w:line="360" w:lineRule="auto"/>
        <w:ind w:left="993" w:hanging="284"/>
        <w:contextualSpacing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2" w:name="_Toc46076512"/>
      <w:r w:rsidRPr="0031216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lastRenderedPageBreak/>
        <w:t>1 Пл</w:t>
      </w:r>
      <w:r w:rsidR="002B3359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анирование финансового контроля</w:t>
      </w:r>
      <w:r w:rsidR="002B3359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br/>
      </w:r>
      <w:r w:rsidR="00E64635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ПАО «ГМК «Норильский никель»</w:t>
      </w:r>
      <w:bookmarkEnd w:id="2"/>
    </w:p>
    <w:p w:rsidR="0031216B" w:rsidRPr="0031216B" w:rsidRDefault="0031216B" w:rsidP="002B3359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_Toc46076513"/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1.1 Понимание деятельности </w:t>
      </w:r>
      <w:r w:rsidR="00E646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ПАО «ГМК «Норильский никель»</w:t>
      </w:r>
      <w:bookmarkEnd w:id="3"/>
    </w:p>
    <w:p w:rsidR="0031216B" w:rsidRDefault="00E64635" w:rsidP="003121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="0072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(«Норникель»)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4E6A"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</w:t>
      </w:r>
      <w:r w:rsidR="00724E6A" w:rsidRP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лидер горно-м</w:t>
      </w:r>
      <w:r w:rsid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еталлургической промышленности России, крупнейший в </w:t>
      </w:r>
      <w:r w:rsidR="00724E6A" w:rsidRP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мире произв</w:t>
      </w:r>
      <w:r w:rsid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</w:t>
      </w:r>
      <w:r w:rsid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тель высокосортного никеля и </w:t>
      </w:r>
      <w:r w:rsidR="00724E6A" w:rsidRP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палладия</w:t>
      </w:r>
      <w:r w:rsidR="00724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24E6A" w:rsidRDefault="00724E6A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Стратегией ПАО «ГМК «Норильский никель» является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развитие пр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оритетных первоклассных активов, модернизация действующих активов для повышения эффективно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сти и 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создание но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вых экологичных и 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безопасных производственных мощностей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24E6A" w:rsidRPr="00724E6A" w:rsidRDefault="00724E6A" w:rsidP="00724E6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Уникальная минерально-сырьевая база «Норникеля» формиру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ется за счет 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активного развития первоклассных активов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Постоянное ра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ширение ресурсной базы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гарантией устойчивого долгосрочного ра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вития компании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24E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Геологоразведка обеспечивает поддержание объемов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тимальной структуры запасов полезных ископаемых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На этапе строительства и первоначального развития комбината бол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шую роль играло создание на данной территории Норильского исправител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но-трудового лагеря в системе ГУЛаг.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4 ноября 1989 года Совет Министров СССР принял постановление о создании «Государственного концерна по производству цветных металлов „Норильский никель“». В концерн были включе</w:t>
      </w:r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ны </w:t>
      </w:r>
      <w:hyperlink r:id="rId9" w:tooltip="Норильский горно-металлургический комбинат имени А. П. Завенягина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Норильский комбинат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, комбинаты «</w:t>
      </w:r>
      <w:hyperlink r:id="rId10" w:tooltip="Печенганикель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Печенганикель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» и «</w:t>
      </w:r>
      <w:hyperlink r:id="rId11" w:tooltip="Североникель (страница отсутствует)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Североникель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», </w:t>
      </w:r>
      <w:hyperlink r:id="rId12" w:tooltip="Оленегорский механический завод (страница отсутствует)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Оленегорский механический завод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, </w:t>
      </w:r>
      <w:hyperlink r:id="rId13" w:tooltip="Красноярский завод по обработке цветных металлов (страница отсутствует)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Красноярский завод по обработке цветных металлов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 и институт «</w:t>
      </w:r>
      <w:hyperlink r:id="rId14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Гипроникель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hyperlink r:id="rId15" w:tooltip="Санкт-Петербург" w:history="1">
        <w:r w:rsidRPr="00162265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Ленинград</w:t>
        </w:r>
      </w:hyperlink>
      <w:r w:rsidRPr="00162265">
        <w:rPr>
          <w:rFonts w:ascii="Times New Roman" w:eastAsia="Calibri" w:hAnsi="Times New Roman" w:cs="Times New Roman"/>
          <w:sz w:val="28"/>
          <w:szCs w:val="28"/>
          <w:lang w:eastAsia="en-US"/>
        </w:rPr>
        <w:t>). Эти предприятия были объединены в единый концерн на основе общей технологической схемы переработки сульфидных медно-никелевых руд.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30 июня 1993 года Указом Президента Российской Федерации «Гос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дарственный концерн по производству драгоценных и цветных металлов </w:t>
      </w:r>
      <w:r w:rsidR="00DA68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«Норильский никель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» был преобразован в «Российское акционерное общес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во по производству драгоценных и цветных металлов (РАО) „Норильский никель“».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В 1994 году было проведено акционирование предприятий РАО «Но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никель». В соответствии с планом приватизации часть акций РАО была пер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дана трудовому коллективу, часть акций была выставлена на реализацию на чековых аукционах. Владельцами акций «Норильского никеля» стали более 250 тысяч человек.</w:t>
      </w:r>
    </w:p>
    <w:p w:rsidR="00724E6A" w:rsidRDefault="00BD3324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В 2000 году «Норильский никель» начал реструктуризацию, в резул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тате которой был осуществлен перевод центра капитализации с РАО «Н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рильский никель» на ОАО «Норильская горная компания», которая в феврале 2001 года была переименована в ОАО «Г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орно-металлургическая компания «Норильский никель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» (ГМК «Норильский никель»).</w:t>
      </w:r>
    </w:p>
    <w:p w:rsid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видами деятельности предприятий Группы являются:</w:t>
      </w:r>
    </w:p>
    <w:p w:rsidR="00BD3324" w:rsidRPr="00BD3324" w:rsidRDefault="00BD3324" w:rsidP="00BD3324">
      <w:pPr>
        <w:pStyle w:val="a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поиск, разведка, добыча, обогащение и переработка полезных иск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паемых;</w:t>
      </w:r>
    </w:p>
    <w:p w:rsidR="00BD3324" w:rsidRPr="00BD3324" w:rsidRDefault="00BD3324" w:rsidP="00BD3324">
      <w:pPr>
        <w:pStyle w:val="a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производство, маркетинг и реализация цветных и драгоценных м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таллов.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Производственные подразделения Группы находятся на трех контине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тах в пяти странах мира </w:t>
      </w:r>
      <w:r w:rsidRPr="00724E6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России, Австралии, Ботсване, Финляндии и ЮАР.</w:t>
      </w:r>
    </w:p>
    <w:p w:rsid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российские производственные подразделения Группы явл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ются вертикально интегрированными и включают:</w:t>
      </w:r>
    </w:p>
    <w:p w:rsidR="00BD3324" w:rsidRPr="00BD3324" w:rsidRDefault="00BD3324" w:rsidP="00BD3324">
      <w:pPr>
        <w:pStyle w:val="af1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Заполярный филиал ПАО "ГМК "Норильский никель";</w:t>
      </w:r>
    </w:p>
    <w:p w:rsidR="00BD3324" w:rsidRPr="00BD3324" w:rsidRDefault="00BD3324" w:rsidP="00BD3324">
      <w:pPr>
        <w:pStyle w:val="af1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ПАО "Кольская горно-металлургическая компания".</w:t>
      </w:r>
    </w:p>
    <w:p w:rsid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В Австралии Норильский никель владеет:</w:t>
      </w:r>
    </w:p>
    <w:p w:rsidR="00BD3324" w:rsidRPr="00BD3324" w:rsidRDefault="00BD3324" w:rsidP="00BD3324">
      <w:pPr>
        <w:pStyle w:val="af1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предприятием по добыче и выщелачиванию латеритных никелевых руд Norilsk Nickel Cawse;</w:t>
      </w:r>
    </w:p>
    <w:p w:rsidR="00BD3324" w:rsidRPr="00BD3324" w:rsidRDefault="00BD3324" w:rsidP="00BD3324">
      <w:pPr>
        <w:pStyle w:val="af1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предприятиями по добыче никеля Black Swan, Lake Johnston, Waterloo;</w:t>
      </w:r>
    </w:p>
    <w:p w:rsidR="00BD3324" w:rsidRPr="00BD3324" w:rsidRDefault="00BD3324" w:rsidP="00BD3324">
      <w:pPr>
        <w:pStyle w:val="af1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крупным проектом по добыче сульфидных никелевых руд Honeymoon Well.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Норильскому никелю принадлежит 85% акций предприятия по добыче сульфидного никеля Tati Nickel Mining Company, находящегося в Ботсване.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Завод Norilsk Nickel Harjavalta, входящий в состав Группы, является единственным никелерафинировочным заводом в Финляндии.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Норильскому никелю принадлежит 50% акций предприятия по добыче никеля Nkomati в ЮАР, разрабатываемого совместно с компание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African Rainbow Minerals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В Группу также входят:</w:t>
      </w:r>
    </w:p>
    <w:p w:rsidR="00BD3324" w:rsidRPr="00BD3324" w:rsidRDefault="00BD3324" w:rsidP="00BD3324">
      <w:pPr>
        <w:pStyle w:val="af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научно-исследовательский институт ООО "Институт Гипроникель", расположенный в Санкт-Петербурге с отделениями в городах Норильск и Мончегорск;</w:t>
      </w:r>
    </w:p>
    <w:p w:rsidR="00F846D5" w:rsidRPr="00F846D5" w:rsidRDefault="00BD3324" w:rsidP="00F846D5">
      <w:pPr>
        <w:pStyle w:val="af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научно-техническое подразделение Norilsk Process Technology в А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стралии.</w:t>
      </w:r>
    </w:p>
    <w:p w:rsidR="00F846D5" w:rsidRDefault="00F846D5" w:rsidP="00F846D5">
      <w:pPr>
        <w:pStyle w:val="af1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Всего в Группу входит более 80 компаний.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Большинство предприятий, входящих в Группу компаний «Норильский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никель», имеют статус градоо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разующих предприятий. Следуя принципам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ответственности, они вносят значительный вклад в социально-экономическое развитие территорий хозяйствования, прежде всего, как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крупные налогоплательщики и работод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тели. Важной составной частью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политики Компании является сохранение стабильности в регионах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присутствия. Налоги Компании форм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руют доходную часть бюджетов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6D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присутствия.</w:t>
      </w:r>
    </w:p>
    <w:p w:rsidR="00160BB0" w:rsidRPr="00160BB0" w:rsidRDefault="00160BB0" w:rsidP="00160BB0">
      <w:pPr>
        <w:pStyle w:val="af1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B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Среднесписочная численность работников Компании за последние три года составила:</w:t>
      </w:r>
    </w:p>
    <w:p w:rsidR="00160BB0" w:rsidRPr="00160BB0" w:rsidRDefault="00160BB0" w:rsidP="00160BB0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B0">
        <w:rPr>
          <w:rFonts w:ascii="Times New Roman" w:eastAsiaTheme="minorHAnsi" w:hAnsi="Times New Roman" w:cs="Times New Roman"/>
          <w:sz w:val="28"/>
          <w:szCs w:val="28"/>
          <w:lang w:eastAsia="en-US"/>
        </w:rPr>
        <w:t>2019 г.— 21010 человек;</w:t>
      </w:r>
    </w:p>
    <w:p w:rsidR="00160BB0" w:rsidRPr="00160BB0" w:rsidRDefault="00160BB0" w:rsidP="00160BB0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B0">
        <w:rPr>
          <w:rFonts w:ascii="Times New Roman" w:eastAsiaTheme="minorHAnsi" w:hAnsi="Times New Roman" w:cs="Times New Roman"/>
          <w:sz w:val="28"/>
          <w:szCs w:val="28"/>
          <w:lang w:eastAsia="en-US"/>
        </w:rPr>
        <w:t>2018 г.— 22561 человек;</w:t>
      </w:r>
    </w:p>
    <w:p w:rsidR="00160BB0" w:rsidRPr="00160BB0" w:rsidRDefault="00160BB0" w:rsidP="00160BB0">
      <w:pPr>
        <w:pStyle w:val="af1"/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39859333"/>
      <w:r w:rsidRPr="00160BB0">
        <w:rPr>
          <w:rFonts w:ascii="Times New Roman" w:eastAsiaTheme="minorHAnsi" w:hAnsi="Times New Roman" w:cs="Times New Roman"/>
          <w:sz w:val="28"/>
          <w:szCs w:val="28"/>
          <w:lang w:eastAsia="en-US"/>
        </w:rPr>
        <w:t>2017 г. — 25371 человек.</w:t>
      </w:r>
      <w:bookmarkEnd w:id="4"/>
    </w:p>
    <w:p w:rsidR="00BD3324" w:rsidRPr="00160BB0" w:rsidRDefault="00BD3324" w:rsidP="00160BB0">
      <w:pPr>
        <w:widowControl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Норильский никель имеет собственную глобальную сеть представ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тельских и сбытовых офисов в России, Великобритании, Китае, США и Швейцарии.</w:t>
      </w:r>
    </w:p>
    <w:p w:rsidR="00BD3324" w:rsidRP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деятельности ГМК "Норильский никель" (миссией) является укрепление ведущей позиции в мировой горно-металлургической отрасли и роли ответственного производителя и поставщика цветных и др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гоценных металлов.</w:t>
      </w:r>
    </w:p>
    <w:p w:rsidR="00BD3324" w:rsidRDefault="00BD3324" w:rsidP="00BD33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Стратегическими целями Компании являются:</w:t>
      </w:r>
    </w:p>
    <w:p w:rsidR="00BD3324" w:rsidRPr="00BD3324" w:rsidRDefault="00BD3324" w:rsidP="00BD3324">
      <w:pPr>
        <w:pStyle w:val="af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рациональное использование уникальной минерально-сырьевой б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зы и устойчивость операционных затрат;</w:t>
      </w:r>
    </w:p>
    <w:p w:rsidR="00BD3324" w:rsidRPr="00BD3324" w:rsidRDefault="00BD3324" w:rsidP="00BD3324">
      <w:pPr>
        <w:pStyle w:val="af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потенциала роста путем поиска, разведки и разработки месторождений минеральных ресурсов мирового класса;</w:t>
      </w:r>
    </w:p>
    <w:p w:rsidR="00BD3324" w:rsidRPr="00BD3324" w:rsidRDefault="00BD3324" w:rsidP="00BD3324">
      <w:pPr>
        <w:pStyle w:val="af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стабильному развитию рынков продукции, производ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мой ГМК "Норильский никель";</w:t>
      </w:r>
    </w:p>
    <w:p w:rsidR="00BD3324" w:rsidRPr="00BD3324" w:rsidRDefault="00BD3324" w:rsidP="00BD3324">
      <w:pPr>
        <w:pStyle w:val="af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стабильному развитию регионов хозяйствования пре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D3324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 ГМК "Норильский никель".</w:t>
      </w:r>
    </w:p>
    <w:p w:rsidR="00BD3324" w:rsidRPr="00E81A1F" w:rsidRDefault="00E81A1F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A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Уставный капитал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рильский никель» составляет 158245476 руб. и состоит из 158245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476 обыкновенных акций номинальной стоимостью 1 руб. каждая. Ценные бумаги Компании являются наиболее л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квидным инструментом на российском и зарубежном фондовых рынках.</w:t>
      </w:r>
      <w:r w:rsidRPr="00E81A1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России акции ПАО «ГМК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«Норильский никель» включены в 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котировальный список первого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ПАО «Московская биржа» а также в 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сп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исок ценных бумаг, допущенных к </w:t>
      </w:r>
      <w:r w:rsidRPr="00E81A1F">
        <w:rPr>
          <w:rFonts w:ascii="Times New Roman" w:eastAsia="Calibri" w:hAnsi="Times New Roman" w:cs="Times New Roman"/>
          <w:sz w:val="28"/>
          <w:szCs w:val="28"/>
          <w:lang w:eastAsia="en-US"/>
        </w:rPr>
        <w:t>торгам ПАО «Санкт-Петербургская биржа»</w:t>
      </w:r>
    </w:p>
    <w:p w:rsidR="0031216B" w:rsidRPr="0031216B" w:rsidRDefault="00E64635" w:rsidP="0031216B">
      <w:pPr>
        <w:widowControl w:val="0"/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ПАО «ГМК «Норильский никель»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юридическим лицом и им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 в собственности обособленное имущество, учитываемое на его самосто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тельном балансе, может от своего имени приобретать и осуществлять им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щественные и личные неимущественные права, нести обязанности, быть ис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цом и ответчиком в суде.</w:t>
      </w:r>
    </w:p>
    <w:p w:rsidR="0031216B" w:rsidRPr="0031216B" w:rsidRDefault="00E64635" w:rsidP="0031216B">
      <w:pPr>
        <w:widowControl w:val="0"/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ПАО «ГМК «Норильский никель»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ведет бухгалтерский учет и предо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тавляет бухгалтерскую (финансовую) отчетность в порядке, установленном </w:t>
      </w:r>
      <w:r w:rsidR="0031216B" w:rsidRPr="003121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действующим законодательством Российской Федерации и Уставом.</w:t>
      </w:r>
    </w:p>
    <w:p w:rsidR="0031216B" w:rsidRPr="0031216B" w:rsidRDefault="00E64635" w:rsidP="0031216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ПАО «ГМК «Норильский никель»</w:t>
      </w:r>
      <w:r w:rsidR="0031216B" w:rsidRPr="0031216B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E81A1F">
        <w:rPr>
          <w:rFonts w:ascii="Times New Roman" w:eastAsia="Times New Roman" w:hAnsi="Times New Roman" w:cs="Times New Roman"/>
          <w:sz w:val="28"/>
          <w:szCs w:val="28"/>
        </w:rPr>
        <w:t>дочерние и зависимые орган</w:t>
      </w:r>
      <w:r w:rsidR="00E81A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1A1F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31216B" w:rsidRPr="0031216B">
        <w:rPr>
          <w:rFonts w:ascii="Times New Roman" w:eastAsia="Times New Roman" w:hAnsi="Times New Roman" w:cs="Times New Roman"/>
          <w:sz w:val="28"/>
          <w:szCs w:val="28"/>
        </w:rPr>
        <w:t>, к которым относятся: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567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Авиакомпания </w:t>
      </w:r>
      <w:hyperlink r:id="rId16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NordStar</w:t>
        </w:r>
      </w:hyperlink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567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Аэропорт Норильск</w:t>
      </w:r>
    </w:p>
    <w:p w:rsidR="00E81A1F" w:rsidRPr="00E81A1F" w:rsidRDefault="00B63575" w:rsidP="00E81A1F">
      <w:pPr>
        <w:pStyle w:val="af1"/>
        <w:numPr>
          <w:ilvl w:val="0"/>
          <w:numId w:val="21"/>
        </w:numPr>
        <w:tabs>
          <w:tab w:val="clear" w:pos="720"/>
          <w:tab w:val="left" w:pos="567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17"/>
        </w:rPr>
      </w:pPr>
      <w:hyperlink r:id="rId17" w:tooltip="Енисейское речное пароходство" w:history="1">
        <w:r w:rsidR="00E81A1F"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Енисейское речное пароходство</w:t>
        </w:r>
      </w:hyperlink>
    </w:p>
    <w:p w:rsidR="00E81A1F" w:rsidRPr="00E81A1F" w:rsidRDefault="00B63575" w:rsidP="00E81A1F">
      <w:pPr>
        <w:pStyle w:val="af1"/>
        <w:numPr>
          <w:ilvl w:val="0"/>
          <w:numId w:val="21"/>
        </w:numPr>
        <w:tabs>
          <w:tab w:val="clear" w:pos="720"/>
          <w:tab w:val="left" w:pos="567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hyperlink r:id="rId18" w:tooltip="Красноярский речной порт" w:history="1">
        <w:r w:rsidR="00E81A1F"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Красноярский речной порт</w:t>
        </w:r>
      </w:hyperlink>
    </w:p>
    <w:p w:rsidR="00E81A1F" w:rsidRPr="00E81A1F" w:rsidRDefault="00B63575" w:rsidP="00E81A1F">
      <w:pPr>
        <w:pStyle w:val="af1"/>
        <w:numPr>
          <w:ilvl w:val="0"/>
          <w:numId w:val="21"/>
        </w:numPr>
        <w:tabs>
          <w:tab w:val="clear" w:pos="720"/>
          <w:tab w:val="left" w:pos="567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hyperlink r:id="rId19" w:tooltip="Гипроникель" w:history="1">
        <w:r w:rsidR="00E81A1F"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Гипроникель</w:t>
        </w:r>
      </w:hyperlink>
    </w:p>
    <w:p w:rsidR="00E81A1F" w:rsidRPr="00E81A1F" w:rsidRDefault="00B63575" w:rsidP="00E81A1F">
      <w:pPr>
        <w:pStyle w:val="af1"/>
        <w:numPr>
          <w:ilvl w:val="0"/>
          <w:numId w:val="21"/>
        </w:numPr>
        <w:tabs>
          <w:tab w:val="clear" w:pos="720"/>
          <w:tab w:val="left" w:pos="567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hyperlink r:id="rId20" w:tooltip="Норильский никель (мини-футбольный клуб)" w:history="1">
        <w:r w:rsidR="00E81A1F"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Кольская горно-металлургическая компания</w:t>
        </w:r>
      </w:hyperlink>
    </w:p>
    <w:p w:rsidR="00E81A1F" w:rsidRPr="00E81A1F" w:rsidRDefault="00B63575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hyperlink r:id="rId21" w:tooltip="Красноярский завод цветных металлов имени В. Н. Гулидова (страница отсутствует)" w:history="1">
        <w:r w:rsidR="00E81A1F"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Красноярский завод цветных металлов имени В. Н. Гулидова</w:t>
        </w:r>
      </w:hyperlink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ООО «</w:t>
      </w:r>
      <w:hyperlink r:id="rId22" w:tooltip="Норильскгеология (страница отсутствует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Норильскгеология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Мини-футбольный клуб «</w:t>
      </w:r>
      <w:hyperlink r:id="rId23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Норильский никель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Баскетбольный клуб </w:t>
      </w:r>
      <w:hyperlink r:id="rId24" w:tooltip="ЦСКА (баскетбольный клуб, Москва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ЦСКА</w:t>
        </w:r>
      </w:hyperlink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ОАО «</w:t>
      </w:r>
      <w:hyperlink r:id="rId25" w:tooltip="Норильскгазпром (страница отсутствует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Норильскгазпром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ОАО «</w:t>
      </w:r>
      <w:hyperlink r:id="rId26" w:tooltip="Таймыргаз (страница отсутствует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Таймыргаз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АО «</w:t>
      </w:r>
      <w:hyperlink r:id="rId27" w:tooltip="Таймырская топливная компания (страница отсутствует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Таймырская топливная компания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НОУ «Корпоративный университет Норильский никель»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ООО «Санаторий «</w:t>
      </w:r>
      <w:hyperlink r:id="rId28" w:tooltip="Заполярье (санаторий) (страница отсутствует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Заполярье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ООО «Единство»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ОАО «</w:t>
      </w:r>
      <w:hyperlink r:id="rId29" w:tooltip="Норильско-Таймырская энергетическая компания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НТЭК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E81A1F" w:rsidRPr="00E81A1F" w:rsidRDefault="00E81A1F" w:rsidP="00E81A1F">
      <w:pPr>
        <w:pStyle w:val="af1"/>
        <w:numPr>
          <w:ilvl w:val="0"/>
          <w:numId w:val="21"/>
        </w:numPr>
        <w:tabs>
          <w:tab w:val="clear" w:pos="720"/>
          <w:tab w:val="left" w:pos="709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17"/>
        </w:rPr>
      </w:pPr>
      <w:r w:rsidRPr="00E81A1F">
        <w:rPr>
          <w:rFonts w:ascii="Times New Roman" w:hAnsi="Times New Roman" w:cs="Times New Roman"/>
          <w:sz w:val="28"/>
          <w:szCs w:val="17"/>
        </w:rPr>
        <w:t>ОАО «</w:t>
      </w:r>
      <w:hyperlink r:id="rId30" w:tooltip="Таймырэнерго (страница отсутствует)" w:history="1">
        <w:r w:rsidRPr="00E81A1F">
          <w:rPr>
            <w:rStyle w:val="af0"/>
            <w:rFonts w:ascii="Times New Roman" w:hAnsi="Times New Roman" w:cs="Times New Roman"/>
            <w:color w:val="auto"/>
            <w:sz w:val="28"/>
            <w:szCs w:val="17"/>
            <w:u w:val="none"/>
          </w:rPr>
          <w:t>Таймырэнерго</w:t>
        </w:r>
      </w:hyperlink>
      <w:r w:rsidRPr="00E81A1F">
        <w:rPr>
          <w:rFonts w:ascii="Times New Roman" w:hAnsi="Times New Roman" w:cs="Times New Roman"/>
          <w:sz w:val="28"/>
          <w:szCs w:val="17"/>
        </w:rPr>
        <w:t>»</w:t>
      </w:r>
    </w:p>
    <w:p w:rsidR="0031216B" w:rsidRPr="0031216B" w:rsidRDefault="00E64635" w:rsidP="0031216B">
      <w:pPr>
        <w:tabs>
          <w:tab w:val="left" w:pos="806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применяет в своей деятельности о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E81A1F">
        <w:rPr>
          <w:rFonts w:ascii="Times New Roman" w:eastAsia="Calibri" w:hAnsi="Times New Roman" w:cs="Times New Roman"/>
          <w:sz w:val="28"/>
          <w:szCs w:val="28"/>
          <w:lang w:eastAsia="en-US"/>
        </w:rPr>
        <w:t>щую систему налогообложения.</w:t>
      </w:r>
    </w:p>
    <w:p w:rsidR="0031216B" w:rsidRPr="0031216B" w:rsidRDefault="00E64635" w:rsidP="0031216B">
      <w:pPr>
        <w:tabs>
          <w:tab w:val="left" w:pos="806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эффективную систему корп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ративного управления и внутреннего контроля финансово-хозяйственной деятельности, соответствующую российскому законодательству</w:t>
      </w:r>
      <w:r w:rsidR="00E81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Компания постоянно совершенствует корпоративное управление, соблюдая при этом права акционеров и других заинтересованных сторон.</w:t>
      </w:r>
    </w:p>
    <w:p w:rsidR="0031216B" w:rsidRPr="0031216B" w:rsidRDefault="0031216B" w:rsidP="0031216B">
      <w:pPr>
        <w:tabs>
          <w:tab w:val="left" w:pos="806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Высшим органом управления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ется Общее собрание акционеров. Совет директоров избирается акционерами 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подотчетен им. Он обеспечивает стратегическое управление и контроль деятельности исполнительных органов — Генерального директора (Предс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дателя Правления), Президента и Правления. </w:t>
      </w:r>
      <w:r w:rsidR="00E81A1F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Президентом Компании с 2012 г. является Потанин Владимир Олегович.</w:t>
      </w:r>
    </w:p>
    <w:p w:rsidR="0031216B" w:rsidRPr="0031216B" w:rsidRDefault="0031216B" w:rsidP="0031216B">
      <w:pPr>
        <w:tabs>
          <w:tab w:val="left" w:pos="806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Исполнительные органы осуществляют текущее руководство Компан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ей и выполняют задачи, поставленные акционерами и Советом директоров.</w:t>
      </w:r>
    </w:p>
    <w:p w:rsidR="00F846D5" w:rsidRDefault="0031216B" w:rsidP="00D877E6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своей деятельности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следует, пр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жде всего, согласно законодательству Российской Федерации — Гражда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скому, Налоговому, Уголовному кодексам, Федеральным законам и иным нормативно-правовым актам. К внутренним документам, обеспечивающим нормативно-правовую базу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, можно отн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сти, в первую очередь Устав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Положения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, к которым относятся:</w:t>
      </w:r>
    </w:p>
    <w:p w:rsidR="00F846D5" w:rsidRDefault="00F846D5" w:rsidP="00F846D5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 Положение об Общем собрании акционеров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ский никель»;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46D5" w:rsidRDefault="0031216B" w:rsidP="00F846D5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Положение о Совете директоров ПАО</w:t>
      </w:r>
      <w:r w:rsidR="00F84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«ГМК «Норильский никель»;</w:t>
      </w:r>
    </w:p>
    <w:p w:rsidR="00F846D5" w:rsidRDefault="00F846D5" w:rsidP="00F846D5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Положение о комитетах 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ский никель»;</w:t>
      </w:r>
    </w:p>
    <w:p w:rsidR="0031216B" w:rsidRPr="0031216B" w:rsidRDefault="0031216B" w:rsidP="0031216B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 Положение </w:t>
      </w:r>
      <w:r w:rsidR="00F846D5">
        <w:rPr>
          <w:rFonts w:ascii="Times New Roman" w:eastAsia="Calibri" w:hAnsi="Times New Roman" w:cs="Times New Roman"/>
          <w:sz w:val="28"/>
          <w:szCs w:val="28"/>
          <w:lang w:eastAsia="en-US"/>
        </w:rPr>
        <w:t>о Правлении;</w:t>
      </w:r>
    </w:p>
    <w:p w:rsidR="0031216B" w:rsidRDefault="0031216B" w:rsidP="0031216B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 Положение о </w:t>
      </w:r>
      <w:r w:rsidR="00F846D5">
        <w:rPr>
          <w:rFonts w:ascii="Times New Roman" w:eastAsia="Calibri" w:hAnsi="Times New Roman" w:cs="Times New Roman"/>
          <w:sz w:val="28"/>
          <w:szCs w:val="28"/>
          <w:lang w:eastAsia="en-US"/>
        </w:rPr>
        <w:t>ревизионной комиссии;</w:t>
      </w:r>
    </w:p>
    <w:p w:rsidR="00F846D5" w:rsidRPr="0031216B" w:rsidRDefault="00F846D5" w:rsidP="0031216B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Корпоративные кодексы и политики.</w:t>
      </w:r>
    </w:p>
    <w:p w:rsidR="00D877E6" w:rsidRPr="00D877E6" w:rsidRDefault="00E64635" w:rsidP="00D877E6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 эффективную систему упра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вопросами устойчивого развития компании. По инициативе Правления в организации создан координационный комитет по устойчивому развитию. Этот орган направлен на обеспечение координации деятельности компании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взаимодействие компании с з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интересованными сторонами по вопросам устойчивого развития, а также на подготовку рекомендаций по повышению долгосрочной устойчивости бизн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са в ответ на социальные, экологические, ресурсные и энергетические пр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1216B"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блемы. </w:t>
      </w:r>
      <w:r w:rsidR="00D877E6"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Цель системы корпоративного управления – это соблюдение баланса</w:t>
      </w:r>
      <w:r w:rsid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77E6"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между акционерами, членами </w:t>
      </w:r>
      <w:r w:rsidR="00D877E6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Директоров</w:t>
      </w:r>
      <w:r w:rsidR="00D877E6"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, менеджментом и сотру</w:t>
      </w:r>
      <w:r w:rsidR="00D877E6"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D877E6"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никами компании.</w:t>
      </w:r>
    </w:p>
    <w:p w:rsidR="00D877E6" w:rsidRPr="00D877E6" w:rsidRDefault="00D877E6" w:rsidP="00D877E6">
      <w:pPr>
        <w:tabs>
          <w:tab w:val="left" w:pos="60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Директоров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проходят по мере необходимости, но не реже одного раза в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недель.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 Директоров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ежеквартально рассматривал финансовые результаты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компании, информацию о ходе реализации стратегических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инициатив, отчеты менеджмента о резул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татах деятельности в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экологии, промышленной безопасности, охр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ны труда, отчеты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производственных показателях.</w:t>
      </w:r>
    </w:p>
    <w:p w:rsidR="00D877E6" w:rsidRPr="00D877E6" w:rsidRDefault="00D877E6" w:rsidP="00D877E6">
      <w:pPr>
        <w:tabs>
          <w:tab w:val="left" w:pos="60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Так же совет директоров уполномочен выносить на повестку дня и р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шать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касающиеся деятельности компании.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В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овет Директоров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дит 13 членов правления.</w:t>
      </w:r>
    </w:p>
    <w:p w:rsidR="00D877E6" w:rsidRDefault="00D877E6" w:rsidP="00D877E6">
      <w:pPr>
        <w:tabs>
          <w:tab w:val="left" w:pos="60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«Норникель» выстраивает отношения с поставщиками на основе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крытых тендерных процедур, которые обеспечивают оптимальные условия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приобретения ресурсов, необходимых для стабильной работы всех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подразделений.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Предприятия, входящие в Группу компаний «Н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рильский никель»,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заняты различными видами деятельности — от добычи, производства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драгоценных и цветных металлов до оказания у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луг связи и FMCG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(рынок быстро оборачиваемых товаров или товаров с в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сокой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оборачиваемостью).</w:t>
      </w:r>
    </w:p>
    <w:p w:rsidR="00D877E6" w:rsidRDefault="00D877E6" w:rsidP="00D877E6">
      <w:pPr>
        <w:tabs>
          <w:tab w:val="left" w:pos="60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Многообразие направлений деятельности и географическое положение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предприятий Компании обуславливает разнообразие потребностей —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конструкции аэропорта Норильска в условиях крайнего севера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ства Быстринского ГОК «с нуля».</w:t>
      </w:r>
    </w:p>
    <w:p w:rsidR="00D877E6" w:rsidRPr="00D877E6" w:rsidRDefault="00D877E6" w:rsidP="00160BB0">
      <w:pPr>
        <w:tabs>
          <w:tab w:val="left" w:pos="60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Компания постоянно расширяет конкурентную среду и уделяет бол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шое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 развитию отношений с российскими поставщиками и подря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чиками,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оказывают влияние на возможности Компании достигать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поставленных стратегических целей.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Компания заинтересована в сотрудн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честве с надежными поставщиками,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будут соблюдать взятые на себя обязательства по объему, срокам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поставки и качеству продукции, поэтому в ходе закупочных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поставщики проходят обязательный для всех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квалификационный отбор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формализованным критериям и правилам. З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купки проводят тендерами,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 основе, выбирается не только с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мый дешевый, но и ключевую роль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играет имидж поставщика, так как срыв сроков поставки материала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равен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срыв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сроков по обязательствам перед кл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877E6">
        <w:rPr>
          <w:rFonts w:ascii="Times New Roman" w:eastAsia="Calibri" w:hAnsi="Times New Roman" w:cs="Times New Roman"/>
          <w:sz w:val="28"/>
          <w:szCs w:val="28"/>
          <w:lang w:eastAsia="en-US"/>
        </w:rPr>
        <w:t>ентами Компании.</w:t>
      </w:r>
    </w:p>
    <w:p w:rsidR="0031216B" w:rsidRPr="0031216B" w:rsidRDefault="0031216B" w:rsidP="00160BB0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5" w:name="_Toc46076514"/>
      <w:r w:rsidRPr="0031216B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1.2 Анализ основных финансовых показателей деятельности </w:t>
      </w:r>
      <w:r w:rsidR="00E64635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ПАО «ГМК «Норильский никель»</w:t>
      </w:r>
      <w:bookmarkEnd w:id="5"/>
    </w:p>
    <w:p w:rsidR="0031216B" w:rsidRPr="00160BB0" w:rsidRDefault="0031216B" w:rsidP="0016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финансовых показателей</w:t>
      </w:r>
      <w:r w:rsidR="00E64635"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зволяет наглядно увидеть эффективность деятельности организации. Анализ выполнен за период с 01.01.2019 г. по 31.12.2019 г. на основе данных бухга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терской отчетности организации за 2019 г.</w:t>
      </w:r>
    </w:p>
    <w:p w:rsidR="0031216B" w:rsidRPr="00160BB0" w:rsidRDefault="0031216B" w:rsidP="0016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целом финансовые показатели </w:t>
      </w:r>
      <w:r w:rsidR="00E64635"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160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охарактеризовать как положительные, поскольку на конец 2019 г. все показатели проявили положительную тенденцию. Прибыль от продаж растет в течение всего анализируемого периода.</w:t>
      </w:r>
    </w:p>
    <w:p w:rsidR="00160BB0" w:rsidRPr="00160BB0" w:rsidRDefault="00160BB0" w:rsidP="00160BB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6076515"/>
      <w:r w:rsidRPr="00160BB0">
        <w:rPr>
          <w:rFonts w:ascii="Times New Roman" w:hAnsi="Times New Roman" w:cs="Times New Roman"/>
          <w:color w:val="000000" w:themeColor="text1"/>
          <w:sz w:val="28"/>
          <w:szCs w:val="28"/>
        </w:rPr>
        <w:t>Анализ бухгалтерского баланса проведен ниже в таблицах 2.1 и 2.2. Бухгалтерский баланс организации приведен в приложении А.</w:t>
      </w:r>
    </w:p>
    <w:p w:rsidR="00160BB0" w:rsidRPr="00EC6402" w:rsidRDefault="00160BB0" w:rsidP="00160BB0">
      <w:pPr>
        <w:pStyle w:val="a5"/>
        <w:spacing w:before="120" w:after="120" w:line="360" w:lineRule="auto"/>
        <w:ind w:firstLine="0"/>
        <w:jc w:val="left"/>
      </w:pPr>
      <w:r w:rsidRPr="00160BB0">
        <w:rPr>
          <w:sz w:val="28"/>
        </w:rPr>
        <w:t>Таблица 2.1 — Состав и структура бухгалтерского баланса</w:t>
      </w:r>
    </w:p>
    <w:tbl>
      <w:tblPr>
        <w:tblStyle w:val="ac"/>
        <w:tblW w:w="93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1"/>
        <w:gridCol w:w="1286"/>
        <w:gridCol w:w="1124"/>
        <w:gridCol w:w="1428"/>
        <w:gridCol w:w="1124"/>
        <w:gridCol w:w="1569"/>
        <w:gridCol w:w="1124"/>
      </w:tblGrid>
      <w:tr w:rsidR="00160BB0" w:rsidRPr="00AB18AC" w:rsidTr="00160BB0">
        <w:trPr>
          <w:trHeight w:val="276"/>
        </w:trPr>
        <w:tc>
          <w:tcPr>
            <w:tcW w:w="1691" w:type="dxa"/>
            <w:vMerge w:val="restart"/>
            <w:tcBorders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2017 г.</w:t>
            </w:r>
          </w:p>
        </w:tc>
        <w:tc>
          <w:tcPr>
            <w:tcW w:w="2552" w:type="dxa"/>
            <w:gridSpan w:val="2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2018 г.</w:t>
            </w:r>
          </w:p>
        </w:tc>
        <w:tc>
          <w:tcPr>
            <w:tcW w:w="2693" w:type="dxa"/>
            <w:gridSpan w:val="2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2019 г.</w:t>
            </w:r>
          </w:p>
        </w:tc>
      </w:tr>
      <w:tr w:rsidR="00160BB0" w:rsidRPr="00AB18AC" w:rsidTr="00160BB0">
        <w:trPr>
          <w:trHeight w:val="275"/>
        </w:trPr>
        <w:tc>
          <w:tcPr>
            <w:tcW w:w="16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тыс. р.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уд. вес, %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тыс. р.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уд. вес, %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тыс. р.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center"/>
              <w:rPr>
                <w:szCs w:val="22"/>
              </w:rPr>
            </w:pPr>
            <w:r w:rsidRPr="00AB18AC">
              <w:rPr>
                <w:szCs w:val="22"/>
              </w:rPr>
              <w:t>уд. вес, %</w:t>
            </w:r>
          </w:p>
        </w:tc>
      </w:tr>
      <w:tr w:rsidR="00160BB0" w:rsidRPr="00AB18AC" w:rsidTr="00160BB0"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rPr>
                <w:szCs w:val="22"/>
              </w:rPr>
            </w:pPr>
            <w:r w:rsidRPr="00AB18AC">
              <w:rPr>
                <w:szCs w:val="22"/>
              </w:rPr>
              <w:t>Внеоборотные активы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668686631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74,98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742942237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73,52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747623700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58,28</w:t>
            </w:r>
          </w:p>
        </w:tc>
      </w:tr>
      <w:tr w:rsidR="00160BB0" w:rsidRPr="00AB18AC" w:rsidTr="00160BB0"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rPr>
                <w:szCs w:val="22"/>
              </w:rPr>
            </w:pPr>
            <w:r w:rsidRPr="00AB18AC">
              <w:rPr>
                <w:szCs w:val="22"/>
              </w:rPr>
              <w:t>Оборотные активы</w:t>
            </w:r>
          </w:p>
        </w:tc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223074273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25,02</w:t>
            </w:r>
          </w:p>
        </w:tc>
        <w:tc>
          <w:tcPr>
            <w:tcW w:w="1428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267590633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26,48</w:t>
            </w:r>
          </w:p>
        </w:tc>
        <w:tc>
          <w:tcPr>
            <w:tcW w:w="1569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535078619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41,72</w:t>
            </w:r>
          </w:p>
        </w:tc>
      </w:tr>
      <w:tr w:rsidR="00160BB0" w:rsidRPr="00AB18AC" w:rsidTr="00160BB0"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rPr>
                <w:szCs w:val="22"/>
              </w:rPr>
            </w:pPr>
            <w:r w:rsidRPr="00AB18AC">
              <w:rPr>
                <w:szCs w:val="22"/>
              </w:rPr>
              <w:t>Капитал и резервы</w:t>
            </w:r>
          </w:p>
        </w:tc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248940415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27,92</w:t>
            </w:r>
          </w:p>
        </w:tc>
        <w:tc>
          <w:tcPr>
            <w:tcW w:w="1428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194884220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19,28</w:t>
            </w:r>
          </w:p>
        </w:tc>
        <w:tc>
          <w:tcPr>
            <w:tcW w:w="1569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348675191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27,18</w:t>
            </w:r>
          </w:p>
        </w:tc>
      </w:tr>
      <w:tr w:rsidR="00160BB0" w:rsidRPr="00AB18AC" w:rsidTr="00160BB0"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rPr>
                <w:szCs w:val="22"/>
              </w:rPr>
            </w:pPr>
            <w:r w:rsidRPr="00AB18AC">
              <w:rPr>
                <w:szCs w:val="22"/>
              </w:rPr>
              <w:t>Долгосрочные обязательства</w:t>
            </w:r>
          </w:p>
        </w:tc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508843676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57,06</w:t>
            </w:r>
          </w:p>
        </w:tc>
        <w:tc>
          <w:tcPr>
            <w:tcW w:w="1428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631329984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64,48</w:t>
            </w:r>
          </w:p>
        </w:tc>
        <w:tc>
          <w:tcPr>
            <w:tcW w:w="1569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568911440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44,35</w:t>
            </w:r>
          </w:p>
        </w:tc>
      </w:tr>
      <w:tr w:rsidR="00160BB0" w:rsidRPr="00AB18AC" w:rsidTr="00160BB0"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rPr>
                <w:szCs w:val="22"/>
              </w:rPr>
            </w:pPr>
            <w:r w:rsidRPr="00AB18AC">
              <w:rPr>
                <w:szCs w:val="22"/>
              </w:rPr>
              <w:t>Краткосрочные обязательства</w:t>
            </w:r>
          </w:p>
        </w:tc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133976813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15,02</w:t>
            </w:r>
          </w:p>
        </w:tc>
        <w:tc>
          <w:tcPr>
            <w:tcW w:w="1428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184318666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18,24</w:t>
            </w:r>
          </w:p>
        </w:tc>
        <w:tc>
          <w:tcPr>
            <w:tcW w:w="1569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365115688</w:t>
            </w:r>
          </w:p>
        </w:tc>
        <w:tc>
          <w:tcPr>
            <w:tcW w:w="1124" w:type="dxa"/>
            <w:vAlign w:val="center"/>
          </w:tcPr>
          <w:p w:rsidR="00160BB0" w:rsidRPr="00AB18AC" w:rsidRDefault="00160BB0" w:rsidP="00160BB0">
            <w:pPr>
              <w:pStyle w:val="af3"/>
              <w:suppressAutoHyphens/>
              <w:jc w:val="right"/>
              <w:rPr>
                <w:szCs w:val="22"/>
              </w:rPr>
            </w:pPr>
            <w:r>
              <w:rPr>
                <w:szCs w:val="22"/>
              </w:rPr>
              <w:t>28,47</w:t>
            </w:r>
          </w:p>
        </w:tc>
      </w:tr>
    </w:tbl>
    <w:p w:rsidR="00160BB0" w:rsidRPr="00160BB0" w:rsidRDefault="00160BB0" w:rsidP="00160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BB0">
        <w:rPr>
          <w:rFonts w:ascii="Times New Roman" w:hAnsi="Times New Roman" w:cs="Times New Roman"/>
          <w:sz w:val="28"/>
        </w:rPr>
        <w:lastRenderedPageBreak/>
        <w:t>Структура активов организации на конец анализируемого периода х</w:t>
      </w:r>
      <w:r w:rsidRPr="00160BB0">
        <w:rPr>
          <w:rFonts w:ascii="Times New Roman" w:hAnsi="Times New Roman" w:cs="Times New Roman"/>
          <w:sz w:val="28"/>
        </w:rPr>
        <w:t>а</w:t>
      </w:r>
      <w:r w:rsidRPr="00160BB0">
        <w:rPr>
          <w:rFonts w:ascii="Times New Roman" w:hAnsi="Times New Roman" w:cs="Times New Roman"/>
          <w:sz w:val="28"/>
        </w:rPr>
        <w:t xml:space="preserve">рактеризуется следующим соотношением: 58,28% внеоборотных активов и 41,72% оборотных. Преимущество внеоборотных активов над оборотными говорит о том, что предприятие является более фондоемким. </w:t>
      </w:r>
    </w:p>
    <w:p w:rsidR="00160BB0" w:rsidRPr="00160BB0" w:rsidRDefault="00160BB0" w:rsidP="00160B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60BB0">
        <w:rPr>
          <w:rFonts w:ascii="Times New Roman" w:hAnsi="Times New Roman" w:cs="Times New Roman"/>
          <w:sz w:val="28"/>
        </w:rPr>
        <w:t>Что касается заемного капитала, доля долгосрочных обязательств пр</w:t>
      </w:r>
      <w:r w:rsidRPr="00160BB0">
        <w:rPr>
          <w:rFonts w:ascii="Times New Roman" w:hAnsi="Times New Roman" w:cs="Times New Roman"/>
          <w:sz w:val="28"/>
        </w:rPr>
        <w:t>е</w:t>
      </w:r>
      <w:r w:rsidRPr="00160BB0">
        <w:rPr>
          <w:rFonts w:ascii="Times New Roman" w:hAnsi="Times New Roman" w:cs="Times New Roman"/>
          <w:sz w:val="28"/>
        </w:rPr>
        <w:t>обладает над долей краткосрочных обязательств в течение всего рассматр</w:t>
      </w:r>
      <w:r w:rsidRPr="00160BB0">
        <w:rPr>
          <w:rFonts w:ascii="Times New Roman" w:hAnsi="Times New Roman" w:cs="Times New Roman"/>
          <w:sz w:val="28"/>
        </w:rPr>
        <w:t>и</w:t>
      </w:r>
      <w:r w:rsidRPr="00160BB0">
        <w:rPr>
          <w:rFonts w:ascii="Times New Roman" w:hAnsi="Times New Roman" w:cs="Times New Roman"/>
          <w:sz w:val="28"/>
        </w:rPr>
        <w:t>ваемого периода. Это создает основу финансовой устойчивости предприятия и уменьшает риски ее утраты.</w:t>
      </w:r>
    </w:p>
    <w:p w:rsidR="00160BB0" w:rsidRPr="00160BB0" w:rsidRDefault="00160BB0" w:rsidP="00160BB0">
      <w:pPr>
        <w:suppressAutoHyphens/>
        <w:spacing w:before="120" w:after="120"/>
        <w:ind w:left="1843" w:hanging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BB0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2.2</w:t>
      </w:r>
      <w:r w:rsidRPr="00160BB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E"/>
      </w:r>
      <w:r w:rsidRPr="0016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Горизонтальный анализ баланса ПАО «ГМК «Норильский никель»</w:t>
      </w:r>
    </w:p>
    <w:tbl>
      <w:tblPr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3"/>
        <w:gridCol w:w="1241"/>
        <w:gridCol w:w="1183"/>
        <w:gridCol w:w="1228"/>
        <w:gridCol w:w="888"/>
        <w:gridCol w:w="1213"/>
        <w:gridCol w:w="1159"/>
        <w:gridCol w:w="957"/>
      </w:tblGrid>
      <w:tr w:rsidR="00160BB0" w:rsidRPr="00160BB0" w:rsidTr="00160BB0">
        <w:trPr>
          <w:trHeight w:val="635"/>
        </w:trPr>
        <w:tc>
          <w:tcPr>
            <w:tcW w:w="1583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4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 г.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 г.</w:t>
            </w:r>
          </w:p>
        </w:tc>
        <w:tc>
          <w:tcPr>
            <w:tcW w:w="2116" w:type="dxa"/>
            <w:gridSpan w:val="2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</w:t>
            </w:r>
          </w:p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13" w:type="dxa"/>
            <w:vMerge w:val="restart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 г.</w:t>
            </w:r>
          </w:p>
        </w:tc>
        <w:tc>
          <w:tcPr>
            <w:tcW w:w="2116" w:type="dxa"/>
            <w:gridSpan w:val="2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</w:t>
            </w:r>
          </w:p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</w:tr>
      <w:tr w:rsidR="00160BB0" w:rsidRPr="00160BB0" w:rsidTr="00160BB0">
        <w:trPr>
          <w:trHeight w:val="910"/>
        </w:trPr>
        <w:tc>
          <w:tcPr>
            <w:tcW w:w="15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абс.</w:t>
            </w:r>
          </w:p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отклон.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пр</w:t>
            </w: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роста, %</w:t>
            </w: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абс.</w:t>
            </w:r>
          </w:p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отклон.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приро</w:t>
            </w: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%</w:t>
            </w:r>
          </w:p>
        </w:tc>
      </w:tr>
      <w:tr w:rsidR="00160BB0" w:rsidRPr="00160BB0" w:rsidTr="00160BB0">
        <w:trPr>
          <w:trHeight w:val="615"/>
        </w:trPr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Внеоборотные </w:t>
            </w:r>
          </w:p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668686631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742942243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74255612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747623700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4681457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160BB0" w:rsidRPr="00160BB0" w:rsidTr="00160BB0">
        <w:trPr>
          <w:trHeight w:val="315"/>
        </w:trPr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Оборотные активы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223074273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267590633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44516360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535078619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267487986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</w:t>
            </w:r>
          </w:p>
        </w:tc>
      </w:tr>
      <w:tr w:rsidR="00160BB0" w:rsidRPr="00160BB0" w:rsidTr="00160BB0">
        <w:trPr>
          <w:trHeight w:val="315"/>
        </w:trPr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 и</w:t>
            </w:r>
          </w:p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резервы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248940415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194884220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–54056195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–21,71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348675191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153790971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78,91</w:t>
            </w:r>
          </w:p>
        </w:tc>
      </w:tr>
      <w:tr w:rsidR="00160BB0" w:rsidRPr="00160BB0" w:rsidTr="00160BB0">
        <w:trPr>
          <w:trHeight w:val="625"/>
        </w:trPr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Долгосрочные </w:t>
            </w:r>
          </w:p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508843676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631329984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122486308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568911440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-62418544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–9,89</w:t>
            </w:r>
          </w:p>
        </w:tc>
      </w:tr>
      <w:tr w:rsidR="00160BB0" w:rsidRPr="00160BB0" w:rsidTr="00160BB0">
        <w:trPr>
          <w:trHeight w:val="625"/>
        </w:trPr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Краткосрочные </w:t>
            </w:r>
          </w:p>
          <w:p w:rsidR="00160BB0" w:rsidRPr="00160BB0" w:rsidRDefault="00160BB0" w:rsidP="00160BB0">
            <w:pPr>
              <w:ind w:right="1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133976813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184318666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50341853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365115688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180797022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60BB0" w:rsidRPr="00160BB0" w:rsidRDefault="00160BB0" w:rsidP="00160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98,09</w:t>
            </w:r>
          </w:p>
        </w:tc>
      </w:tr>
    </w:tbl>
    <w:p w:rsidR="00160BB0" w:rsidRPr="00160BB0" w:rsidRDefault="00160BB0" w:rsidP="00160BB0">
      <w:pPr>
        <w:pStyle w:val="a5"/>
        <w:spacing w:before="240" w:after="0" w:line="360" w:lineRule="auto"/>
        <w:rPr>
          <w:sz w:val="28"/>
        </w:rPr>
      </w:pPr>
      <w:r w:rsidRPr="00160BB0">
        <w:rPr>
          <w:sz w:val="28"/>
        </w:rPr>
        <w:t>Рост величины активов организации связан, в основном, с ростом сл</w:t>
      </w:r>
      <w:r w:rsidRPr="00160BB0">
        <w:rPr>
          <w:sz w:val="28"/>
        </w:rPr>
        <w:t>е</w:t>
      </w:r>
      <w:r w:rsidRPr="00160BB0">
        <w:rPr>
          <w:sz w:val="28"/>
        </w:rPr>
        <w:t>дующих позиций актива бухгалтерского баланса:</w:t>
      </w:r>
    </w:p>
    <w:p w:rsidR="00160BB0" w:rsidRPr="00160BB0" w:rsidRDefault="00160BB0" w:rsidP="00160BB0">
      <w:pPr>
        <w:pStyle w:val="a5"/>
        <w:numPr>
          <w:ilvl w:val="0"/>
          <w:numId w:val="24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дебиторская задолженность;</w:t>
      </w:r>
    </w:p>
    <w:p w:rsidR="00160BB0" w:rsidRPr="00160BB0" w:rsidRDefault="00160BB0" w:rsidP="00160BB0">
      <w:pPr>
        <w:pStyle w:val="a5"/>
        <w:numPr>
          <w:ilvl w:val="0"/>
          <w:numId w:val="24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денежные средства и денежные эквиваленты;</w:t>
      </w:r>
    </w:p>
    <w:p w:rsidR="00160BB0" w:rsidRPr="00160BB0" w:rsidRDefault="00160BB0" w:rsidP="00160BB0">
      <w:pPr>
        <w:pStyle w:val="a5"/>
        <w:numPr>
          <w:ilvl w:val="0"/>
          <w:numId w:val="24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долгосрочные финансовые вложения;</w:t>
      </w:r>
    </w:p>
    <w:p w:rsidR="00160BB0" w:rsidRPr="00160BB0" w:rsidRDefault="00160BB0" w:rsidP="00160BB0">
      <w:pPr>
        <w:pStyle w:val="a5"/>
        <w:numPr>
          <w:ilvl w:val="0"/>
          <w:numId w:val="24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lastRenderedPageBreak/>
        <w:t>краткосрочные финансовые вложения (за исключением денежных эквивалентов).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Одновременно, в пассиве баланса наибольший прирост наблюдается по строкам:</w:t>
      </w:r>
    </w:p>
    <w:p w:rsidR="00160BB0" w:rsidRPr="00160BB0" w:rsidRDefault="00160BB0" w:rsidP="00160BB0">
      <w:pPr>
        <w:pStyle w:val="a5"/>
        <w:numPr>
          <w:ilvl w:val="0"/>
          <w:numId w:val="23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кредиторская задолженность;</w:t>
      </w:r>
    </w:p>
    <w:p w:rsidR="00160BB0" w:rsidRPr="00160BB0" w:rsidRDefault="00160BB0" w:rsidP="00160BB0">
      <w:pPr>
        <w:pStyle w:val="a5"/>
        <w:numPr>
          <w:ilvl w:val="0"/>
          <w:numId w:val="23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краткосрочные заемные средства;</w:t>
      </w:r>
    </w:p>
    <w:p w:rsidR="00160BB0" w:rsidRPr="00160BB0" w:rsidRDefault="00160BB0" w:rsidP="00160BB0">
      <w:pPr>
        <w:pStyle w:val="a5"/>
        <w:numPr>
          <w:ilvl w:val="0"/>
          <w:numId w:val="23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нераспределенная прибыль (непокрытый убыток);</w:t>
      </w:r>
    </w:p>
    <w:p w:rsidR="00160BB0" w:rsidRPr="00160BB0" w:rsidRDefault="00160BB0" w:rsidP="00160BB0">
      <w:pPr>
        <w:pStyle w:val="a5"/>
        <w:numPr>
          <w:ilvl w:val="0"/>
          <w:numId w:val="23"/>
        </w:numPr>
        <w:spacing w:after="0" w:line="360" w:lineRule="auto"/>
        <w:ind w:left="0" w:firstLine="709"/>
        <w:contextualSpacing w:val="0"/>
        <w:rPr>
          <w:sz w:val="28"/>
        </w:rPr>
      </w:pPr>
      <w:r w:rsidRPr="00160BB0">
        <w:rPr>
          <w:sz w:val="28"/>
        </w:rPr>
        <w:t>долгосрочные заемные средства.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Среди отрицательно изменившихся статей баланса можно выделить «запасы» в активе и «прочие долгосрочные обязательства» в пассиве.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Повышение оборотных активов за счет роста денежных средств явл</w:t>
      </w:r>
      <w:r w:rsidRPr="00160BB0">
        <w:rPr>
          <w:sz w:val="28"/>
        </w:rPr>
        <w:t>я</w:t>
      </w:r>
      <w:r w:rsidRPr="00160BB0">
        <w:rPr>
          <w:sz w:val="28"/>
        </w:rPr>
        <w:t>ется положительным фактором, увеличивающим инвестиционную привлек</w:t>
      </w:r>
      <w:r w:rsidRPr="00160BB0">
        <w:rPr>
          <w:sz w:val="28"/>
        </w:rPr>
        <w:t>а</w:t>
      </w:r>
      <w:r w:rsidRPr="00160BB0">
        <w:rPr>
          <w:sz w:val="28"/>
        </w:rPr>
        <w:t>тельность компании.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Значительно виден рост дебиторской задолженности в оборотных а</w:t>
      </w:r>
      <w:r w:rsidRPr="00160BB0">
        <w:rPr>
          <w:sz w:val="28"/>
        </w:rPr>
        <w:t>к</w:t>
      </w:r>
      <w:r w:rsidRPr="00160BB0">
        <w:rPr>
          <w:sz w:val="28"/>
        </w:rPr>
        <w:t xml:space="preserve">тивах, однако это не является отрицательной тенденцией, так как она вместе состатьей кредиторской задолженности показывают примерно одинаковую динамику, даже чуть выше. 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Отмечая рост активов, необходимо учесть, что собственный капитал увеличился в меньшей степени — на 40% за весь рассматриваемый период. Отстающее увеличение собственного капитала относительно общего измен</w:t>
      </w:r>
      <w:r w:rsidRPr="00160BB0">
        <w:rPr>
          <w:sz w:val="28"/>
        </w:rPr>
        <w:t>е</w:t>
      </w:r>
      <w:r w:rsidRPr="00160BB0">
        <w:rPr>
          <w:sz w:val="28"/>
        </w:rPr>
        <w:t xml:space="preserve">ния активов следует рассматривать как негативный фактор. 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Наблюдается то уменьшение, то увеличение капитала из-за аналоги</w:t>
      </w:r>
      <w:r w:rsidRPr="00160BB0">
        <w:rPr>
          <w:sz w:val="28"/>
        </w:rPr>
        <w:t>ч</w:t>
      </w:r>
      <w:r w:rsidRPr="00160BB0">
        <w:rPr>
          <w:sz w:val="28"/>
        </w:rPr>
        <w:t>ного изменения величины нераспределенной прибылью. Это связано с тем, что за 2018 г. и 6 месяцев 2019 г. дивиденды по обыкновенным именным а</w:t>
      </w:r>
      <w:r w:rsidRPr="00160BB0">
        <w:rPr>
          <w:sz w:val="28"/>
        </w:rPr>
        <w:t>к</w:t>
      </w:r>
      <w:r w:rsidRPr="00160BB0">
        <w:rPr>
          <w:sz w:val="28"/>
        </w:rPr>
        <w:t>циям были выплачены, а срок выплаты оставшихся был перенесен на январь 2020 г.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Так же был проведен анализ показателей отчета о финансовых резул</w:t>
      </w:r>
      <w:r w:rsidRPr="00160BB0">
        <w:rPr>
          <w:sz w:val="28"/>
        </w:rPr>
        <w:t>ь</w:t>
      </w:r>
      <w:r w:rsidRPr="00160BB0">
        <w:rPr>
          <w:sz w:val="28"/>
        </w:rPr>
        <w:t>татах, представленный в таблице 2.3. Отчет о финансовых результатах орг</w:t>
      </w:r>
      <w:r w:rsidRPr="00160BB0">
        <w:rPr>
          <w:sz w:val="28"/>
        </w:rPr>
        <w:t>а</w:t>
      </w:r>
      <w:r w:rsidRPr="00160BB0">
        <w:rPr>
          <w:sz w:val="28"/>
        </w:rPr>
        <w:t>низации приведен в приложении Б.</w:t>
      </w:r>
    </w:p>
    <w:p w:rsidR="00160BB0" w:rsidRPr="00160BB0" w:rsidRDefault="00160BB0" w:rsidP="00160BB0">
      <w:pPr>
        <w:pStyle w:val="a5"/>
        <w:spacing w:after="0" w:line="360" w:lineRule="auto"/>
        <w:rPr>
          <w:rFonts w:eastAsiaTheme="minorHAnsi"/>
          <w:sz w:val="28"/>
          <w:lang w:eastAsia="en-US"/>
        </w:rPr>
      </w:pPr>
      <w:r w:rsidRPr="00160BB0">
        <w:rPr>
          <w:sz w:val="28"/>
        </w:rPr>
        <w:lastRenderedPageBreak/>
        <w:t>За весь анализируемый период отмечается существенный рост выру</w:t>
      </w:r>
      <w:r w:rsidRPr="00160BB0">
        <w:rPr>
          <w:sz w:val="28"/>
        </w:rPr>
        <w:t>ч</w:t>
      </w:r>
      <w:r w:rsidRPr="00160BB0">
        <w:rPr>
          <w:sz w:val="28"/>
        </w:rPr>
        <w:t>ки.</w:t>
      </w:r>
      <w:r w:rsidRPr="00160BB0">
        <w:rPr>
          <w:rFonts w:eastAsiaTheme="minorHAnsi"/>
          <w:sz w:val="28"/>
          <w:lang w:eastAsia="en-US"/>
        </w:rPr>
        <w:t>Это может быть связано с тем, что в 2019 г. Компания изменила подход в части отражения доходов и расходов, связанных с продажей отдельных видов побочной продукции. Начиная с 1 января 2019 г. доходы и расходы от реал</w:t>
      </w:r>
      <w:r w:rsidRPr="00160BB0">
        <w:rPr>
          <w:rFonts w:eastAsiaTheme="minorHAnsi"/>
          <w:sz w:val="28"/>
          <w:lang w:eastAsia="en-US"/>
        </w:rPr>
        <w:t>и</w:t>
      </w:r>
      <w:r w:rsidRPr="00160BB0">
        <w:rPr>
          <w:rFonts w:eastAsiaTheme="minorHAnsi"/>
          <w:sz w:val="28"/>
          <w:lang w:eastAsia="en-US"/>
        </w:rPr>
        <w:t>зации этих видов продукции реклассифицированы из состава прочих доходов и расходов Компании в состав выручки и себестоимости от продажи проду</w:t>
      </w:r>
      <w:r w:rsidRPr="00160BB0">
        <w:rPr>
          <w:rFonts w:eastAsiaTheme="minorHAnsi"/>
          <w:sz w:val="28"/>
          <w:lang w:eastAsia="en-US"/>
        </w:rPr>
        <w:t>к</w:t>
      </w:r>
      <w:r w:rsidRPr="00160BB0">
        <w:rPr>
          <w:rFonts w:eastAsiaTheme="minorHAnsi"/>
          <w:sz w:val="28"/>
          <w:lang w:eastAsia="en-US"/>
        </w:rPr>
        <w:t>ции Компании.</w:t>
      </w:r>
    </w:p>
    <w:p w:rsidR="00160BB0" w:rsidRPr="00160BB0" w:rsidRDefault="00160BB0" w:rsidP="00160BB0">
      <w:pPr>
        <w:pStyle w:val="a5"/>
        <w:suppressAutoHyphens/>
        <w:spacing w:before="120" w:after="120"/>
        <w:ind w:left="1843" w:hanging="1843"/>
        <w:rPr>
          <w:sz w:val="28"/>
        </w:rPr>
      </w:pPr>
      <w:r w:rsidRPr="00160BB0">
        <w:rPr>
          <w:sz w:val="28"/>
        </w:rPr>
        <w:t>Таблица 2.3— Расчет изменения основных показателей отчета о финансовых результатах</w:t>
      </w: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7"/>
        <w:gridCol w:w="1002"/>
        <w:gridCol w:w="1002"/>
        <w:gridCol w:w="1147"/>
        <w:gridCol w:w="1002"/>
        <w:gridCol w:w="1145"/>
        <w:gridCol w:w="1145"/>
        <w:gridCol w:w="985"/>
      </w:tblGrid>
      <w:tr w:rsidR="00160BB0" w:rsidRPr="001542FA" w:rsidTr="00160BB0">
        <w:trPr>
          <w:jc w:val="center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Показатель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  <w:r w:rsidRPr="001542FA">
              <w:rPr>
                <w:bCs/>
                <w:sz w:val="20"/>
                <w:szCs w:val="20"/>
              </w:rPr>
              <w:t>2017 г.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2018г.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Изменение</w:t>
            </w:r>
            <w:r w:rsidRPr="001542FA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  <w:r w:rsidRPr="001542FA">
              <w:rPr>
                <w:iCs/>
                <w:sz w:val="20"/>
                <w:szCs w:val="20"/>
              </w:rPr>
              <w:t>2019 г.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Изменение</w:t>
            </w:r>
            <w:r w:rsidRPr="001542FA">
              <w:rPr>
                <w:sz w:val="20"/>
                <w:szCs w:val="20"/>
              </w:rPr>
              <w:br/>
              <w:t>показателя</w:t>
            </w:r>
          </w:p>
        </w:tc>
      </w:tr>
      <w:tr w:rsidR="00160BB0" w:rsidRPr="001542FA" w:rsidTr="00160BB0">
        <w:trPr>
          <w:trHeight w:val="610"/>
          <w:jc w:val="center"/>
        </w:trPr>
        <w:tc>
          <w:tcPr>
            <w:tcW w:w="104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iCs/>
                <w:sz w:val="20"/>
                <w:szCs w:val="20"/>
              </w:rPr>
            </w:pPr>
            <w:r w:rsidRPr="001542FA">
              <w:rPr>
                <w:iCs/>
                <w:sz w:val="20"/>
                <w:szCs w:val="20"/>
              </w:rPr>
              <w:t>абс.</w:t>
            </w:r>
            <w:r w:rsidRPr="001542FA">
              <w:rPr>
                <w:iCs/>
                <w:sz w:val="20"/>
                <w:szCs w:val="20"/>
              </w:rPr>
              <w:br/>
              <w:t>отклон.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iCs/>
                <w:sz w:val="20"/>
                <w:szCs w:val="20"/>
              </w:rPr>
            </w:pPr>
            <w:r w:rsidRPr="001542FA">
              <w:rPr>
                <w:iCs/>
                <w:sz w:val="20"/>
                <w:szCs w:val="20"/>
              </w:rPr>
              <w:t>темп пр</w:t>
            </w:r>
            <w:r w:rsidRPr="001542FA">
              <w:rPr>
                <w:iCs/>
                <w:sz w:val="20"/>
                <w:szCs w:val="20"/>
              </w:rPr>
              <w:t>и</w:t>
            </w:r>
            <w:r w:rsidRPr="001542FA">
              <w:rPr>
                <w:iCs/>
                <w:sz w:val="20"/>
                <w:szCs w:val="20"/>
              </w:rPr>
              <w:t>роста, %</w:t>
            </w:r>
          </w:p>
        </w:tc>
        <w:tc>
          <w:tcPr>
            <w:tcW w:w="610" w:type="pct"/>
            <w:vMerge/>
            <w:tcBorders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iCs/>
                <w:sz w:val="20"/>
                <w:szCs w:val="20"/>
              </w:rPr>
            </w:pPr>
            <w:r w:rsidRPr="001542FA">
              <w:rPr>
                <w:iCs/>
                <w:sz w:val="20"/>
                <w:szCs w:val="20"/>
              </w:rPr>
              <w:t>абс.</w:t>
            </w:r>
            <w:r w:rsidRPr="001542FA">
              <w:rPr>
                <w:iCs/>
                <w:sz w:val="20"/>
                <w:szCs w:val="20"/>
              </w:rPr>
              <w:br/>
              <w:t>отклон.</w:t>
            </w:r>
          </w:p>
        </w:tc>
        <w:tc>
          <w:tcPr>
            <w:tcW w:w="52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center"/>
              <w:rPr>
                <w:iCs/>
                <w:sz w:val="20"/>
                <w:szCs w:val="20"/>
              </w:rPr>
            </w:pPr>
            <w:r w:rsidRPr="001542FA">
              <w:rPr>
                <w:iCs/>
                <w:sz w:val="20"/>
                <w:szCs w:val="20"/>
              </w:rPr>
              <w:t>темп пр</w:t>
            </w:r>
            <w:r w:rsidRPr="001542FA">
              <w:rPr>
                <w:iCs/>
                <w:sz w:val="20"/>
                <w:szCs w:val="20"/>
              </w:rPr>
              <w:t>и</w:t>
            </w:r>
            <w:r w:rsidRPr="001542FA">
              <w:rPr>
                <w:iCs/>
                <w:sz w:val="20"/>
                <w:szCs w:val="20"/>
              </w:rPr>
              <w:t>роста, %</w:t>
            </w:r>
          </w:p>
        </w:tc>
      </w:tr>
      <w:tr w:rsidR="00160BB0" w:rsidRPr="001542FA" w:rsidTr="00160BB0">
        <w:trPr>
          <w:trHeight w:val="397"/>
          <w:jc w:val="center"/>
        </w:trPr>
        <w:tc>
          <w:tcPr>
            <w:tcW w:w="10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1. Выручка, тыс. р.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455921197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609311741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+153390544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+33,64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878144293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+268832552</w:t>
            </w:r>
          </w:p>
        </w:tc>
        <w:tc>
          <w:tcPr>
            <w:tcW w:w="5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+44,12</w:t>
            </w:r>
          </w:p>
        </w:tc>
      </w:tr>
      <w:tr w:rsidR="00160BB0" w:rsidRPr="001542FA" w:rsidTr="00160BB0">
        <w:trPr>
          <w:trHeight w:val="397"/>
          <w:jc w:val="center"/>
        </w:trPr>
        <w:tc>
          <w:tcPr>
            <w:tcW w:w="10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2. Себестоимость, тыс. р.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187495748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236543849</w:t>
            </w:r>
          </w:p>
        </w:tc>
        <w:tc>
          <w:tcPr>
            <w:tcW w:w="611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+49048101</w:t>
            </w:r>
          </w:p>
        </w:tc>
        <w:tc>
          <w:tcPr>
            <w:tcW w:w="534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+26,16</w:t>
            </w:r>
          </w:p>
        </w:tc>
        <w:tc>
          <w:tcPr>
            <w:tcW w:w="610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291900959</w:t>
            </w:r>
          </w:p>
        </w:tc>
        <w:tc>
          <w:tcPr>
            <w:tcW w:w="610" w:type="pct"/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+55357110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+23,40</w:t>
            </w:r>
          </w:p>
        </w:tc>
      </w:tr>
      <w:tr w:rsidR="00160BB0" w:rsidRPr="001542FA" w:rsidTr="00160BB0">
        <w:trPr>
          <w:trHeight w:val="397"/>
          <w:jc w:val="center"/>
        </w:trPr>
        <w:tc>
          <w:tcPr>
            <w:tcW w:w="10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rPr>
                <w:sz w:val="20"/>
                <w:szCs w:val="20"/>
              </w:rPr>
            </w:pPr>
            <w:r w:rsidRPr="001542FA">
              <w:rPr>
                <w:sz w:val="20"/>
                <w:szCs w:val="20"/>
              </w:rPr>
              <w:t>3.</w:t>
            </w:r>
            <w:r w:rsidRPr="001542FA">
              <w:rPr>
                <w:iCs/>
                <w:sz w:val="20"/>
                <w:szCs w:val="20"/>
              </w:rPr>
              <w:t xml:space="preserve"> Прибыль (убыток) от продаж, тыс. р.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232578144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328174895</w:t>
            </w:r>
          </w:p>
        </w:tc>
        <w:tc>
          <w:tcPr>
            <w:tcW w:w="611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+95596751</w:t>
            </w:r>
          </w:p>
        </w:tc>
        <w:tc>
          <w:tcPr>
            <w:tcW w:w="534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+41,10</w:t>
            </w:r>
          </w:p>
        </w:tc>
        <w:tc>
          <w:tcPr>
            <w:tcW w:w="610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537073480</w:t>
            </w:r>
          </w:p>
        </w:tc>
        <w:tc>
          <w:tcPr>
            <w:tcW w:w="610" w:type="pct"/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+208898585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+63,65</w:t>
            </w:r>
          </w:p>
        </w:tc>
      </w:tr>
      <w:tr w:rsidR="00160BB0" w:rsidRPr="001542FA" w:rsidTr="00160BB0">
        <w:trPr>
          <w:trHeight w:val="397"/>
          <w:jc w:val="center"/>
        </w:trPr>
        <w:tc>
          <w:tcPr>
            <w:tcW w:w="10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Прибыль (убыток) до налогообложения, тыс. р.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BB0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173030548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60BB0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211880423</w:t>
            </w:r>
          </w:p>
        </w:tc>
        <w:tc>
          <w:tcPr>
            <w:tcW w:w="611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+38849875</w:t>
            </w:r>
          </w:p>
        </w:tc>
        <w:tc>
          <w:tcPr>
            <w:tcW w:w="534" w:type="pct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+22,45</w:t>
            </w:r>
          </w:p>
        </w:tc>
        <w:tc>
          <w:tcPr>
            <w:tcW w:w="610" w:type="pct"/>
            <w:vAlign w:val="center"/>
          </w:tcPr>
          <w:p w:rsidR="00160BB0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625355847</w:t>
            </w:r>
          </w:p>
        </w:tc>
        <w:tc>
          <w:tcPr>
            <w:tcW w:w="610" w:type="pct"/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+413475424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+195,14</w:t>
            </w:r>
          </w:p>
        </w:tc>
      </w:tr>
      <w:tr w:rsidR="00160BB0" w:rsidRPr="001542FA" w:rsidTr="00160BB0">
        <w:trPr>
          <w:trHeight w:val="397"/>
          <w:jc w:val="center"/>
        </w:trPr>
        <w:tc>
          <w:tcPr>
            <w:tcW w:w="10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542FA">
              <w:rPr>
                <w:bCs/>
                <w:sz w:val="20"/>
                <w:szCs w:val="20"/>
              </w:rPr>
              <w:t>. Чистая прибыль (убыток), тыс. р.</w:t>
            </w:r>
          </w:p>
        </w:tc>
        <w:tc>
          <w:tcPr>
            <w:tcW w:w="5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130038748</w:t>
            </w:r>
          </w:p>
        </w:tc>
        <w:tc>
          <w:tcPr>
            <w:tcW w:w="5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164955544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+34916796</w:t>
            </w:r>
          </w:p>
        </w:tc>
        <w:tc>
          <w:tcPr>
            <w:tcW w:w="534" w:type="pct"/>
            <w:tcBorders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+26,85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160BB0" w:rsidRPr="001542FA" w:rsidRDefault="00160BB0" w:rsidP="00160BB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514676109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+349720565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BB0" w:rsidRPr="00CF7FDC" w:rsidRDefault="00160BB0" w:rsidP="00160BB0">
            <w:pPr>
              <w:pStyle w:val="af3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+212,01</w:t>
            </w:r>
          </w:p>
        </w:tc>
      </w:tr>
    </w:tbl>
    <w:p w:rsidR="00160BB0" w:rsidRPr="00160BB0" w:rsidRDefault="00160BB0" w:rsidP="00160BB0">
      <w:pPr>
        <w:pStyle w:val="a5"/>
        <w:spacing w:before="240" w:after="0" w:line="360" w:lineRule="auto"/>
        <w:rPr>
          <w:sz w:val="28"/>
        </w:rPr>
      </w:pPr>
      <w:r w:rsidRPr="00160BB0">
        <w:rPr>
          <w:sz w:val="28"/>
        </w:rPr>
        <w:t>Так же финансовый результат от продаж стремительно вырос за два последних года, преимущественно за счет увеличения прибыли от продаж, об этом свидетельствует рост добычи и производства металлов, а также пов</w:t>
      </w:r>
      <w:r w:rsidRPr="00160BB0">
        <w:rPr>
          <w:sz w:val="28"/>
        </w:rPr>
        <w:t>ы</w:t>
      </w:r>
      <w:r w:rsidRPr="00160BB0">
        <w:rPr>
          <w:sz w:val="28"/>
        </w:rPr>
        <w:t>шение цен на ключевые металлы, такие как палладий и никель.А также изм</w:t>
      </w:r>
      <w:r w:rsidRPr="00160BB0">
        <w:rPr>
          <w:sz w:val="28"/>
        </w:rPr>
        <w:t>е</w:t>
      </w:r>
      <w:r w:rsidRPr="00160BB0">
        <w:rPr>
          <w:sz w:val="28"/>
        </w:rPr>
        <w:t>нения динамики курсовых разниц и прочих доходов и расходов.</w:t>
      </w:r>
    </w:p>
    <w:p w:rsidR="00160BB0" w:rsidRPr="00160BB0" w:rsidRDefault="00160BB0" w:rsidP="00160BB0">
      <w:pPr>
        <w:pStyle w:val="a5"/>
        <w:spacing w:after="0" w:line="360" w:lineRule="auto"/>
        <w:rPr>
          <w:sz w:val="28"/>
        </w:rPr>
      </w:pPr>
      <w:r w:rsidRPr="00160BB0">
        <w:rPr>
          <w:sz w:val="28"/>
        </w:rPr>
        <w:t>Таким образом, можно сказать, что предприятие имеет устойчивое ф</w:t>
      </w:r>
      <w:r w:rsidRPr="00160BB0">
        <w:rPr>
          <w:sz w:val="28"/>
        </w:rPr>
        <w:t>и</w:t>
      </w:r>
      <w:r w:rsidRPr="00160BB0">
        <w:rPr>
          <w:sz w:val="28"/>
        </w:rPr>
        <w:t xml:space="preserve">нансовое положение на рынке. </w:t>
      </w:r>
    </w:p>
    <w:p w:rsidR="0031216B" w:rsidRDefault="0031216B" w:rsidP="0031216B">
      <w:pPr>
        <w:suppressAutoHyphens/>
        <w:spacing w:before="360" w:after="360" w:line="360" w:lineRule="auto"/>
        <w:ind w:left="1134" w:hanging="425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1.3 Изучение и оценка системы бухгалтерского учета и внутреннего контроля </w:t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Общий план финансового контроля</w:t>
      </w:r>
      <w:bookmarkEnd w:id="6"/>
    </w:p>
    <w:p w:rsidR="00D877E6" w:rsidRPr="0031216B" w:rsidRDefault="00D877E6" w:rsidP="0031216B">
      <w:pPr>
        <w:suppressAutoHyphens/>
        <w:spacing w:before="360" w:after="360" w:line="360" w:lineRule="auto"/>
        <w:ind w:left="1134" w:hanging="425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Учетная политика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осно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ным внутренним документом организации, регулирующим ее деятельность. Согласно учетной политике, основными функциями бухгалтерского аппарата организации является, разумеется, ведение бухгалтерского и налогового уч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та. Эта функция возлагается на главного бухгалтера.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Каждый факт хозяйственной жизни оформляется первичным учетным документом. Требования специализированной организации, осуществля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ю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щей ведение учета, соответствующие действующему законодательству, 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кальным нормативным актам, Стандартам и установленному порядку вза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модействия, по документальному оформлению фактов хозяйственной жизни и представлению документов и сведений обязательны для всех работников.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Первичный учетный документ составляется при совершении факта х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зяйственной жизни, а если это не представляется возможным - непосредс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венно после его окончания.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Общество применяет первичные учетные документы, составленные: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— по формам, содержащимся в альбомах унифицированных форм пе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вичной учетной документации, утвержденных Госкомстатом РФ;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— по формам, не предусмотренным в альбомах унифицированных форм первичной учетной документации, утвержденных Госкомстатом РФ, разработанным самостоятельно в соответствии с требованиями законод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тельства по бухгалтерскому учету.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Формы первичных учетных документов, содержащиеся в альбомах унифицированных форм первичной учетной документации, утвержденных Госкомстатом РФ, применяются с учетом изменений и дополнений, внос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мых приказом.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Перечень и образцы форм первичных учетных документов, применя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мых, по которым не предусмотрены унифицированные формы, утвержде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ные Госкомстатом РФ, утверждаются приказом.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Документы, которыми оформляются факты хозяйственной жизни, должны быть подписаны уполномоченными лицами.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Своевременное и качественное оформление первичных учетных док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ментов, передачу их в установленные сроки для отражения в бухгалтерском учете, а также достоверность содержащихся в них данных обеспечивают 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</w:rPr>
        <w:t>ца, составившие и подписавшие эти документы.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посредством двойной записи на счетах бухгалтерского учета, включенных в рабочий план счетов организации. Хранение бухгалтерских и налоговых электронных документов, согласно учетной политике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ется в виде электронных баз данных, которые формируются при использов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нии средств вычислительной техники, а все регистры бухгалтерского и нал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гового учета ведутся автоматизировано при помощи программы «1С Бухга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терия».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учетная политика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гает, что достоверность бухгалтерских данных подтверждается проведением инвентаризации, которая производится стабильно один раз в год и предшес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вует составлению годового отчета по состоянию на 31 декабря отчетного г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да. Инвентаризация основных средств проводится согласно Приказу Мин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стерства Финансов №34н один раз в три года.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В ходе инвентаризации осуществляются мероприятия, направленные на достижение следующих целей: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выявление фактического наличия активов;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сопоставление фактического наличия активов с данными бухгалте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ского учета;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проверка полноты отражения в учете обязательств.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Если в результате инвентаризации выявлены расхождения между фа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тическим наличием имущества и данными бухгалтерского учета, то они 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носятся на счета бухгалтерского учета в том периоде, в котором были выя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лены.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lastRenderedPageBreak/>
        <w:t>В целях эффективного функционирования, обеспечения сохранности активов, своевременной подготовки достоверной бухгалтерской (финанс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вой) отчетности, а также соблюдение применяемого законодательства, в том числе при совершении фактов хозяйственной жизни и ведении бухгалтерск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го учета действует система внутреннего контроля, способствующая достиж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нию поставленных целей.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Основными элементами внутреннего контроля Общества являются: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контрольная среда;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оценка рисков;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процедуры внутреннего контроля;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информация и коммуникация;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— оценка внутреннего контроля.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Общая контрольная среда включает в себя совокупность политик, к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дексов, стандартов, регламентов и принципов деятельности, которые опред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ляют общее понимание внутреннего контроля и требования к нему всеми 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трудниками на всех уровнях управления.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Оценка рисков представляет собой процесс анализа рисков на предмет определения вероятности их возникновения и последствий от них.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Нормативная база системы внутреннего контроля предусматривает п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риодическую оценку всех ее элементов с целью определения их эффективн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сти и результативности, а также необходимости их изменения.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Внутренний контроль осуществляется всеми сотрудниками на всех уровнях управления в соответствии с полномочиями и функциями.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Ответственность за общее состояние и принятие решений по повыш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 xml:space="preserve">нию эффективности системы внутреннего контроля Общества возложена на Комитет по аудиту при Совете директоров Общества.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Данные положения учетной политики дают аудитору разумную ув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>ренность в надежности средств контроля, а, значит, уровень аудиторского риска средств контроля можно оценить, как низкий.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определения общего плана финансового контроля необходимо в первую очередь рассчитать уровень существенности.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>Уровень существенности=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Общий базовый показатель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5</m:t>
              </m:r>
            </m:den>
          </m:f>
        </m:oMath>
      </m:oMathPara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 таблице 1.8 представлены расчеты уровня существенности. Поскол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ку уровень существенности является относительной величиной, то расчет 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солютного его значения производится применительно к каждой отдельно проверяемой организации.</w:t>
      </w:r>
    </w:p>
    <w:p w:rsidR="0031216B" w:rsidRPr="0031216B" w:rsidRDefault="0031216B" w:rsidP="0031216B">
      <w:pPr>
        <w:spacing w:before="120" w:after="12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1.8 — Уровень существенности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</w:p>
    <w:tbl>
      <w:tblPr>
        <w:tblStyle w:val="ac"/>
        <w:tblW w:w="0" w:type="auto"/>
        <w:tblLook w:val="04A0"/>
      </w:tblPr>
      <w:tblGrid>
        <w:gridCol w:w="3115"/>
        <w:gridCol w:w="1557"/>
        <w:gridCol w:w="1558"/>
        <w:gridCol w:w="3115"/>
      </w:tblGrid>
      <w:tr w:rsidR="0031216B" w:rsidRPr="0031216B" w:rsidTr="0031216B"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Базовый показатель, тыс.р.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показателя, тыс.р.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Доля,%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Значение для расчета уровня существенности, тыс.р.</w:t>
            </w:r>
          </w:p>
        </w:tc>
      </w:tr>
      <w:tr w:rsidR="0031216B" w:rsidRPr="0031216B" w:rsidTr="0031216B">
        <w:tc>
          <w:tcPr>
            <w:tcW w:w="3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Валюта баланса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206 529 031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4 130 581</w:t>
            </w:r>
          </w:p>
        </w:tc>
      </w:tr>
      <w:tr w:rsidR="0031216B" w:rsidRPr="0031216B" w:rsidTr="0031216B">
        <w:tc>
          <w:tcPr>
            <w:tcW w:w="31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Собственный капитал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1 019</w:t>
            </w:r>
          </w:p>
        </w:tc>
        <w:tc>
          <w:tcPr>
            <w:tcW w:w="1558" w:type="dxa"/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1216B" w:rsidRPr="0031216B" w:rsidTr="0031216B">
        <w:tc>
          <w:tcPr>
            <w:tcW w:w="31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665 891</w:t>
            </w:r>
          </w:p>
        </w:tc>
        <w:tc>
          <w:tcPr>
            <w:tcW w:w="1558" w:type="dxa"/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13 318</w:t>
            </w:r>
          </w:p>
        </w:tc>
      </w:tr>
      <w:tr w:rsidR="0031216B" w:rsidRPr="0031216B" w:rsidTr="0031216B">
        <w:tc>
          <w:tcPr>
            <w:tcW w:w="31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Общие затраты предприятия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35 429 873</w:t>
            </w:r>
          </w:p>
        </w:tc>
        <w:tc>
          <w:tcPr>
            <w:tcW w:w="1558" w:type="dxa"/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708 598</w:t>
            </w:r>
          </w:p>
        </w:tc>
      </w:tr>
      <w:tr w:rsidR="0031216B" w:rsidRPr="0031216B" w:rsidTr="0031216B">
        <w:tc>
          <w:tcPr>
            <w:tcW w:w="3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Балансовая прибыль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40 501 229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2 025 062</w:t>
            </w:r>
          </w:p>
        </w:tc>
      </w:tr>
    </w:tbl>
    <w:p w:rsidR="00160BB0" w:rsidRDefault="00160BB0" w:rsidP="00160BB0">
      <w:pPr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160BB0">
      <w:pPr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данных, представленных в таблице, уровень существенности равен=(4 130 581+102+13 318+708 598+2 025 062)/5=1 375 533 тыс. р.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Причиной риска выразить ошибочное мнение о достоверности бухга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терской отчетности признаются такие риски как: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риск необнаружения существенных ошибок;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риск средств контроля;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неотъемлемый риск.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аудиторского риска представлен в таблице 1.9.</w:t>
      </w:r>
    </w:p>
    <w:p w:rsidR="0031216B" w:rsidRPr="0031216B" w:rsidRDefault="0031216B" w:rsidP="0031216B">
      <w:pPr>
        <w:spacing w:before="120" w:after="12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1.9 — Расчет аудиторского риска</w:t>
      </w:r>
    </w:p>
    <w:tbl>
      <w:tblPr>
        <w:tblStyle w:val="ac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1216B" w:rsidRPr="0031216B" w:rsidTr="0031216B"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Компонент риска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Количество отрицател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ных факторов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Общее количество фа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2337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Значение компонента</w:t>
            </w:r>
          </w:p>
        </w:tc>
      </w:tr>
      <w:tr w:rsidR="0031216B" w:rsidRPr="0031216B" w:rsidTr="0031216B"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Человеческий фактор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7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31216B" w:rsidRPr="0031216B" w:rsidTr="0031216B"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Риск средств контроля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1216B" w:rsidRPr="0031216B" w:rsidTr="0031216B"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Риск необнаружения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31216B" w:rsidRPr="0031216B" w:rsidRDefault="0031216B" w:rsidP="0031216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31216B" w:rsidRPr="0031216B" w:rsidRDefault="0031216B" w:rsidP="0031216B">
      <w:pPr>
        <w:spacing w:before="240"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Аудиторский риск равен произведению представленных в таблице рисков, то есть при проверке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 равен 0,033, или 3,3%.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на основании внутренних документов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аудитором был составлен общий план аудиторской проверки (Приложение А).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en-US"/>
        </w:rPr>
        <w:sectPr w:rsidR="0031216B" w:rsidRPr="0031216B" w:rsidSect="002B3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160BB0">
      <w:pPr>
        <w:keepNext/>
        <w:keepLines/>
        <w:suppressAutoHyphens/>
        <w:spacing w:after="180" w:line="360" w:lineRule="auto"/>
        <w:ind w:left="993" w:hanging="28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7" w:name="_Toc46076516"/>
      <w:r w:rsidRPr="0031216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lastRenderedPageBreak/>
        <w:t>2 Организация и осуществление финансового контроля бухгалтерского учета объектов бухгалтерского наблюдения и составления отчетности</w:t>
      </w:r>
      <w:bookmarkEnd w:id="7"/>
    </w:p>
    <w:p w:rsidR="0031216B" w:rsidRPr="0031216B" w:rsidRDefault="0031216B" w:rsidP="00160BB0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Toc46076517"/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2.1 Финансовый контроль бухгалтерского учета основных средств в </w:t>
      </w:r>
      <w:r w:rsidR="00E646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ПАО «ГМК «Норильский никель»</w:t>
      </w:r>
      <w:bookmarkEnd w:id="8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учетной политике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, осно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ными средствами организации считается часть имущества со сроком поле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ного использования более 12 месяцев и стоимостью выше 40 000 р., испол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зуемая в качестве средств труда для производства и реализации товаров или для управления организацией, и не предназначенная для перепродажи.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средства 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принимаются к учету по первоначальной стоимости, которая подразумевает под собой сумму всех фактических затрат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приобретение, сооружение и изготовление, за исключением налога на добавленную сто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мость и иных возмещаемых налогов.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Переоценка групп однородных основных средств 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текущей стоимости не производится.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Амортизация объектов основных средств начисляется линейным сп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собом исходя из первоначальной (восстановительной) стоимости объектов и норм амортизации, исчисленных на установленных сроков полезного испол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ь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зования этих объектов. При этом по объектам, переведенным на консервацию на срок более трех месяцев, а также в период восстановления продолжител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ь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ностью более 12 месяцев амортизация не начисляется.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Объекты основных средств, которые выбыли или были ликвидированы, списываются с бухгалтерского баланса вместе с суммой накопленной амо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тизации. При выбытии объекта основных средств сумма его дооценки пер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носится с добавочного капитала в нераспределенную прибыль, оставаясь в составе собственного капитала.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Доходы и расходы от выбытия основных средств отражаются в отчете о финансовых результатах в том отчетном периоде, в котором они произв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дены, в составе прочих доходов и расходов.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Общий план аудита учета основных средств и тест средств контроля представлены в приложениях к данной работе (Приложения Б, В).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Аудиту были подвергнуты следующие документы: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Учетная политика Организации;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Бухгалтерский баланс;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Главная книга;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Инвентарные карточки учета основных средств.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ходе проверки были выявлены некоторые нарушения, которые дают аудиторской группе основание выразить модифицированное мнение. Такими нарушениями являются отсутствие регулярности проведения инвентаризации основных средств в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="00351C8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 Это нарушение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хоть и не являются существенными, но отражают реальное положение вещей в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поскольку из-за отсутствия регулярной инве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таризации невозможно проследить сохранность и реальное наличие осно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ных средств.</w:t>
      </w:r>
    </w:p>
    <w:p w:rsidR="0031216B" w:rsidRPr="0031216B" w:rsidRDefault="0031216B" w:rsidP="00160BB0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sz w:val="28"/>
          <w:szCs w:val="26"/>
          <w:lang w:bidi="ru-RU"/>
        </w:rPr>
      </w:pPr>
      <w:bookmarkStart w:id="9" w:name="_Toc46076518"/>
      <w:r w:rsidRPr="0031216B">
        <w:rPr>
          <w:rFonts w:ascii="Times New Roman" w:eastAsia="Times New Roman" w:hAnsi="Times New Roman" w:cs="Times New Roman"/>
          <w:b/>
          <w:sz w:val="28"/>
          <w:szCs w:val="26"/>
          <w:lang w:bidi="ru-RU"/>
        </w:rPr>
        <w:t xml:space="preserve">2.2 Финансовый контроль бухгалтерского учет нематериальных активов в </w:t>
      </w:r>
      <w:r w:rsidR="00E64635">
        <w:rPr>
          <w:rFonts w:ascii="Times New Roman" w:eastAsia="Times New Roman" w:hAnsi="Times New Roman" w:cs="Times New Roman"/>
          <w:b/>
          <w:sz w:val="28"/>
          <w:szCs w:val="26"/>
          <w:lang w:bidi="ru-RU"/>
        </w:rPr>
        <w:t>ПАО «ГМК «Норильский никель»</w:t>
      </w:r>
      <w:bookmarkEnd w:id="9"/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Нематериальные активы отражаются в учете и отчетности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сумме всех затрат на приобретение, изготовление и доведение их до состояния, в котором они пригодны к использованию в ц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лях организации. Срок полезного использования нематериальных активов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определяется на основании срока действия прав на результаты интеллектуальной деятельности или средств индивиду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лизации и период контроля над активом. Для объектов нематериальных акт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вов, самостоятельно разрабатываемых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 xml:space="preserve">срок полезного использования составляет не более 10 лет и фиксируется в формах первичных учетных документов комиссией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Срок полезного использования таких объектов нематериальных акт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вов, как программы ЭВМ, базы данных, топологии интегральных микросхем, селекционные достижения, аудиовизуальные произведения, определяется комиссией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не может составлять менее двух лет.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Амортизация нематериальных активов начисляется в бухгалтерском учете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линейным способом по нормам 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ходя из срока их полезного использования. При этом амортизационные 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числения по таким видам активов отражаются с применением счета 05 «Амортизация нематериальных активов» с применением субсчетов по ка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дому виду нематериальных активов.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Переоценка однородных групп нематериальных активов в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 текущей рыночной стоимости не производится, равно как и проверка нематериальных активов на обесценение.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Общий план аудита учета нематериальных активов и тест средств ко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троля представлены в приложениях к данной работе (Приложения Г, Д).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Источниками информации при проведении аудита нематериальных 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тивов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послужили: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бухгалтерский баланс за 2019 год,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оборотно-сальдовая ведомость по счету 04 «Нематериальные акт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вы» и счету 05 «Амортизация нематериальных активов».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Счета 04 «Нематериальные активы» и 05 «Амортизация нематериал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ь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ных активов» по состоянию на 01.01.2019 г. и 31.12.2019 г. сальдо не имеют.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В течение проверяемого периода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не приобретало права на нематериальные активы, счета 04 «Нематериальные активы» и 05 «Амортизация нематериальных активов» не использовались.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lastRenderedPageBreak/>
        <w:t>Таким образом, в ходе аудита нематериальных активов выявленные н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рушения отсутствуют.</w:t>
      </w:r>
    </w:p>
    <w:p w:rsidR="0031216B" w:rsidRPr="0031216B" w:rsidRDefault="0031216B" w:rsidP="00160BB0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0" w:name="_Toc46076519"/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2.3 Финансовый контроль бухгалтерского учета материально</w:t>
      </w:r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noBreakHyphen/>
        <w:t xml:space="preserve">производственных запасов в </w:t>
      </w:r>
      <w:r w:rsidR="00E646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ПАО «ГМК «Норильский никель»</w:t>
      </w:r>
      <w:bookmarkEnd w:id="10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Материально-производственные запасы 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оцениваются в денежном выражении по фактической себестоимости, которая не подлежит изменению, за исключением случаев, установленных законодательством Российской Федерации.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 материально-производственных запасов, полученных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дарения или безвозмездно, опред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исходя из их текущей рыночной стоимости на дату принятия их к бу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галтерскому учету. </w:t>
      </w:r>
    </w:p>
    <w:p w:rsidR="0031216B" w:rsidRPr="0031216B" w:rsidRDefault="0031216B" w:rsidP="00160B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Материально-производственные запасы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приобретенные взамен на другое имущество, отличное от денег, должны быть оценены по стоимости обмениваемого имущества, по которой оно было отражено в бухгалтерском учете организации. </w:t>
      </w:r>
    </w:p>
    <w:p w:rsidR="0031216B" w:rsidRPr="0031216B" w:rsidRDefault="0031216B" w:rsidP="00160B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установить стоимость активов, переданных или подлежащих передаче, стоимость материально-производственных запасов определяется исходя из цены, по которой в сравнимых обстоятельствах пр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обретаются аналогичные материально-производственные запасы.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фактической себестоимости материалов осуществляется на счете 10 «Материалы» без использования счетов 15 «Заготовление и пр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обретение материальных ценностей» и 16 «Отклонение в стоимости матер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альных ценностей».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материально-производственных запасов по группе «Матери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лы» при их отпуске в производство или прочем выбытии осуществляется по себестоимости каждой единицы бухгалтерского учета.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Товары, которые были приобретены за плату, оцениваются 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сумме фактических затрат на их приобрет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Товары, закупаемые за пределами территории Российской Федерации, включают в понятие фактических затрат на приобретение стоимость товаров с учетом таможенных пошлин и сборов, затрат по заготовке и доставке тов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ров, за исключением расходов на транспортировку, и затраты по доведению товарно-материальных ценностей до состояния, в котором они пригодны к использованию.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материально-производственных запасов по группе «Товары» при их отгрузке в реализацию и прочем выбытии производится по средней себестоимости, при этом оценка товаров по средней себестоимости произв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дится по каждой группе товаров путем деления общей себестоимости группы товаров на их общее количество.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показатели для такого расчета принимаются как сумма соотве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ствующих остатков на начало месяца и поступлений за месяц.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Е представлена программа аудиторских процедур по существу по проверке учета материально-производственных запасов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Аудиту были подвергнуты следующие документы: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Учетная политика Организации;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Бухгалтерский баланс;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Главная книга;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Накладные поставщиков;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Требования-накладные;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Карточки складского учета материалов;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Книги учета товарно-материальных ценностей;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 Ведомости списания материалов на заказы.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аудиторской проверки отражения в бухгалтерском учете операций по данному разделу аудитор отмечает следующее: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Замечаний нет.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Ж отражает тесты средств контроля аудита учета матер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ально-произв</w:t>
      </w:r>
      <w:r w:rsidR="00351C89">
        <w:rPr>
          <w:rFonts w:ascii="Times New Roman" w:eastAsia="Calibri" w:hAnsi="Times New Roman" w:cs="Times New Roman"/>
          <w:sz w:val="28"/>
          <w:szCs w:val="28"/>
          <w:lang w:eastAsia="en-US"/>
        </w:rPr>
        <w:t>одственных запасов в 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16B" w:rsidRPr="0031216B" w:rsidRDefault="0031216B" w:rsidP="00160BB0">
      <w:pPr>
        <w:widowControl w:val="0"/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_Toc46076520"/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2.4 Финансовый контроль бухгалтерского учета финансовых вложений в </w:t>
      </w:r>
      <w:r w:rsidR="00E646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ПАО «ГМК «Норильский никель»</w:t>
      </w:r>
      <w:bookmarkEnd w:id="11"/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Единицей учета финансовых вложений является: по акциям — акция; по облигациям — облигация; по вкладам в уставный капитал — доля; по 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позитным сертификатам, векселям — серия и номер ценной бумаги; по за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й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мам, депозитным вкладам, договорам цессии и простого товарищества — договор.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Финансовые вложения принимаются к бухгалтерскому учету по факт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ческим затратам на приобретение. Все дополнительные затраты, непосредс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венно связанные с приобретением актива в качестве финансового вложения независимо от степени их существенности, формируют первоначальную стоимость актива.</w:t>
      </w:r>
    </w:p>
    <w:p w:rsidR="0031216B" w:rsidRPr="0031216B" w:rsidRDefault="0031216B" w:rsidP="00160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Финансовые вложения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для отраж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ния в бухгалтерской отчетности делятся на краткосрочные и долгосрочные, при этом долгосрочными финансовыми вложениями признаются вложения, срок обращения которых превышает 12 месяцев после отчетной даты.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Для банковских депозитов в рублях и иностранной валюте срок обр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щения определяется равным временному промежутку от отчетной даты до окончания срока договора депозитного вклада.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Акции отражаются в составе долгосрочных финансовых вложений за исключением случаев, когда имеется четкое намерение о реализации этих акций.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случае корпоративных и государственных облигации срок обращения определяется равным временному промежутку от отчетной даты до даты п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гашения номинала ценной бумаги. Срок обращения депозитных сертифик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тов российских банков считается равным периоду времени от отчетной даты до даты погашения депозитного сертификата.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Срок обращения инвестиционных паев равен периоду времени от 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четной даты до окончания срока действия договора доверительного управл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ния паевого инвестиционного фонда.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Переоценка финансовых вложений производится ежемесячно по 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стоянию на отчетную дату. При этом для финансовых вложений, приобр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тенных до начала отчетного месяца, переоценка производится на разницу между рыночной стоимостью вложений на отчетную дату и стоимостью оценки на конец предыдущего месяца. 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 выбытии активов, принятых к учету в качестве финансовых вл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жений, их стоимость определяется организацией исходя из последней оценки каждой единицы, при этом выбытие финансовых вложений отражается в п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следовательности их приобретения.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Доходы по финансовых вложениям включаются в состав прочих дох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дов.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В ходе аудита финансовых вложений были проверены: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состав и структура финансовых вложений;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— порядок ведения аналитического учета финансовых вложений;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— порядок проведения инвентаризации финансовых вложений;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правильность отражения в учете операций с финансовыми влож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ниями.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Учет финансовых вложений в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велся в соответствии с Планом счетов бухгалтерского учета и Инструкцией по его применению на балансовом счете 58 «Финансовые вложения». Информация о наличии и движении инвестиций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в це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ные бумаги, акции, облигации и иные ценные бумаги других организаций, уставные (складочные) капиталы других организаций обобщается на счете 58 «Финансовые вложения». Ценные бумаги приходуются на счет 58 «Финанс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lastRenderedPageBreak/>
        <w:t>вые вложения» по покупной стоимости. Сальдо по счету 58 «Финансовые вложения» по состоянию на 31.12.2019 г. составило 903 192 тыс. руб.</w:t>
      </w:r>
    </w:p>
    <w:p w:rsidR="0031216B" w:rsidRPr="0031216B" w:rsidRDefault="0031216B" w:rsidP="00312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Таким образом, в ходе аудита финансовых вложений в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нарушений выявлено не было.</w:t>
      </w:r>
    </w:p>
    <w:p w:rsidR="0031216B" w:rsidRPr="0031216B" w:rsidRDefault="0031216B" w:rsidP="00160BB0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sz w:val="28"/>
          <w:szCs w:val="26"/>
          <w:lang w:bidi="ru-RU"/>
        </w:rPr>
      </w:pPr>
      <w:bookmarkStart w:id="12" w:name="_Toc46076521"/>
      <w:r w:rsidRPr="0031216B">
        <w:rPr>
          <w:rFonts w:ascii="Times New Roman" w:eastAsia="Times New Roman" w:hAnsi="Times New Roman" w:cs="Times New Roman"/>
          <w:b/>
          <w:sz w:val="28"/>
          <w:szCs w:val="26"/>
          <w:lang w:bidi="ru-RU"/>
        </w:rPr>
        <w:t>2.5 Финансовый контроль бухгалтерского учета расчетов по краткосрочным и долгосрочным кредитам и займам</w:t>
      </w:r>
      <w:bookmarkEnd w:id="12"/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Проценты, причитающиеся к оплате заимодавцу (кредитору), за 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ключением той их части, которая подлежит включению в стоимость инв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стиционного актива, признаются в составе прочих расходов равномерно в 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чение срока действия договора займа.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Дополнительные расходы по полученным кредитам и займам отраж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ются в бухгалтерском учете и отчетности в том отчетном периоде, к котор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му они относятся.</w:t>
      </w:r>
    </w:p>
    <w:p w:rsidR="0031216B" w:rsidRPr="0031216B" w:rsidRDefault="0031216B" w:rsidP="00160B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Проценты по причитающемуся к оплате векселю отражают в бухга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терском учете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обособленно от вексельной суммы как кредиторская задолженность. При этом причитающиеся суммы процентов или дисконта по выданным векселям включают в состав прочих расходов того месяца, к которому относятся данные начисления.</w:t>
      </w:r>
    </w:p>
    <w:p w:rsidR="0031216B" w:rsidRPr="0031216B" w:rsidRDefault="0031216B" w:rsidP="00160BB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Причитающиеся к оплате проценты и дисконт по облигациям отраж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ются обособленно от номинальной стоимости облигации как кредиторская задолженность. Начисленные проценты по облигации отражают также в с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ставе прочих расходов равномерно в течение срока действия договора займа.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Дисконт по размещенным облигациям отражается в составе прочих расходов равномерно в течение срока действия договора займа.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Источники информации при проведении аудита краткосрочных и до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госрочных кредитов и займов: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Бухгалтерский баланс за 2019 г.,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Главная книга,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lastRenderedPageBreak/>
        <w:t>— оборотно-сальдовые ведомости по счету 66 «Краткосрочные кред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ты и займы» и 67 «Долгосрочные кредиты и займы»,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кредитные договора, выписки банка по расчетному счету, договора займа.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При аудите кредитов и займов проверялось: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на какие цели использован кредит, соответствуют ли эти цели усл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виям договора на получение кредита;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— полнота и своевременность погашения кредитов;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правильность уплаты процентов за кредит в соответствии с закл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ю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ченным договором;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правильность отнесения процентов за кредит на себестоимость пр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дукции (работ, услуг);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законность и обоснованность получения от других предприятий ссуд (займов), а также полнота и своевременность их погашения, правил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ь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ность списания расходов по уплате процентов за полученные ссуды;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— правильность ведения синтетического и аналитического учета по счетам 66, 67 соответствие записей синтетического и аналитического учета по этим счетам записям в Главной книге, балансе и формах бухгалтерской отчетности. </w:t>
      </w:r>
    </w:p>
    <w:p w:rsidR="0031216B" w:rsidRPr="0031216B" w:rsidRDefault="00E64635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="0031216B" w:rsidRPr="0031216B">
        <w:rPr>
          <w:rFonts w:ascii="Times New Roman" w:eastAsia="Calibri" w:hAnsi="Times New Roman" w:cs="Times New Roman"/>
          <w:sz w:val="28"/>
          <w:lang w:bidi="ru-RU"/>
        </w:rPr>
        <w:t xml:space="preserve"> полученные займы и кредиты в 2019 г. сроком погашения менее 12 месяцев отражало на счете 66 «Расчеты по краткосрочным кредитам и займам», со сроком погашения более чем ч</w:t>
      </w:r>
      <w:r w:rsidR="0031216B" w:rsidRPr="0031216B">
        <w:rPr>
          <w:rFonts w:ascii="Times New Roman" w:eastAsia="Calibri" w:hAnsi="Times New Roman" w:cs="Times New Roman"/>
          <w:sz w:val="28"/>
          <w:lang w:bidi="ru-RU"/>
        </w:rPr>
        <w:t>е</w:t>
      </w:r>
      <w:r w:rsidR="0031216B" w:rsidRPr="0031216B">
        <w:rPr>
          <w:rFonts w:ascii="Times New Roman" w:eastAsia="Calibri" w:hAnsi="Times New Roman" w:cs="Times New Roman"/>
          <w:sz w:val="28"/>
          <w:lang w:bidi="ru-RU"/>
        </w:rPr>
        <w:t>рез 12 месяцев после отчетной даты — на счете 67 «Расчеты по долгосро</w:t>
      </w:r>
      <w:r w:rsidR="0031216B" w:rsidRPr="0031216B">
        <w:rPr>
          <w:rFonts w:ascii="Times New Roman" w:eastAsia="Calibri" w:hAnsi="Times New Roman" w:cs="Times New Roman"/>
          <w:sz w:val="28"/>
          <w:lang w:bidi="ru-RU"/>
        </w:rPr>
        <w:t>ч</w:t>
      </w:r>
      <w:r w:rsidR="0031216B" w:rsidRPr="0031216B">
        <w:rPr>
          <w:rFonts w:ascii="Times New Roman" w:eastAsia="Calibri" w:hAnsi="Times New Roman" w:cs="Times New Roman"/>
          <w:sz w:val="28"/>
          <w:lang w:bidi="ru-RU"/>
        </w:rPr>
        <w:t>ным кредитам и займам».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Порядок кредитования, оформления кредитов и их погашения регул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ровался правилами банков и кредитными договорами. Аналитический учет кредитов и займов полученных велся по видам кредитов и займам, банкам и предприятиям, предоставившим их, и отдельным кредитам и займам. Кред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ты и займы, полученные обществом, в бухгалтерском учете оценивались с </w:t>
      </w:r>
      <w:r w:rsidRPr="0031216B">
        <w:rPr>
          <w:rFonts w:ascii="Times New Roman" w:eastAsia="Calibri" w:hAnsi="Times New Roman" w:cs="Times New Roman"/>
          <w:sz w:val="28"/>
          <w:lang w:bidi="ru-RU"/>
        </w:rPr>
        <w:lastRenderedPageBreak/>
        <w:t>учетом причитающихся к уплате на конец отчетного периода процентов. Н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числение процентов в бухгалтерском учете отражалось ежемесячно записью: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lang w:bidi="ru-RU"/>
        </w:rPr>
      </w:pPr>
      <w:r w:rsidRPr="0031216B">
        <w:rPr>
          <w:rFonts w:ascii="Times New Roman" w:eastAsia="Calibri" w:hAnsi="Times New Roman" w:cs="Times New Roman"/>
          <w:i/>
          <w:iCs/>
          <w:sz w:val="28"/>
          <w:lang w:bidi="ru-RU"/>
        </w:rPr>
        <w:t>Дебет 91 «Прочие доходы и расходы»,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lang w:bidi="ru-RU"/>
        </w:rPr>
      </w:pPr>
      <w:r w:rsidRPr="0031216B">
        <w:rPr>
          <w:rFonts w:ascii="Times New Roman" w:eastAsia="Calibri" w:hAnsi="Times New Roman" w:cs="Times New Roman"/>
          <w:i/>
          <w:iCs/>
          <w:sz w:val="28"/>
          <w:lang w:bidi="ru-RU"/>
        </w:rPr>
        <w:t>Кредит 66 «Краткосрочные кредиты и займы», 67.»Долгосрочные кредиты и займы».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бухгалтерском учете на счете 66 «Расчеты по краткосрочным кред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там и займам» по состоянию на 31.12.2019 г. задолженность по краткосро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ным кредитам и займам не числится в связи с погашением всех полученных займов. Остатки по счетам 66 «Расчеты по краткосрочным кредитам и за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й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мам» и 67 «Расчеты по долгосрочным кредитам и займам» тождественны с данными бухгалтерского баланса па состоянию на 31.12.2019 г.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В ходе проведения аудита кредитов и займов</w:t>
      </w:r>
      <w:r w:rsidR="00351C89">
        <w:rPr>
          <w:rFonts w:ascii="Times New Roman" w:eastAsia="Calibri" w:hAnsi="Times New Roman" w:cs="Times New Roman"/>
          <w:sz w:val="28"/>
          <w:lang w:bidi="ru-RU"/>
        </w:rPr>
        <w:t xml:space="preserve"> 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каких-либо существенных ошибок и нарушений не выявлено.</w:t>
      </w:r>
    </w:p>
    <w:p w:rsidR="0031216B" w:rsidRPr="0031216B" w:rsidRDefault="0031216B" w:rsidP="00351C89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13" w:name="_Toc46076522"/>
      <w:r w:rsidRPr="0031216B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2.6 Финансовый контроль бухгалтерского учета денежных средств и их эквивалентов в </w:t>
      </w:r>
      <w:r w:rsidR="00E64635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ПАО «ГМК «Норильский никель»</w:t>
      </w:r>
      <w:bookmarkEnd w:id="13"/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Краткосрочные депозиты, размещаемые на срок до 90 дней включ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тельно, квалифицируются как денежные эквиваленты и отражаются в бу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галтерской (финансовой) отчетности в составе прочих денежных средств в составе текущей деятельности.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Величина денежных потоков в иностранной валюте пересчитывается в рубли по официальному курсу этой иностранной валюты к рублю, устана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ливаемому Центральным банком Российской Федерации на дату осущест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ления или поступления платежа.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 отражении денежных потоков в отчете о движении денежных средств свернуто показываются по статьям поступлений (платежей) в соо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ветствии с видом денежного потока: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размещение и возврат депозитов от 3 месяцев;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косвенные налоги в составе поступлений от покупателей и заказч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ков, платежей поставщикам и подрядчикам и платежей в бюджетную сист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му РФ или возмещение из нее;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поступление от контрагентов в счет возмещения ранее произведе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ных платежей;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валютно–обменные операции;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 осуществление и получение платежей в качестве возвратов по ранее произведенным операциям.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Денежные потоки от текущих, инвестиционных и финансовых опер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ций относятся к единому отчетному сегменту, идентифицируемому по виду деятельности.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Величина денежных потоков, необходимых для поддержания сущес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вующего объема операций, показана в составе текущих операций. Величина денежных потоков, связанных с расширением масштабов деятельности, включена в состав инвестиционных операций.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состав поступлений и платежей по инвестиционной деятельности включены денежные потоки по выданным связанным сторонам беспроцен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ным займам, в связи с экономической выгодой от них, получаемой в виде 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видендов либо иным опосредованным способом.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 аудите кассовых операций были проведены следующие меропри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тия: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проверка соблюдения условий хранения и сохранности наличных денежных средств в кассе общества;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проверка соблюдения нормативных и законодательных актов по 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ганизации работы с денежной наличностью;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оценка состояния синтетического и аналитического учёта наличных денежных средств;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оценка соблюдения правил документального оформления кассовых операций, проверка соблюдения порядка ведения кассовой книги;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проверка соблюдения лимита хранения денежной наличности в ка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се;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— проверка целевого использования полученной из банка наличности.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Размер сумм наличных денег в кассе ограничен лимитом, ежегодно у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с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танавливаемым банком по согласованию с обществом. В результате проверки кассовой книги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за 2019 г. превышения 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мита кассы не установлено.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Обществом учет наличных денежных средств производился по счету 50.01 «Касса организации». Кассовая книга велась автоматизированным сп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собом. Кассовая книга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пронумерована, прошнурована и скреплена печатью.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Кассовые операции в целом оформлялись с использованием форм пе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р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вичных документов, закрепленных постановлением Госкомстата РФ от 18 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в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густа 1998 г. № 88 «Об утверждении унифицированных форм первичной учетной документации по учету кассовых операций, по учету результатов инвентаризации».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Арифметическая проверка соответствия данных, отраженных в касс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вых отчетах, главной книге и балансе расхождений не выявила.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В ходе аудиторской проверки кассовых операций каких-либо ошибок и нарушений, способных оказать существенное влияние на достоверность бу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х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галтерской отчетности, не выявлено.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В ходе аудита операций по расчетным счетам были произведены: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проверка соответствия произведенных операций нормативным д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кументам и законодательным актам, действующим на территории Росси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й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ской Федерации;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— оценка соблюдения правил бухгалтерского учета при совершении операций расчетного счета;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проверка соответствия записей в выписках банка движению дене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ж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ных средств по счету 51 «Расчетные счета»;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— проверка правильности оформления выписок со счетов в банке и д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кументов, приложенных к выпискам, подтверждающих операции;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lastRenderedPageBreak/>
        <w:t>— арифметическая проверка правильности выведения остатков на к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нец дня и подсчета оборотов по приходу и расходу денежных средств в в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ы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писках банка и регистрах денежных средств в банке.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В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операции по зачислению и спис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нию денежных средств со счетов в банке оформлялись первичными докуме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тами, формы и порядок заполнения которых соответствуют Инструктивным указаниям Центрального банка Российской Федерации. </w:t>
      </w:r>
    </w:p>
    <w:p w:rsidR="00351C89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Операции по расчетному счету отражались в бухгалтерском учете на основании выписок банка по расчетному счету и приложенных к ним дене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ж</w:t>
      </w:r>
      <w:r w:rsidR="00351C89">
        <w:rPr>
          <w:rFonts w:ascii="Times New Roman" w:eastAsia="Calibri" w:hAnsi="Times New Roman" w:cs="Times New Roman"/>
          <w:sz w:val="28"/>
          <w:lang w:bidi="ru-RU"/>
        </w:rPr>
        <w:t>но-расчетных документов.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Движение денежных средств на балансовом счете 51 «Расчетные сч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та» в полной мере соответствует записям в выписках банка. К расчетным банковским документам прилагаются первичные документы, обосновыва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ю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щие правомерность совершаемых операций.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При совершении операций по расчетному счету по списанию денежных средств со счета денежная наличность полностью приходовалась в кассу 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б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щества. К выписке банка по операциям снятия наличных денег приложены квитанции к приходным кассовым ордерам.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В ходе аудита операций по расчетным счетам каких-либо ошибок и н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рушений не выявлено. </w:t>
      </w:r>
    </w:p>
    <w:p w:rsidR="0031216B" w:rsidRPr="0031216B" w:rsidRDefault="0031216B" w:rsidP="00351C89">
      <w:pPr>
        <w:widowControl w:val="0"/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_Toc46076523"/>
      <w:r w:rsidRPr="003121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2.7 Финансовый контроль бухгалтерского учета доходов и расходов в </w:t>
      </w:r>
      <w:r w:rsidR="00E646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ПАО «ГМК «Норильский никель»</w:t>
      </w:r>
      <w:bookmarkEnd w:id="14"/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Доходы и расходы классифицируются как доходы и расходы по обы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ным видам деятельности и прочие.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Выручка от продажи определяется по дате перехода права собственн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сти на продукцию, товары, результаты выполненных работ, оказанных услуг (на возмездной основе) на основании предъявленных покупателям (заказч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кам) расчетных документов.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Производственная себестоимость продукции (работ, услуг), реализ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ванной на внутренний рынок и экспорт, определяется прямым счетом исходя из видов продукции и их фактической себестоимости.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Расходы по продаже продукции (работ, услуг) и общехозяйственные расходы признаются в полном объеме в себестоимости проданной в отчетном периоде продукции (работ, услуг) в качестве расходов по обычным видам деятельности.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Расходы на приобретение лицензий, сертификатов включаются в себ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стоимость произведенной продукции (работ, услуг) ежемесячно равными 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лями в течение срока их действия.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Фактические расходы, связанные с проведением текущих и капитал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ь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ных ремонтов, признаются затратами текущего периода по мере осуществл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ния ремонтов.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Доходы, получаемые от предоставления за плату во временное польз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вание и владение активов, прав, возникающих из патентов на изобретения, промышленные образцы и других видов интеллектуальной собственности, от участия в уставных капиталах других организаций, проценты, получаемые за предоставление в пользование денежных средств, и иные доходы по ценным бумагам, не связанные с предметом деятельности организации, относятся к прочим доходам.</w:t>
      </w:r>
    </w:p>
    <w:p w:rsidR="0031216B" w:rsidRPr="0031216B" w:rsidRDefault="00E64635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="0031216B"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формирует резерв под снижение стоимости материально–производственных запасов, резерв по недостачам и потерям от порчи материальных ценностей, резерв под обесценение фина</w:t>
      </w:r>
      <w:r w:rsidR="0031216B"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="0031216B"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совых вложений, а также резерв по сомнительным долгам. Начисление оц</w:t>
      </w:r>
      <w:r w:rsidR="0031216B"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="0031216B"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ночных резервов производится за счет прочих расходов.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 аудите финансовых результатов и распределения прибыли было проверено и изучено: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сверка аналитических данных по счетам реализации с синтетич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скими данными;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— правильность определения и отражения в учете прибыли (убытков)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 xml:space="preserve">от продаж товаров, продукции, работ, услуг; 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 правильность ведения синтетического и аналитического учёта по счетам 90, 91.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Доходы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 12 месяцев 201 года сформированы в соответствии с положениями ПБУ 9/99 «Доходы организ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ции» и составили 40 705 421тыс. р. Выручка от продажи товаров, продукции, работ и услуг признана исходя из допущения временной определенности фактов хозяйственной деятельности. Обороты по субсчету 90-1 «Выручка» счета 90 «Продажи» за 2019 год соответствуют данным бухгалтерской отче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ности </w:t>
      </w:r>
      <w:r w:rsidR="00E6463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 соответствующий период. Еж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месячно сопоставлением совокупного дебетового оборота по субсчетам 90-2 «Себестоимость продаж», 90-3 «Налог на добавленную стоимость», 90-8 «Управленческие расходы», и кредитового оборота по субсчету 90-1 «В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ы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ручка» определялся финансовый результат от продаж за отчетный месяц. Этот финансовый результат</w:t>
      </w:r>
      <w:r w:rsidR="00351C8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ежемесячно списывался с субсчета 90-9 «Пр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быль/убыток от продаж» на счет 99 «Прибыли и убытки».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 окончании 2019 года все субсчета, открытые к счету 90 «Продажи» (кроме субсчета 90-9 «Прибыль/убыток от продаж»), закрыты внутренними записями на субсчет 90-9 «Прибыль/убыток от продаж». По данным бухга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терского учета за 2019 год обществом получена прибыль от продажи товаров (работ, услуг) в размере 598 116 тыс. р. Информация о формировании коне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ного финансового результата деятельности общества в отчетном году обо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щена на счете 99 «Прибыли и убытки». Конечный финансовый результат слагается из финансового результата от обычных видов деятельности, прочих доходов и расходов, включая чрезвычайные, за вычетом сумм налога на д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ходы.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Полученная чистая прибыль за 2019 г. по данным кредитового оборота по счету 84 «Нераспределенная прибыль» соответствует результатам, отр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женным в финансовой отчетности организации.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Учитывая вышесказанное, аудиторская группа пришла к выводу, что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выявленные нарушения по данному объекту бухгалтерского учета отсутс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вуют.</w:t>
      </w:r>
    </w:p>
    <w:p w:rsidR="0031216B" w:rsidRPr="0031216B" w:rsidRDefault="0031216B" w:rsidP="00351C89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15" w:name="_Toc46076524"/>
      <w:r w:rsidRPr="0031216B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2.8 Финансовый контроль бухгалтерского учета расчетов по налогам и сборам в </w:t>
      </w:r>
      <w:r w:rsidR="00E64635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ПАО «ГМК «Норильский никель»</w:t>
      </w:r>
      <w:bookmarkEnd w:id="15"/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Бухгалтерская и налогооблагаемая прибыль определяются в соответс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вии с действующим законодательством РФ с использованием разных методов оценки и учета доходов и расходов.</w:t>
      </w:r>
    </w:p>
    <w:p w:rsidR="0031216B" w:rsidRPr="0031216B" w:rsidRDefault="0031216B" w:rsidP="00312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Величина текущего налога на прибыль определяется на основе данных, сформированных в бухгалтерском учете исходя из величины условного ра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хода (условного дохода), скорректированного на суммы постоянного налог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вого обязательства (актива), отложенного налогового актива и отложенного налогового обязательства отчетного периода.</w:t>
      </w:r>
    </w:p>
    <w:p w:rsidR="0031216B" w:rsidRPr="0031216B" w:rsidRDefault="0031216B" w:rsidP="003121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Исчисление и уплата налога на имущество по объектам, включаемым в расчет налоговой базы, производится в следующем порядке:</w:t>
      </w:r>
    </w:p>
    <w:p w:rsidR="0031216B" w:rsidRPr="0031216B" w:rsidRDefault="0031216B" w:rsidP="00351C8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 По объектам недвижимого имущества, находящимся по месту нах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ждения организации — в налоговый орган по месту постановки на налоговый учет.</w:t>
      </w:r>
    </w:p>
    <w:p w:rsidR="0031216B" w:rsidRPr="0031216B" w:rsidRDefault="0031216B" w:rsidP="00351C8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 По объектам недвижимого имущества, находящимся вне местон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хождения организации, за исключением объектов, в отношении которых 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логовая база определяется как их кадастровая стоимость:</w:t>
      </w:r>
    </w:p>
    <w:p w:rsidR="0031216B" w:rsidRPr="0031216B" w:rsidRDefault="0031216B" w:rsidP="003121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а) по субъектам РФ, в бюджеты которых полностью зачисляются пл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тежи по налогу на имущество без отчислений в бюджеты муниципальных образований (районов, округов, поселений), и по которым 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ПАО «ГМК «Н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64635">
        <w:rPr>
          <w:rFonts w:ascii="Times New Roman" w:eastAsia="Calibri" w:hAnsi="Times New Roman" w:cs="Times New Roman"/>
          <w:sz w:val="28"/>
          <w:szCs w:val="28"/>
          <w:lang w:eastAsia="en-US"/>
        </w:rPr>
        <w:t>рильский никель»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представило Уведомление о порядке представления нал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говой декларации в налоговый орган на территории субъекта Российской Федерации — исчисление и уплата налога на имущество производится це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трализованно в одну налоговую инспекцию субъекта РФ за все объекты 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движимого имущества, расположенные на территории этого субъекта РФ.</w:t>
      </w:r>
    </w:p>
    <w:p w:rsidR="0031216B" w:rsidRPr="0031216B" w:rsidRDefault="0031216B" w:rsidP="003121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по остальным субъектам РФ, не перечисленным в подпункте "а", 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и уплата налога за объекты недвижимого имущества, расположе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ные вне места нахождения организации, производится в налоговые органы по месту постановки на налоговый учет этих объектов недвижимого имущества.</w:t>
      </w:r>
    </w:p>
    <w:p w:rsidR="0031216B" w:rsidRPr="0031216B" w:rsidRDefault="0031216B" w:rsidP="003121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— По объектам недвижимого имущества в отношении которых налог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вая база определяется как их кадастровая стоимость — исчисление и уплата налога за объекты недвижимого имущества, расположенные вне места нах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ждения организации, производится в налоговые органы по месту постановки на налоговый учет этих объектов недвижимого имущества.</w:t>
      </w:r>
    </w:p>
    <w:p w:rsidR="0031216B" w:rsidRPr="0031216B" w:rsidRDefault="0031216B" w:rsidP="003121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исчисления налога на имущество обеспечить обособленный учет имущества, являющегося объектом налогообложения налогом на им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щество, для которого Налоговым кодексом РФ или законами субъектов Ро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установлены пониженные налоговые ставки или налог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вые льготы. Обособленный учет организуется посредством учета имущества в отдельных регистрах, в отношении которого установлены пониженные ставки или налоговые льготы, на счетах: 01 (все субсчета) и 02 (все субсчета) — в детализации подразделений организации и основных средств.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ходе аудита расчетов по НДС проверен следующий круг вопросов: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определения налогооблагаемой базы;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 правильность применения налоговых ставок;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начисления, полнота и своевременность перечисления налоговых платежей,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составления налоговой отчетности;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 правильность оформления счетов-фактур, на основании которых производится возмещение из бюджета сумм НДС по товарно-материальным ценностям, использованным при выполнении работ.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Обществом организовано ведение раздельного учета по каждому виду деятельности.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Книга покупок и книга продаж ведется на компьютере в электронном виде.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lastRenderedPageBreak/>
        <w:t>В ходе аудита расчетов по налогу на добавленную стоимость устано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в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лены следующие ошибки и недостатки: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Книги продаж и книги покупок по истечении налогового периода не выводились на бумажные носители (не распечатывались), имеются только в электронном виде. Соответственно, книги покупок и книги продаж за нал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говые периоды 2019 г. не прошнурованы, их страницы не пронумерованы и не скреплены печатью.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Согласно статье 163 Налогового кодекса Российской Федерации, нал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говым периодом по НДС установлен квартал. Таким образом, книги продаж и книги покупок должны ежеквартально оформляться в соответствии с тр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бованиями законодательства РФ.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ходе аудита расчетов по налогу на добавленную стоимость каких-либо существенных ошибок и нарушений, способных исказить налогообл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гаемую базу по НДС, не выявлено.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ходе аудита расчетов по налогу на прибыль проверен следующий круг вопросов: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определения налогооблагаемой базы;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начисления, полнота и своевременность перечисления налоговых (авансовых) платежей;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составления налоговой отчетности.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соответствии со статьей 246 Налогового Кодекса Российской Фед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рации,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является плательщиком налога на прибыль организаций.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Для учета доходов и расходов в целях исчисления налога на прибыль в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применялся метод начисления в соотве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ствии со статьями 271 и 272 Налогового Кодекса Российской Федерации. Для формирования налоговой базы по налогу на прибыль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ь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максимально использует регистры бухгалтерского учета.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ходе проверки правильности определения доходов от реализации, 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ражаемых по строке 010 Налоговой деклара</w:t>
      </w:r>
      <w:r w:rsidR="00351C89">
        <w:rPr>
          <w:rFonts w:ascii="Times New Roman" w:eastAsia="Calibri" w:hAnsi="Times New Roman" w:cs="Times New Roman"/>
          <w:sz w:val="28"/>
          <w:lang w:eastAsia="en-US"/>
        </w:rPr>
        <w:t>ции по налогу на прибыль за 2019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lastRenderedPageBreak/>
        <w:t>год по сравнению с данными бухгалтерского учета и первичными докуме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тами каких-либо фактов занижения доходов для целей налогообложения не установлено.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ходе аудита расчетов по налогу на имущество проверен следующий круг вопросов: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определения налогооблагаемой базы;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правильность применения налоговой ставки;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 правильность начисления, полнота и своевременность перечисления налоговых платежей, правильность составления налоговой отчетности.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Начисление налога на имущество производилось в соответствии с Гл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вой 30 «Налог на имущество организаций» Налогового кодекса РФ.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ходе аудиторской проверки правильности формирования налоговой базы по налогу на имущество каких-либо ошибок и нарушений не выявлено.</w:t>
      </w:r>
    </w:p>
    <w:p w:rsidR="0031216B" w:rsidRPr="0031216B" w:rsidRDefault="0031216B" w:rsidP="00351C89">
      <w:pPr>
        <w:suppressAutoHyphens/>
        <w:spacing w:before="360" w:after="360" w:line="360" w:lineRule="auto"/>
        <w:ind w:left="1134" w:hanging="425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16" w:name="_Toc46076525"/>
      <w:r w:rsidRPr="0031216B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2.9 Заключение по финансовому контролю бухгалтерского учета и составления отчетности в </w:t>
      </w:r>
      <w:r w:rsidR="00E64635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ПАО «ГМК «Норильский никель»</w:t>
      </w:r>
      <w:bookmarkEnd w:id="16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В период с 06.07.2020 г. по 19.07.2020 г. в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был проведен аудит финансовой отчетности организации, состоящей из отчета о финансовом положении по состоянию на 31.12.2019 г., консол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дированного отчета о совокупном доходе, отчета об изменениях в собстве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ном капитале и отчета о движении денежных средств за 2019 г., а также пр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мечаний к консолидированной финансовой отчетности.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По мнению аудиторской группы, прилагаемая финансовая отчетность отражает достоверно во всех существенных отношениях финансовое пол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жение компании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по состоянию на 31.12.2019 г.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Основанием для выражения мнения аудиторов стали Международные стандарты аудита. Обязанности аудиторов в соответствии сс этими станда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lastRenderedPageBreak/>
        <w:t>тами предполагают ответственность аудиторов за аудит финансовой отчетн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сти организации.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Целями аудитора были: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 выявление и оценка рисков существенного искажения финансовой отчетности вследствие недобросовестных действий или ошибок персонала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получение аудиторских доказательств найденных ошибок для выр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жения мнения;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 получение понимания системы внутреннего контроля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, имеющей значение для аудита объектов бухгалтерск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го и налогового учета;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 сделать вывод о правильности ведения бухгалтерского учета в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Аудиторская группа на протяжении всего аудит была независима по отношению к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в соответствии с Кодексом этики профессиональных бухгалтеров Совета по международным стандартам этики для бухгалтеров и этическим требованиям, применимым к аудиту ф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нансовой отчетности.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частности, к нарушениям были отнесены ошибки в инвентаризации основных средств, из-за которых возникают трудности с отражением реал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ного наличия основных средств.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Аудит был проведен в соответствии с Международными стандартами аудита.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Состав аудиторской группы по отношению к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состоял из незаинтересованных лиц, все действия аудиторской гру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пы соответствовали Правилам независимости аудиторов и аудиторских орг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низаций и Кодексом профессиональной этики аудиторов и Международному кодексу этики профессиональных бухгалтеров.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lastRenderedPageBreak/>
        <w:t>В результате проведенного аудита нами установлены нарушения де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й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ствующего порядка составления финансовой (бухгалтерской) отчетности и ведения бухгалтерского учета.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По результатам проверки можно сделать вывод о том, что финансово-хозяйственная деятельность организации велась с отдельными отклонениями от действующего законодательства Российской Федерации. Степень влияния этих отклонений не дает оснований для того, чтобы подвергнуть сомнению достоверность представленной отчетности.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Анализ документов и профессиональное общение с персоналом бу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х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галтерии в период проведения аудиторской проверки показали, что уровень компетентности сотрудников соответствует характеру и объему финансово-хозяйственной деятельности организации.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По нашему мнению, за исключением влияния на финансовуюотче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ность некоторых обстоятельств, финансовая (бухгалтерская) отчетность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отражает достоверно во всех существенных 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ношениях финансовое положение на 31 декабря 2019 г. и результаты ее ф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нансово-хозяйственной деятельности за период с 1.01.2019 г. по 31.12.2019 г. включительно в соответствии с требованиями законодательства Российской Федерации в части подготовки финансовой (бухгалтерской) отчетности.</w:t>
      </w:r>
    </w:p>
    <w:p w:rsidR="0031216B" w:rsidRPr="0031216B" w:rsidRDefault="0031216B" w:rsidP="00351C8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В ходе проведенных аудиторских мероприятий в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ь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за 2019 год были выявлены нарушения по ведению бухгалте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р</w:t>
      </w:r>
      <w:r w:rsidR="00351C89">
        <w:rPr>
          <w:rFonts w:ascii="Times New Roman" w:eastAsia="Calibri" w:hAnsi="Times New Roman" w:cs="Times New Roman"/>
          <w:sz w:val="28"/>
          <w:lang w:eastAsia="en-US"/>
        </w:rPr>
        <w:t>ского учета основных средств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, расчетов по налогам и сборам и составления бухгалтерской отчетности. Это дает основание аудиторской группе выразить модифицированное мнение с оговоркой. 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Ввиду выявленных нарушений аудиторская группа разработала рек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мендации по устранению ошибок в ведении бухгалтерского учета и дал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нейшему его совершенствованию. К этим рекомендациям мы относим: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 при проведении инвентаризации в инвентаризационные описи нео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б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ходимо включить пункт об отметке наличия документов по наличию док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у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ментов, подтверждающих право собственности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и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— разработку графика проведения инвентаризации основных средств и закрепление его приказом директора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u w:val="single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— рекомендуем оформлять книги продаж и покупок в соответствие с требованиями Постановления Правительства РФ от 2.12.2000 г. №914.</w:t>
      </w:r>
    </w:p>
    <w:p w:rsidR="0031216B" w:rsidRPr="0031216B" w:rsidRDefault="0031216B" w:rsidP="00351C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В приложениях к отчету имеется информация о проведенных тестах средств контроля (Приложения Б-Ж).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216B">
        <w:rPr>
          <w:rFonts w:ascii="Times New Roman" w:eastAsia="Calibri" w:hAnsi="Times New Roman" w:cs="Times New Roman"/>
          <w:sz w:val="28"/>
          <w:lang w:eastAsia="en-US"/>
        </w:rPr>
        <w:t>По нашему мнению, за исключением влияния на бухгалтерскую отче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ность обстоятельств, изложенных в части, содержащей основание для выр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жения мнения с оговоркой, бухгалтерская отчетность отражает достоверно во всех существенных отношениях финансовое положение 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ПАО «ГМК «Н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о</w:t>
      </w:r>
      <w:r w:rsidR="00E64635">
        <w:rPr>
          <w:rFonts w:ascii="Times New Roman" w:eastAsia="Calibri" w:hAnsi="Times New Roman" w:cs="Times New Roman"/>
          <w:sz w:val="28"/>
          <w:lang w:eastAsia="en-US"/>
        </w:rPr>
        <w:t>рильский никель»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 xml:space="preserve"> по состоянию на 31 декабря 2019 года, результаты его ф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lang w:eastAsia="en-US"/>
        </w:rPr>
        <w:t>нансово-хозяйственной деятельности и движение денежных средств за 2019 год в соответствии с установленными правилами составления бухгалтерской отчетности.</w:t>
      </w:r>
    </w:p>
    <w:p w:rsidR="0031216B" w:rsidRPr="0031216B" w:rsidRDefault="0031216B" w:rsidP="00351C89">
      <w:pPr>
        <w:keepNext/>
        <w:keepLines/>
        <w:suppressAutoHyphens/>
        <w:spacing w:after="18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17" w:name="_Toc46076526"/>
      <w:r w:rsidRPr="0031216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lastRenderedPageBreak/>
        <w:t>ЗАКЛЮЧЕНИЕ</w:t>
      </w:r>
      <w:bookmarkEnd w:id="17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bookmarkStart w:id="18" w:name="_Toc14503261"/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В ходе данной работы в период с 06.07.2020 г. по 19.07.2020 г. был проведен аудит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 по итогам финансово-хозяйственной деятельности за 2019 год.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В ходе написания отчета по практике были приобретены практические навыки работы с документацией, а также с большим количеством информ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ции, на которой базируется деятельность </w:t>
      </w:r>
      <w:r w:rsidR="00E64635">
        <w:rPr>
          <w:rFonts w:ascii="Times New Roman" w:eastAsia="Calibri" w:hAnsi="Times New Roman" w:cs="Times New Roman"/>
          <w:sz w:val="28"/>
          <w:lang w:bidi="ru-RU"/>
        </w:rPr>
        <w:t>ПАО «ГМК «Норильский никель»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Также в ходе аудита были достигнуты задачи производственной пра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к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тики, а именно:</w:t>
      </w:r>
      <w:bookmarkEnd w:id="18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— закреплены приобретенные в процессе обучения теоретические зн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ния (акцентируя внимание на тех дисциплинах, которые являются базовыми по выбранной специализации);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— дано представление о структуре организации-объекта практики, ее основных видах деятельности, особенностях учета и финансового контроля;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— изучены основные организационно-экономические показатели и проанализированы основные финансовые показатели деятельности объекта производственной практики;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— изучено содержание нормативных документов, регламентирующих деятельность организации-объекта практики, а также деятельность органов, осуществляющих финансовый контроль и обеспечивающий экономическую безопасность объекта практики;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— пройдено обучение методам и приемам работы с первичной док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у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ментацией, бухгалтерскими счетами и отчетностью, а также расширены практические навыки по осуществлению финансового контроля учетной и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формации;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— приобретен опыт работы в коллективах при решении ситуационных социально-экономических задач: изучены принципы построения информац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lang w:eastAsia="en-US"/>
        </w:rPr>
        <w:t>онно-правовых баз данных, применяемых на практике, а также приобретен практический опыт их применения.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bidi="ru-RU"/>
        </w:rPr>
      </w:pPr>
      <w:bookmarkStart w:id="19" w:name="_Toc14503262"/>
      <w:r w:rsidRPr="0031216B">
        <w:rPr>
          <w:rFonts w:ascii="Times New Roman" w:eastAsia="Calibri" w:hAnsi="Times New Roman" w:cs="Times New Roman"/>
          <w:sz w:val="28"/>
          <w:lang w:bidi="ru-RU"/>
        </w:rPr>
        <w:lastRenderedPageBreak/>
        <w:t>Цель производственной практики (практики по получению професси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о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нальных умений и опыта профессиональной деятельности) можно считать достигнут</w:t>
      </w:r>
      <w:bookmarkEnd w:id="19"/>
      <w:r w:rsidRPr="0031216B">
        <w:rPr>
          <w:rFonts w:ascii="Times New Roman" w:eastAsia="Calibri" w:hAnsi="Times New Roman" w:cs="Times New Roman"/>
          <w:sz w:val="28"/>
          <w:lang w:bidi="ru-RU"/>
        </w:rPr>
        <w:t>ой.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lang w:bidi="ru-RU"/>
        </w:rPr>
        <w:t>Прохождение производственной практики можно считать успешным, так как полученные практические навыки могут пригодиться в будущей р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>а</w:t>
      </w:r>
      <w:r w:rsidRPr="0031216B">
        <w:rPr>
          <w:rFonts w:ascii="Times New Roman" w:eastAsia="Calibri" w:hAnsi="Times New Roman" w:cs="Times New Roman"/>
          <w:sz w:val="28"/>
          <w:lang w:bidi="ru-RU"/>
        </w:rPr>
        <w:t xml:space="preserve">боте по специальности. </w:t>
      </w:r>
      <w:r w:rsidRPr="0031216B">
        <w:rPr>
          <w:rFonts w:ascii="Times New Roman" w:eastAsia="Calibri" w:hAnsi="Times New Roman" w:cs="Times New Roman"/>
          <w:sz w:val="28"/>
          <w:lang w:bidi="ru-RU"/>
        </w:rPr>
        <w:br w:type="page"/>
      </w:r>
    </w:p>
    <w:p w:rsidR="0031216B" w:rsidRPr="0031216B" w:rsidRDefault="0031216B" w:rsidP="003121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keepNext/>
        <w:keepLines/>
        <w:spacing w:after="18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20" w:name="_Toc46076527"/>
      <w:r w:rsidRPr="0031216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lastRenderedPageBreak/>
        <w:t>СПИСОК ИСПОЛЬЗОВАННЫХ ИСТОЧНИКОВ</w:t>
      </w:r>
      <w:bookmarkEnd w:id="20"/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Российская Федерация. Законы. Гражданский кодекс Российской Федерации : часть первая : ГК : текст с изменениями и дополнениями на 12 мая 2020 года : принят Государственной думой 21 октября 1994 года // Ко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Российская Федерация. Законы. Налоговый кодекс Российской Ф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дерации : часть вторая : НК : текст с изменениями и дополнениями на 21 мая 2020 года : принят Государственной думой 19 июля 2000 года : одобрен 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ветом Федерации 26 июля 2000 года // КонсультантПлюс : справочно-правовая система. — Москва, 1997— . — Загл. с титул. экрана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3. Российская Федерация. Законы. Трудовой кодекс Российской Фед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 : ТК :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текст с изменениями и дополнениями на 25 мая 2020 года : пр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нят Государственной думой 21 декабря 2001 года : одобрен Советом Федер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ции 26 декабря 2001 года // КонсультантПлюс : справочно-правовая система. — Москва, 1997— . — Загл. с титул. экрана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Российская Федерация. Законы. О бухгалтерском учете : Федерал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закон : № 402-ФЗ : текст с изменениями и дополнениями на 26 июля 2019 года : принят Государственной думой 22 ноября 2011 года: одобрен 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ветом Федерации 29 ноября 2011 года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Российская Федерация. Законы. Об аудиторской деятельности : Ф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деральный закон : № 307-ФЗ : текст с изменениями и дополнениями на 01 апреля 2020 года : принят Государственной думой 24 декабря 2008 года: одобрен Советом Федерации 29 декабря 2008 года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Положение по ведению бухгалтерского учета и бухгалтерской от-четности в РФ : в редакции от 11 апреля 2018 года : утверждено Приказом Министерства финансов Российской Федерации от 29 июля 1998 года № 34н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Положение по бухгалтерскому учету «Учетная политика организ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ции» (ПБУ 1/2008) : в редакции от 7 февраля 2020 года : утверждено Прик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зом Министерства финансов Российской Федерации от 6 октября 2008 года № 106н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Положение по бухгалтерскому учету «Учет материально-производственных запасов» (ПБУ 5/01) : в редакции от 16 мая 2016 года : у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верждено Приказом Министерства финансов Российской Федерации от 09 июня 2001 года № 44н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Положение по бухгалтерскому учету «Учет основных средств» (ПБУ 6/01) : в редакции от 16 мая 2016 года : утверждено Приказом Мин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стерства финансов Российской Федерации от 30 марта 2001 года № 26н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Положение по бухгалтерскому учету «Доходы организации» (ПБУ 9/99) : в редакции от 6 апреля 2015 года : утверждено Приказом Мин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стерства финансов Российской Федерации от 6 мая 1999 года № 32н // Ко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Положение по бухгалтерскому учету «Расходы организации» (ПБУ 10/99) : в редакции от 6 апреля 2015 года : утверждено Приказом М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нистерства финансов Российской Федерации от 6 мая 1999 года № 32н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 Положение по бухгалтерскому учету «Учет нематериальных акт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вов» (ПБУ 14/07) : в редакции от 16 мая 2016 года : утверждено Приказом Министерства финансов Российской Федерации от 27 декабря 2007 года №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153н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 Положение по бухгалтерскому учету «Учет расходов по кредитам и займам» (ПБУ 15/2008) : в редакции от 6 апреля 2015 года : утверждено Пр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казом Министерства финансов Российской Федерации от 6 октября 2008 года № 107н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Положение по бухгалтерскому учету «Учет расчетов по налогу на прибыль» (ПБУ 18/02) : в редакции от 20 ноября 2018 года : утверждено При-казом Министерства финансов Российской Федерации от 19 ноября 2002 г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 № 114н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 </w:t>
      </w: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>Основные средства : международный стандарт финансовой отче</w:t>
      </w: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>т</w:t>
      </w: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ности (IAS 16) :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27 июня 2016 года : введен в действие на те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ритории Российской Федерации Приказом Министерства финансов Росси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ской Федерации от 28 декабря 2015 г. № 217н // КонсультантПлюс : справо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но-правовая система. — Москва, 1997— . — Загл. с титул. экрана.</w:t>
      </w:r>
    </w:p>
    <w:p w:rsidR="0031216B" w:rsidRPr="0031216B" w:rsidRDefault="0031216B" w:rsidP="0031216B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16. Методические указания по инвентаризации имущества и финанс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вых обязательств : в редакции от 8 ноября 2010 года : утверждено Приказом Министерства финансов Российской Федерации от 13 июня 1995 года № 49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17. 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План счетов бухгалтерского учета финансово-хозяйственной де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 предприятий и Инструкция по его применению : в редакции от 8 ноября 2010 года : утверждено Приказом Министерства финансов Росси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ской Федерации от 31 октября 2000 года № 94н // КонсультантПлюс : спр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вочно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noBreakHyphen/>
        <w:t>правовая система. — Москва, 1997— . — Загл. с титул. экрана.</w:t>
      </w:r>
    </w:p>
    <w:p w:rsidR="0031216B" w:rsidRPr="0031216B" w:rsidRDefault="0031216B" w:rsidP="0031216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18. Методические указания по бухгалтерскому учету материально-производственных запасов : в редакции от 24 октября 2016 года : утверждено Приказом Министерства финансов Российской Федерации от 28 декабря </w:t>
      </w: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2001 года № 119н // КонсультантПлюс : справочно-правовая система. — М</w:t>
      </w: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>сква, 1997— . — Загл. с титул. экрана.</w:t>
      </w:r>
    </w:p>
    <w:p w:rsidR="0031216B" w:rsidRPr="0031216B" w:rsidRDefault="0031216B" w:rsidP="0031216B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1216B">
        <w:rPr>
          <w:rFonts w:ascii="Times New Roman" w:eastAsia="MS Mincho" w:hAnsi="Times New Roman" w:cs="Times New Roman"/>
          <w:color w:val="000000"/>
          <w:sz w:val="28"/>
          <w:szCs w:val="28"/>
        </w:rPr>
        <w:t>19. Методические указания по бухгалтерскому учету основных средств : в редакции от 24 декабря 2010 года : утверждено Приказом Мини-стерства финансов Российской Федерации от 27 октября 2003 года № 91н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20. Методические указания по инвентаризации имущества и финансо-вых обязательств : в редакции от 8 ноября 2010 года : утверждено Приказом Министерства финансов Российской Федерации от 13 июня 1995 года № 49 // КонсультантПлюс : справочно-правовая система.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21. О формах бухгалтерской отчетности : в редакции от 19 апреля 2019 года : утверждено Приказом Министерства финансов Российской Федерации от 2 июля 2010 года № 66н // КонсультантПлюс : справочно-правовая сист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ма. — Москва, 1997— . — Загл. с титул. экрана.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 Анализ финансовой отчетности: учебник / под редакцией М. А. Вахрушиной. — Москва : Вузовский учебник, 2019. — 367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23.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Астахов, В. П.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Бухгалтерский (финансовый) учет : учебник для б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калавриата и специалитета / В.П. Астахов. — 12-е изд., перераб. и доп. — Москва : Юрайт, 2019. — 536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24.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Ашмарина, Е. М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Правовое обеспечение контроля, учета, аудита и судебно-экономической экспертизы : учебник для бакалавриата и специал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тета / Е. М. Ашмарина [и др.] ; под редакцией Е. М. Ашмариной; ответстве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редактор В. В. Ершов. — 2-е изд., перераб. и доп. — Москва : Издател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ство Юрайт, 2019. — 299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25.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Бородин, В. А.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Бухгалтерский учет : учебник / В. А. Бородин . — 3-е изд., перераб. и доп. — Москва : ЮНИТИ-ДАНА, 2017. — 528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26.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Бредихина, С. А.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Бухгалтерский и налоговый учет кредитов и за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мов / С. А. Бредихина. — Москва : Вершина, 2017. — 144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27.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Бычкова, С. М.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Бухгалтерский учет и анализ / С. М. Бычкова, Д. Г. Бадмаева. — Санкт-Петербург : Питер, 2018. — 528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28.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Герасимова, Л. Н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Профессиональные ценности и этика бухгалтеров и аудиторов : учебник для бакалавриата, специалитета и магистратуры / Л. Н. Герасимова. — Москва : Издательство Юрайт, 2019. — 318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29.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Гурская, М. М.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Методология и методика бухгалтерского учета: г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незис и концептуальные основы : монография / М. М. Гурская. — Краснодар : Просвещение-ЮГ, 2013. — 290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30.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Дмитриева, И.М.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Бухгалтерский учет и аудит: Учебное пособие для бакалавров / И.М. Дмитриева. - М.: Юрайт, 2018. - 306 c.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31.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Ивашкевич, В. Б.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Профессиональные ценности и этика в бухгалте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 учете и аудите : учебное пособие / В. Б. Ивашкевич. — Москва : М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гистр : ИНФРА-М, 2019. — 224 с.</w:t>
      </w:r>
    </w:p>
    <w:p w:rsidR="0031216B" w:rsidRPr="0031216B" w:rsidRDefault="0031216B" w:rsidP="003121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32. </w:t>
      </w:r>
      <w:r w:rsidRPr="0031216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Казакова Н. А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Аудит : учебник для бакалавриата и специалитета / Н. А. Казакова [и др.] ; под общей редакцией Н. А. Казаковой. — 3-е изд., п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рераб. и доп. — Москва : Издательство Юрайт, 2019. — 409 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Касьянова, Г. Ю. 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Учет: бухгалтерский и налоговый / Г. Ю. Кась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нова. — Москва: АБАК, 2018. — 960 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Кутер, М. И. 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в бухгалтерский учет : учебник / М. И. К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тер. — Краснодар : Просвещение-Юг, 2013. — 512 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Кутер, М. И.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Амортизационная политика — элемент учетной пол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тики организации в обеспечении финансовой стратегии собственника / М. И. Кутер, Д. В. Луговской, Р. И. Мамедов // Экономический анализ: теория и практика. — 2016. — № 29. — С. 17—23.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Кыштымова, Е.А.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Основы аудита: Учебное пособие / Е.А. Кышт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мова. - М.: ИД ФОРУМ, НИЦ ИНФРА-М, 2018. - 224 c.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Петров, А. М. 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Международные стандарты финансовой отчетности : учебник / А. М. Петров. — Москва : ИНФРА-М, 2019. — 449 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38.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Пронина, Е. А. 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Аудит операций по отражению в учете и отчетности полученных займов (кредитов) / Е. А. Пронина // Финансовая газета. Реги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нальный выпуск. — 2018. — № 31. — С. 4—10.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39. Учетная политика: бухгалтерская и налоговая / Г. Ю. Касьянова. — 12-е изд., перераб. и доп. — Москва : АБАК, 2019. — 176 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 </w:t>
      </w:r>
      <w:r w:rsidRPr="0031216B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Штефан, М.А.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Аудит в 2 ч. Часть 2 : учебник и практикум для б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калавриата и магистратуры / под редакцией М. А. Штефан. — 2-е изд., пер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16B">
        <w:rPr>
          <w:rFonts w:ascii="Times New Roman" w:eastAsia="Calibri" w:hAnsi="Times New Roman" w:cs="Times New Roman"/>
          <w:sz w:val="28"/>
          <w:szCs w:val="28"/>
          <w:lang w:eastAsia="en-US"/>
        </w:rPr>
        <w:t>раб. и доп. — Москва : Издательство Юрайт, 2019. — 404 с.</w:t>
      </w:r>
    </w:p>
    <w:p w:rsidR="0031216B" w:rsidRPr="0031216B" w:rsidRDefault="0031216B" w:rsidP="0031216B">
      <w:pPr>
        <w:suppressAutoHyphens/>
        <w:spacing w:after="18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</w:p>
    <w:p w:rsidR="0031216B" w:rsidRPr="0031216B" w:rsidRDefault="0031216B" w:rsidP="0031216B">
      <w:pPr>
        <w:suppressAutoHyphens/>
        <w:spacing w:after="18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16B" w:rsidRPr="0031216B" w:rsidRDefault="0031216B" w:rsidP="0031216B">
      <w:pPr>
        <w:keepNext/>
        <w:keepLines/>
        <w:spacing w:before="240"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21" w:name="_Toc46076528"/>
      <w:r w:rsidRPr="0031216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ПРИЛОЖЕНИЯ</w:t>
      </w:r>
      <w:bookmarkEnd w:id="21"/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51C89" w:rsidRDefault="00351C89" w:rsidP="0031216B">
      <w:pPr>
        <w:spacing w:after="18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1216B" w:rsidRPr="0031216B" w:rsidRDefault="0031216B" w:rsidP="00351C89">
      <w:pPr>
        <w:spacing w:after="18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А</w:t>
      </w:r>
    </w:p>
    <w:p w:rsidR="0031216B" w:rsidRPr="0031216B" w:rsidRDefault="0031216B" w:rsidP="0031216B">
      <w:pPr>
        <w:spacing w:before="360" w:after="36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Общий план аудиторской проверки</w:t>
      </w:r>
    </w:p>
    <w:tbl>
      <w:tblPr>
        <w:tblW w:w="1050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414"/>
        <w:gridCol w:w="1002"/>
        <w:gridCol w:w="1814"/>
        <w:gridCol w:w="1861"/>
        <w:gridCol w:w="1418"/>
      </w:tblGrid>
      <w:tr w:rsidR="0031216B" w:rsidRPr="0031216B" w:rsidTr="0031216B">
        <w:tc>
          <w:tcPr>
            <w:tcW w:w="5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Проверяемая организация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«ГМК «Норильский никель»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Проверяемый период (отчетный)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</w:tr>
      <w:tr w:rsidR="0031216B" w:rsidRPr="0031216B" w:rsidTr="0031216B">
        <w:trPr>
          <w:trHeight w:val="285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Период аудита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06.07.2020 г. — 19.07.2020 г.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Количество человеко-часов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40 чел.-час.</w:t>
            </w:r>
          </w:p>
        </w:tc>
      </w:tr>
      <w:tr w:rsidR="0031216B" w:rsidRPr="0031216B" w:rsidTr="0031216B">
        <w:trPr>
          <w:trHeight w:val="429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Руководитель аудиторской группы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Григорьян И.С.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Состав аудиторской группы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Григорьян И.С.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Планируемый уровень существенности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1 375 533 тыс.р.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Планируемый аудиторский риск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3,3%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Планируемые виды работ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Период проведения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uppressAutoHyphens/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Примечания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 xml:space="preserve">1. Анализ основных финансовых показателей деятельности </w:t>
            </w:r>
            <w:r w:rsidR="00E64635">
              <w:rPr>
                <w:rFonts w:ascii="Times New Roman" w:eastAsia="Times New Roman" w:hAnsi="Times New Roman" w:cs="Times New Roman"/>
                <w:sz w:val="20"/>
              </w:rPr>
              <w:t>ПАО «ГМК «Норильский никель»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6.07.2020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2. Составление общего плана финансового ко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 xml:space="preserve">троля в </w:t>
            </w:r>
            <w:r w:rsidR="00E64635">
              <w:rPr>
                <w:rFonts w:ascii="Times New Roman" w:eastAsia="Times New Roman" w:hAnsi="Times New Roman" w:cs="Times New Roman"/>
                <w:sz w:val="20"/>
              </w:rPr>
              <w:t>ПАО «ГМК «Норильский никель»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3. Аудит общих организационных документов и учетной политики предприятия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4. Аудит учета основных средств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5. Аудит учета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6. Аудит учета материально-производственных запасов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08.07.2020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7. Аудит учета финансовых вложений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09.07.2020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8. Аудит учета расчетов по краткосрочным и долгосрочным активам и обязательствам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10.07.2020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9. Аудит учета расчетов по краткосрочным и долгосрочным кредитам и займам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13.07.2020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10. Аудит учета активов, обязательств и опер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ций в иностранной валюте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14.07.2020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11. Аудит учета денежных средств и их эквив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лентов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15.07.2020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12. Аудит учета доходов и расходов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16.07.2020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13. Аудит учета расчетов по налогам и сборам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14. Составление аудиторского заключения и разработка действий по устранению недостатков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</w:tbl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51C89">
      <w:pPr>
        <w:spacing w:after="18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lastRenderedPageBreak/>
        <w:t>ПРИЛОЖЕНИЕ Б</w:t>
      </w:r>
    </w:p>
    <w:p w:rsidR="0031216B" w:rsidRPr="0031216B" w:rsidRDefault="0031216B" w:rsidP="0031216B">
      <w:pPr>
        <w:spacing w:before="360" w:after="36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>Общий план аудита учета основных средств</w:t>
      </w:r>
    </w:p>
    <w:tbl>
      <w:tblPr>
        <w:tblW w:w="924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096"/>
        <w:gridCol w:w="3147"/>
      </w:tblGrid>
      <w:tr w:rsidR="0031216B" w:rsidRPr="0031216B" w:rsidTr="0031216B">
        <w:trPr>
          <w:trHeight w:val="559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Проверяемая организация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ПАО «ГМК «Норильский никель»</w:t>
            </w:r>
          </w:p>
        </w:tc>
      </w:tr>
      <w:tr w:rsidR="0031216B" w:rsidRPr="0031216B" w:rsidTr="0031216B">
        <w:trPr>
          <w:trHeight w:val="477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Проверяемый период (отчетный)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2019 г.</w:t>
            </w:r>
          </w:p>
        </w:tc>
      </w:tr>
      <w:tr w:rsidR="0031216B" w:rsidRPr="0031216B" w:rsidTr="0031216B">
        <w:trPr>
          <w:trHeight w:val="665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Период аудита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06.07.2020 г. — 19.07.2020 г.</w:t>
            </w:r>
          </w:p>
        </w:tc>
      </w:tr>
      <w:tr w:rsidR="0031216B" w:rsidRPr="0031216B" w:rsidTr="0031216B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человеко-часов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40 чел.-час.</w:t>
            </w:r>
          </w:p>
        </w:tc>
      </w:tr>
      <w:tr w:rsidR="0031216B" w:rsidRPr="0031216B" w:rsidTr="0031216B">
        <w:trPr>
          <w:trHeight w:val="429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Руководитель аудиторской группы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Григорьян И.С.</w:t>
            </w:r>
          </w:p>
        </w:tc>
      </w:tr>
      <w:tr w:rsidR="0031216B" w:rsidRPr="0031216B" w:rsidTr="0031216B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Состав аудиторской группы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Григорьян И.С.</w:t>
            </w:r>
          </w:p>
        </w:tc>
      </w:tr>
      <w:tr w:rsidR="0031216B" w:rsidRPr="0031216B" w:rsidTr="0031216B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Планируемый уровень существенности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1 375 533 тыс. р.</w:t>
            </w:r>
          </w:p>
        </w:tc>
      </w:tr>
      <w:tr w:rsidR="0031216B" w:rsidRPr="0031216B" w:rsidTr="0031216B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Планируемый аудиторский риск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4"/>
                <w:lang w:eastAsia="en-US"/>
              </w:rPr>
              <w:t>3,3%</w:t>
            </w:r>
          </w:p>
        </w:tc>
      </w:tr>
    </w:tbl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92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314"/>
        <w:gridCol w:w="1984"/>
        <w:gridCol w:w="1843"/>
        <w:gridCol w:w="3088"/>
      </w:tblGrid>
      <w:tr w:rsidR="0031216B" w:rsidRPr="0031216B" w:rsidTr="0031216B">
        <w:trPr>
          <w:jc w:val="center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Планируемые виды работ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проведения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Исполнитель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Примечания</w:t>
            </w:r>
          </w:p>
        </w:tc>
      </w:tr>
      <w:tr w:rsidR="0031216B" w:rsidRPr="0031216B" w:rsidTr="0031216B">
        <w:trPr>
          <w:jc w:val="center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1. Аудит наличия и с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хранности основных средств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Григорьян И.С.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</w:t>
            </w:r>
            <w:r w:rsidR="00E64635">
              <w:rPr>
                <w:rFonts w:ascii="Times New Roman" w:eastAsia="Calibri" w:hAnsi="Times New Roman" w:cs="Times New Roman"/>
                <w:sz w:val="20"/>
                <w:lang w:eastAsia="en-US"/>
              </w:rPr>
              <w:t>ПАО «ГМК «Норильский н</w:t>
            </w:r>
            <w:r w:rsidR="00E64635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="00E64635">
              <w:rPr>
                <w:rFonts w:ascii="Times New Roman" w:eastAsia="Calibri" w:hAnsi="Times New Roman" w:cs="Times New Roman"/>
                <w:sz w:val="20"/>
                <w:lang w:eastAsia="en-US"/>
              </w:rPr>
              <w:t>кель»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не происходит регулярной инвентаризации</w:t>
            </w:r>
          </w:p>
        </w:tc>
      </w:tr>
      <w:tr w:rsidR="0031216B" w:rsidRPr="0031216B" w:rsidTr="0031216B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2. Аудит движения о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Григорьян И.С.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—</w:t>
            </w:r>
          </w:p>
        </w:tc>
      </w:tr>
      <w:tr w:rsidR="0031216B" w:rsidRPr="0031216B" w:rsidTr="0031216B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3. Аудит правильности начисления амортиз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Григорьян И.С.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—</w:t>
            </w:r>
          </w:p>
        </w:tc>
      </w:tr>
      <w:tr w:rsidR="0031216B" w:rsidRPr="0031216B" w:rsidTr="0031216B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4. Аудит правильности налогообложения об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ъ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ектов основных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Григорьян И.С.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—</w:t>
            </w:r>
          </w:p>
        </w:tc>
      </w:tr>
      <w:tr w:rsidR="0031216B" w:rsidRPr="0031216B" w:rsidTr="0031216B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spacing w:after="0" w:line="288" w:lineRule="auto"/>
              <w:ind w:left="32"/>
              <w:contextualSpacing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6. Аудит правильности отражения в отчетности информации о стоим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сти основных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spacing w:after="0"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Григорьян И.С.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51C89" w:rsidP="0031216B">
            <w:pPr>
              <w:spacing w:after="0" w:line="288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lang w:eastAsia="en-US"/>
              </w:rPr>
              <w:t>—</w:t>
            </w:r>
          </w:p>
        </w:tc>
      </w:tr>
    </w:tbl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spacing w:after="18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lastRenderedPageBreak/>
        <w:t>ПРИЛОЖЕНИЕ В</w:t>
      </w:r>
    </w:p>
    <w:p w:rsidR="0031216B" w:rsidRPr="0031216B" w:rsidRDefault="0031216B" w:rsidP="0031216B">
      <w:pPr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>Тесты средств контроля учета основных средств в 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206" w:type="dxa"/>
        <w:tblInd w:w="-572" w:type="dxa"/>
        <w:tblLook w:val="04A0"/>
      </w:tblPr>
      <w:tblGrid>
        <w:gridCol w:w="487"/>
        <w:gridCol w:w="5042"/>
        <w:gridCol w:w="567"/>
        <w:gridCol w:w="567"/>
        <w:gridCol w:w="567"/>
        <w:gridCol w:w="2976"/>
      </w:tblGrid>
      <w:tr w:rsidR="0031216B" w:rsidRPr="0031216B" w:rsidTr="0031216B"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Направления и вопросы контроля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31216B" w:rsidRPr="0031216B" w:rsidTr="0031216B"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6B" w:rsidRPr="0031216B" w:rsidTr="0031216B"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2" w:type="dxa"/>
            <w:tcBorders>
              <w:top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Защищены ли помещения складов от доступа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посторонних лиц? Имеется ли охранная пожарная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сигнализация? Контролируется ли выдача 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вывоз ценностей?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Определен ли круг материально-ответственных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лиц, обеспечивающих сохранность ОС?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Оформляются ли результаты инвентаризации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соответствующими документами?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Составляются ли на дату инвентаризации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отчеты материально ответственных лиц?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Инвентаризации проводятся нерегулярно, соответственно, некоторые отчеты отсутствуют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Имеется ли постоянно действующаяинвентаризацио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ная комиссия?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Заключаются ли договора о материальной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ответственности с кладовщиками, заведующими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складами и др.?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Проводятся ли проверки полноты 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своевременности оприходования и ввода в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эксплуатацию ОС?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Применяются ли унифицированные формы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первичной документации?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Выявлены ли расхождения между фактическим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наличием основных средств и учетными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данными?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Отсутствие регулярности и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вентаризаций затрудняет поиск расхождений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Заполняются ли все обязательные реквизиты?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Документы составляются в день совершения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операции?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Имеются ли образцы заполнения документов,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образцы подписей материально ответственных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лиц?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Фиксируются ли документы (счета-фактуры,доверенности) в журналах регистрации?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Все ли операции по движению основных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средств санкционированы?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Применяется ли система нормирования расхода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материалов?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Утверждается ли сверхнормативный расход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администрацией (при использовании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нормативов)?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Выявляются ли лица, виновные в перерасходе?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Обеспечен ли аналитический учет основных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средств?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Прикладываются ли первичные документы к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отчетам материально ответственных лиц?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Сверяются ли данные этих отчетов с данными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первичных документов?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Применяются ли программы автоматизации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 основных средств?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2" w:type="dxa"/>
            <w:tcBorders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Оговорены ли в учетной политике принципы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основных средств (используемые счета,</w:t>
            </w:r>
          </w:p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t>методы оценки и др.)?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180" w:line="36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Г</w:t>
      </w:r>
    </w:p>
    <w:p w:rsidR="0031216B" w:rsidRPr="0031216B" w:rsidRDefault="0031216B" w:rsidP="0031216B">
      <w:pPr>
        <w:tabs>
          <w:tab w:val="left" w:pos="7513"/>
        </w:tabs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Общий план аудита учета нематериальных активов в </w:t>
      </w:r>
      <w:r w:rsidR="00E646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ПАО «ГМК «Норильский никель»</w:t>
      </w:r>
    </w:p>
    <w:tbl>
      <w:tblPr>
        <w:tblW w:w="1031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414"/>
        <w:gridCol w:w="1002"/>
        <w:gridCol w:w="1814"/>
        <w:gridCol w:w="1861"/>
        <w:gridCol w:w="1225"/>
      </w:tblGrid>
      <w:tr w:rsidR="0031216B" w:rsidRPr="0031216B" w:rsidTr="0031216B">
        <w:tc>
          <w:tcPr>
            <w:tcW w:w="5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Проверяемая организация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ПАО «ГМК «Норильский никель»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Проверяемый период (отчетный)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</w:tr>
      <w:tr w:rsidR="0031216B" w:rsidRPr="0031216B" w:rsidTr="0031216B">
        <w:trPr>
          <w:trHeight w:val="285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Период аудита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06.07.2020 г. — 19.07.2020 г.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Количество человеко-часов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40 чел.-час.</w:t>
            </w:r>
          </w:p>
        </w:tc>
      </w:tr>
      <w:tr w:rsidR="0031216B" w:rsidRPr="0031216B" w:rsidTr="0031216B">
        <w:trPr>
          <w:trHeight w:val="429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Руководитель аудиторской группы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Григорьян И.С.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Состав аудиторской группы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Григорьян И.С.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Планируемый уровень существенности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1 375 533 тыс. р.</w:t>
            </w:r>
          </w:p>
        </w:tc>
      </w:tr>
      <w:tr w:rsidR="0031216B" w:rsidRPr="0031216B" w:rsidTr="0031216B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Планируемый аудиторский риск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216B">
              <w:rPr>
                <w:rFonts w:ascii="Times New Roman" w:eastAsia="Times New Roman" w:hAnsi="Times New Roman" w:cs="Times New Roman"/>
                <w:sz w:val="24"/>
              </w:rPr>
              <w:t>3,3%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Планируемые виды работ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Период проведения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Примеч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ния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1. Проверка операций учета поступления и со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31216B">
              <w:rPr>
                <w:rFonts w:ascii="Times New Roman" w:eastAsia="Times New Roman" w:hAnsi="Times New Roman" w:cs="Times New Roman"/>
                <w:sz w:val="20"/>
              </w:rPr>
              <w:t>дания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07.07.2020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2. Проверка учета амортизации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3. Проверка учета выбытия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ahoma" w:eastAsia="Times New Roman" w:hAnsi="Tahoma" w:cs="Times New Roman"/>
                <w:szCs w:val="24"/>
              </w:rPr>
              <w:t>—</w:t>
            </w:r>
          </w:p>
        </w:tc>
      </w:tr>
      <w:tr w:rsidR="0031216B" w:rsidRPr="0031216B" w:rsidTr="0031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4. Проверка правильности налогообложения по нематериальным активам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6B" w:rsidRPr="0031216B" w:rsidRDefault="00E64635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Григорьян И.С.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216B">
              <w:rPr>
                <w:rFonts w:ascii="Times New Roman" w:eastAsia="Times New Roman" w:hAnsi="Times New Roman" w:cs="Times New Roman"/>
                <w:sz w:val="20"/>
              </w:rPr>
              <w:t>—</w:t>
            </w:r>
          </w:p>
        </w:tc>
      </w:tr>
    </w:tbl>
    <w:p w:rsidR="0031216B" w:rsidRPr="0031216B" w:rsidRDefault="0031216B" w:rsidP="0031216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spacing w:after="18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lastRenderedPageBreak/>
        <w:t>ПРИЛОЖЕНИЕ Д</w:t>
      </w:r>
    </w:p>
    <w:p w:rsidR="0031216B" w:rsidRPr="0031216B" w:rsidRDefault="0031216B" w:rsidP="0031216B">
      <w:pPr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>Тесты средств контроля учета нематериальных активов в 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206" w:type="dxa"/>
        <w:tblInd w:w="-572" w:type="dxa"/>
        <w:tblLook w:val="04A0"/>
      </w:tblPr>
      <w:tblGrid>
        <w:gridCol w:w="513"/>
        <w:gridCol w:w="5298"/>
        <w:gridCol w:w="989"/>
        <w:gridCol w:w="990"/>
        <w:gridCol w:w="989"/>
        <w:gridCol w:w="1427"/>
      </w:tblGrid>
      <w:tr w:rsidR="0031216B" w:rsidRPr="0031216B" w:rsidTr="0031216B"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Направления и вопросы контроля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1216B" w:rsidRPr="0031216B" w:rsidTr="0031216B"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Организован ли раздельный синтетический и аналитический учет нематериальных активов?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Применяются ли типовые формы аналитического учета нематериальных активов?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Использует ли предприятие собственные формы аналитического учета?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Все ли объекты нематериальных активов отражены в аналитическом учете?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Имеются ли случаи отнесения объектов нематерёиальных активов к объектам основных средств?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Осуществляется ли инвентаризация нематериальных активов?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Осуществляется ли контроль за нематериальными активами со стороны руководства предприятия?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Правильно ли начисляется амортизация нематериальных активов в целях бухгалтерского и налогового учета?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Используются ли альтернативные способы начисления амортизации по нематериальным активам?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Учитывается ли движение нематериальных активов при начислении амортизации?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Обеспечен ли внутренний контроль за функционированием системы компьютерной обработки учетных данных?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Является ли система автоматизации бухгалтерского учета лицензированной?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Обновляется ли программное обеспечение своевременно?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1216B" w:rsidRPr="0031216B" w:rsidRDefault="0031216B" w:rsidP="0031216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spacing w:after="18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lastRenderedPageBreak/>
        <w:t>ПРИЛОЖЕНИЕ Е</w:t>
      </w:r>
    </w:p>
    <w:p w:rsidR="0031216B" w:rsidRPr="0031216B" w:rsidRDefault="0031216B" w:rsidP="0031216B">
      <w:pPr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Программа аудиторских процедур по существу и проверке учета материально-производственных запасов в 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ь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ский никель»</w:t>
      </w:r>
    </w:p>
    <w:tbl>
      <w:tblPr>
        <w:tblW w:w="10915" w:type="dxa"/>
        <w:tblInd w:w="-1149" w:type="dxa"/>
        <w:tblLook w:val="01E0"/>
      </w:tblPr>
      <w:tblGrid>
        <w:gridCol w:w="3969"/>
        <w:gridCol w:w="1418"/>
        <w:gridCol w:w="123"/>
        <w:gridCol w:w="1719"/>
        <w:gridCol w:w="1701"/>
        <w:gridCol w:w="1985"/>
      </w:tblGrid>
      <w:tr w:rsidR="0031216B" w:rsidRPr="0031216B" w:rsidTr="0031216B">
        <w:tc>
          <w:tcPr>
            <w:tcW w:w="5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Аудируемая организация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16B" w:rsidRPr="0031216B" w:rsidRDefault="00E64635" w:rsidP="0031216B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ПАО «ГМК «Норильский никель»</w:t>
            </w:r>
          </w:p>
        </w:tc>
      </w:tr>
      <w:tr w:rsidR="0031216B" w:rsidRPr="0031216B" w:rsidTr="0031216B">
        <w:tc>
          <w:tcPr>
            <w:tcW w:w="5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аудита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08.07.2020 г.</w:t>
            </w:r>
          </w:p>
        </w:tc>
      </w:tr>
      <w:tr w:rsidR="0031216B" w:rsidRPr="0031216B" w:rsidTr="0031216B">
        <w:tc>
          <w:tcPr>
            <w:tcW w:w="5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аудиторской группы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аудитор — </w:t>
            </w:r>
            <w:r w:rsidR="00E646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Григорьян И.С.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аудиторский</w:t>
            </w:r>
          </w:p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процедур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проведения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Методы получения аудиторских дока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зательств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информации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22" w:name="_Toc478485601"/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Проверка применения декларированных в учетной политике способов ведения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галтерского и налогового учета </w:t>
            </w:r>
            <w:bookmarkEnd w:id="22"/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но-производственных запасов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Учетная политика для целей бухга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л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терского и налог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вого учета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Проверка правильности организации учета материально-производственных з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  <w:vAlign w:val="center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2.1.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Проверка обеспечения контроля за с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хранностью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  <w:vAlign w:val="center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док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складов, разработанные но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 расхода 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риалов, перечень лиц, ответственных за приемку и отпуск материалов, догов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ры о материальной ответственности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2.2.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Сверка данных аналитического учета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 оборотами и остатками по счетам синтет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ческого учета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  <w:vAlign w:val="center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Пересчет 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да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312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ных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Главная книга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2.3.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Сверка данных бухгалтерского учета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br/>
              <w:t>с данными бухгалтерской отчетности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Главная книга,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галтерский баланс, пояснительная з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писка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2.4.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Проверка раскрытия информации в бухгалтерской отчетности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док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Бухгалтерская 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четность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Проверка правильности проведения и учета результатов инвентаризации матер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3.1.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Проверка соблюдения порядка пров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дения инвентаризации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Инвентаризация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политика, приказы о провед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инвентаризации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3.2.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Проверка правильности отражения в бухгалтерском и налоговом учете изли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ков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док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ментов, просл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Материалы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инвентаризации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3.3.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Проверка правильности отражения в бухгалтерском и налоговом учете недостач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Материалы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инвентаризации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4. Проверка операций по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поступлению 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4.1.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Проверка договоров на приобретение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Договоры на прио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ретение материалов: купли-продажи, поставки и пр.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4.2.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Проверка порядка документального оформления операций по поступлению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док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Приходные ордера (форма №М-4)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4.3.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Проверка операций по приобретению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материально-производственных запасов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 плату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порядок оценки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материально-производственных запасов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в при их прио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б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ретении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терского и налог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вого учета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методы учета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для целей бу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галтерского учета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терского и налог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вого учета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порядок применения налоговых вычетов по налогу на добавленную стоимость по приобретенным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материально-производственным запасам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терского и налог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вого учета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 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орядок отражения операций по учету транспортно-заготовительных расходов, связанных с процессом заготовления и до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с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тавки материалов в организацию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 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терского и налог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вого учета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 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орядок учета неотфактурованных 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ставок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 о приемке м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териалов (форма №М-7), ведомость учета неотфактур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поставок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порядок учета материалов в пути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Ведомость учета материалов в пути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4.4.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Проверка полноты оприходования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Договоры на п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ставку материалов, товарно-транспортные 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кладные, счета-фактуры, специф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кации, товарные чеки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операций по выбытию матер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5.1. Проверка договоров на выбытие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Договоры купли-продажи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5.2. Проверка бухгалтерского учета и нал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гообложения операций по выбытию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 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орядок оформления и отражения оп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раций по списанию материалов, отпуще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н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ных для производства общих работ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документов,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Требование-накладная (фо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ма№М-11), акт на списание матери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лов, нормы расхода ГСМ, карточки уч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 автошин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порядок оформления и отражения оп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раций по продаже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документов,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Договоры по купле-продаже матери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лов, накладные на отпуск на сторону (форма №М-15), разрешения руков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дителя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— 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порядок оформления и отражения оп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раций по списанию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материально-производственных запасов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документов,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Акты на списание материалов, 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кладная на внутре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нее перемещение материалов, заявл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виновных лиц, решения суда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 Проверка учета материалов в бухгалт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рии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Первичные учетные документы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по движению 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риалов,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 накопительные в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домости движения материалов, сводная ведомость движения материалов, об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ротные и сальдовые ведомости</w:t>
            </w:r>
          </w:p>
        </w:tc>
      </w:tr>
      <w:tr w:rsidR="0031216B" w:rsidRPr="0031216B" w:rsidTr="00312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7. Проверка операций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по учету материально-производственных запасов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на складах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08.07.2020 г.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31216B" w:rsidRPr="0031216B" w:rsidRDefault="00E64635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Григорьян И.С.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Карточки учета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материалов (форма №М-17), график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документооборота, требование-накладная (форма №М-11), накладные на внутреннее п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ремещение</w:t>
            </w:r>
          </w:p>
        </w:tc>
      </w:tr>
    </w:tbl>
    <w:p w:rsidR="0031216B" w:rsidRPr="0031216B" w:rsidRDefault="0031216B" w:rsidP="0031216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spacing w:after="18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24"/>
          <w:lang w:eastAsia="en-US"/>
        </w:rPr>
        <w:lastRenderedPageBreak/>
        <w:t>ПРИЛОЖЕНИЕ Ж</w:t>
      </w:r>
    </w:p>
    <w:p w:rsidR="0031216B" w:rsidRPr="0031216B" w:rsidRDefault="0031216B" w:rsidP="0031216B">
      <w:pPr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Тесты средств контроля аудита учета материально-производственных запасов в 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W w:w="10491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483"/>
        <w:gridCol w:w="675"/>
        <w:gridCol w:w="2126"/>
        <w:gridCol w:w="1591"/>
        <w:gridCol w:w="1386"/>
      </w:tblGrid>
      <w:tr w:rsidR="0031216B" w:rsidRPr="0031216B" w:rsidTr="0031216B">
        <w:tc>
          <w:tcPr>
            <w:tcW w:w="4230" w:type="dxa"/>
            <w:vMerge w:val="restart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операции</w:t>
            </w:r>
          </w:p>
        </w:tc>
        <w:tc>
          <w:tcPr>
            <w:tcW w:w="11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Вариант</w:t>
            </w:r>
          </w:p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ответа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Запрашиваемый д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кумент</w:t>
            </w:r>
          </w:p>
        </w:tc>
        <w:tc>
          <w:tcPr>
            <w:tcW w:w="15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Степень ри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</w:t>
            </w:r>
          </w:p>
        </w:tc>
      </w:tr>
      <w:tr w:rsidR="0031216B" w:rsidRPr="0031216B" w:rsidTr="0031216B">
        <w:tc>
          <w:tcPr>
            <w:tcW w:w="42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216B" w:rsidRPr="0031216B" w:rsidRDefault="0031216B" w:rsidP="003121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Проверка применения декларированных в учетной политике способов ведения бухгалтерского и налогового учета материалов</w:t>
            </w:r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применения декларированных сп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собов ведения бухгалтерского учета матери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 соответствует положениям учетной пол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тики организации?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Проверка правильности организации учета материалов</w:t>
            </w:r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организации обеспечен контроль за сохра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ностью материалов, предусмотренный пол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жениями нормативных актов?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складов, разработанные нормы расхода материалов, перечень лиц, отве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ственных за приемку и отпуск материалов, договоры о матер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альной ответственн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Руководитель, 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галтер, зав. складом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</w:t>
            </w:r>
          </w:p>
        </w:tc>
      </w:tr>
      <w:tr w:rsidR="0031216B" w:rsidRPr="0031216B" w:rsidTr="0031216B">
        <w:tc>
          <w:tcPr>
            <w:tcW w:w="4230" w:type="dxa"/>
            <w:tcMar>
              <w:top w:w="57" w:type="dxa"/>
              <w:bottom w:w="57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аналитического учета материалов 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Данные синтетического учета материалов 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ответствуют данным бухгалтерской отчетн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Главная книга, об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ротно-сальдовая в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домость, бухгалте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ская отчетность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бухгалтерской отчетности раскрывается информация о материалах, предусмотренная положениями нормативных актов?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Бухгалтерская отче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 xml:space="preserve">Проверка правильности проведения и учета </w:t>
            </w: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результатов инвентаризации материалов</w:t>
            </w:r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проведения инвентаризации товарно-материальных ценностей соответствует пол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Отражение в бухгалтерском и налоговом уч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 излишков материалов,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Проверка операций по поступлению материалов</w:t>
            </w:r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документального оформления опер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ций по поступлению материалов соответств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Договоры на прио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ретение, приходный ордер (форма №М-4), ТТН, счета-фактуры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16B" w:rsidRPr="0031216B" w:rsidTr="0031216B">
        <w:tc>
          <w:tcPr>
            <w:tcW w:w="4230" w:type="dxa"/>
            <w:tcMar>
              <w:top w:w="57" w:type="dxa"/>
              <w:bottom w:w="57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 материалов производится в соответс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tcMar>
              <w:top w:w="57" w:type="dxa"/>
              <w:bottom w:w="57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Учет операций по покупке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материалов соответствует положениям норм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тивных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Учетная политика для целей бухгалтерского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 налогового учета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Учет транспортно-заготовительных расходов, связанных с процессом заготовления и до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тавки материалов в организацию, соответс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tcMar>
              <w:top w:w="0" w:type="dxa"/>
              <w:bottom w:w="0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неотфактурованных поставок соответс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 о приемке 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риалов (форма №М-7), ведомость учета неотфактурованных поставок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операций с материалами, полученными при ликвидации имущества, соответствует положениям нормативных актов?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Накладные на вну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реннее перемещение, акты на списание м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териалов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Проверка операций по выбытию материалов</w:t>
            </w:r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операций по отпуску материалов в пр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изводство соответствует положениям норм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тивных актов?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бухгалтерского и н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логового учета, акты на списание матери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лов, путевые листы, карточки учета авт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шин, акты о полной непригодности авт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шин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операций по продаже материалов соо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Накладная на отпуск на сторону (форма №М-15), счета-фактуры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списания и учет операций по спис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нию материалов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Акты на списание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Комиссия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учета операций по созданию и ра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ходованию резерва под снижение стоимости материальных ценностей соответствует пол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жениям нормативных актов?</w:t>
            </w:r>
          </w:p>
        </w:tc>
        <w:tc>
          <w:tcPr>
            <w:tcW w:w="483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 ли в организации распорядител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документ, содержащий перечень 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риалов, которые могут завозиться транзитом непосредственно в подразделения организ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ции?</w:t>
            </w:r>
          </w:p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руководителя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386" w:type="dxa"/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31216B" w:rsidRPr="0031216B" w:rsidTr="0031216B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</w:tcBorders>
            <w:tcMar>
              <w:top w:w="28" w:type="dxa"/>
            </w:tcMar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Pr="0031216B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роверка учета материалов в бухгалтерии</w:t>
            </w:r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материалов в бухгалтерии соответствует положениям нормативных актов?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Учетная политика, оборотная ведомость движения матери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лов, ведомость расх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 материалов, об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ротная ведомость по материалам, наход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щимся в пути, вед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мости по неотфакт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рованным поставки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бухгалтер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Так как бу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галтерский учет ведется с использ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ванием пр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граммы «1С: Бухгалт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рия», данные регистры заполняются автоматич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</w:t>
            </w:r>
          </w:p>
        </w:tc>
      </w:tr>
      <w:tr w:rsidR="0031216B" w:rsidRPr="0031216B" w:rsidTr="0031216B"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31216B" w:rsidRPr="0031216B" w:rsidRDefault="0031216B" w:rsidP="0031216B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23" w:name="_Toc478485602"/>
            <w:bookmarkStart w:id="24" w:name="_Toc46076529"/>
            <w:r w:rsidRPr="00312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Pr="0031216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роверка операций по учету материалов на складах</w:t>
            </w:r>
            <w:bookmarkEnd w:id="23"/>
            <w:bookmarkEnd w:id="24"/>
          </w:p>
        </w:tc>
      </w:tr>
      <w:tr w:rsidR="0031216B" w:rsidRPr="0031216B" w:rsidTr="0031216B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Учет материалов на складах соответствует положениям нормативных актов?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Карточки учета мат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риалов (форма №М-17), требования-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накладные (форма №М-11), накладные на внутренние пер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мещения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Бухгалтер, Кладовщик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21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низкий</w:t>
            </w: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И</w:t>
      </w:r>
    </w:p>
    <w:p w:rsidR="0031216B" w:rsidRPr="0031216B" w:rsidRDefault="0031216B" w:rsidP="0031216B">
      <w:pPr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>Тесты средств контроля учета финансовых вложений в 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642" w:type="dxa"/>
        <w:tblInd w:w="-1008" w:type="dxa"/>
        <w:tblLook w:val="04A0"/>
      </w:tblPr>
      <w:tblGrid>
        <w:gridCol w:w="567"/>
        <w:gridCol w:w="5685"/>
        <w:gridCol w:w="989"/>
        <w:gridCol w:w="990"/>
        <w:gridCol w:w="989"/>
        <w:gridCol w:w="1422"/>
      </w:tblGrid>
      <w:tr w:rsidR="0031216B" w:rsidRPr="0031216B" w:rsidTr="0031216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Направления и вопросы контроля</w:t>
            </w: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1216B" w:rsidRPr="0031216B" w:rsidTr="0031216B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Автоматизирован ли бухгалтерский учет?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Разработан ли график документооборота по операциям с финансовыми вложениями?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Существуют ли разработанные налоговые регистры для целей расчета налога на прибыль?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tabs>
                <w:tab w:val="left" w:pos="1728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Обеспечена ли надежная сохранность ценных бумаг в местах их хранения?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Есть ли назначенные приказом сотрудники, на которых возложена обязанность ведения учета по финансовым вложениям?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Имеются ли письменные договоры с материально ответственными лицами?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Учет и налогообложение операций по поступлению и выбытию вкладов в уставные капиталы других организаций соответствуют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Предусмотрено ли хранение ценных бумаг в специализированных депозитариях?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Установлены ли сроки проведения инвентаризации финансовых вложений в приказе об учетной политике, и соблюдаются ли эти сроки?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Проводятся ли внеплановые инвентаризации финансовых вложений?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Использует ли организация унифицированные формы инвентаризационных описей?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tabs>
                <w:tab w:val="left" w:pos="1800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Соблюдаются ли правила проведения и оформления инвентаризации финансовых вложений? Имеется ли в организации постоянно действующая инвентаризационная комиссия?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Осуществляется ли проверка ведения учета финансовых вложений бухгалтерской службой, сверяются ли данные первичных учетных документов, журнала учета финансовых вложений?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Проверяет ли главный бухгалтер соответствие данных о наличии и движении финансовых вложений в первичных документах, учетных регистрах и бухгалтерской отчетности?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Все ли финансовые вложения (ценные бумаги и займы), отраженные в бухгалтерской отчетности, принадлежат организации на законных основаниях?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К</w:t>
      </w:r>
    </w:p>
    <w:p w:rsidR="0031216B" w:rsidRPr="0031216B" w:rsidRDefault="0031216B" w:rsidP="0031216B">
      <w:pPr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Тесты средств контроля аудита учета краткосрочных и долгосрочных кредитов и займов в 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31216B" w:rsidRPr="0031216B" w:rsidTr="0031216B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1216B" w:rsidRPr="0031216B" w:rsidTr="0031216B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Договора на выдачу и получение кредитов и займов имеются в наличии и соответствуют требованиям законодательства?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 суммы полученных кредитов в банках и суммы погашения этих кредитов имеются в наличии выписки банков и документы к ним?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Учет и налогообложение операций по договору беспроцентного займа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Учет и налогообложение операций по договору кредита на приобретение материалов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Порядок учета и налогообложения операций по договорам валютного займа и кредита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Учет и налогообложение операций по договорам займа и кредита с валютной оговоркой соответствуют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Учет и налогообложение операций по договору товарного займа (кредита)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Учет и налогообложение операций по договору коммерческого кредита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Инвентаризация расчетов по кредитам и займам производится в соответствии с положениями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Данные аналитического и синтетического учета по счетам 66 "Расчеты по краткосрочным кредитам и займам" и 67 "Расчеты по долгосрочным кредитам и займам" соответствуют данным главной книги и баланса?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Корреспонденция счетов по счетам 66 "Расчеты по краткосрочным займам", 67 "Расчеты по долгосрочным займам" составлена в соответствии с требованиями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Л</w:t>
      </w:r>
    </w:p>
    <w:p w:rsidR="0031216B" w:rsidRPr="0031216B" w:rsidRDefault="0031216B" w:rsidP="0031216B">
      <w:pPr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Тесты средств контроля аудита учета денежных средств и их эквивалентов в 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31216B" w:rsidRPr="0031216B" w:rsidTr="0031216B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1216B" w:rsidRPr="0031216B" w:rsidTr="0031216B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Хранятся ли деньги в несгораемом сейфе?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Имеется ли сигнализация в помещении кассы?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Заключен ли договор с вневедомственной охраной?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Сопровождает ли охрана кассира при получении им денег в банке?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Имеются ли у руководителя вторые ключи от сейфа предприятия?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Инкассируется ли данная организация?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Снимаются ли остатки денежных средств ежедневно?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Проводятся ли внезапные проверки в кассе?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Присутствует ли главный бухгалтер при снятии остатков в кассе?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Проверяет ли отчеты кассира главный бухгалтер?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Регистрируются ли приходные документы в журналах?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Присваивает ли кассир номера приходным и расходным документам денежных средств?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Кроме денежных средств в кассе хранятся ли: бланки облигаций, акций, путевок в д/о, санаторий?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Вся ли сдается в банк выручка поступившая в кассу?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Практикуется ли получение денег от клиента, работников за товары, услуги другими лицами минуя кассира?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Нужны ли две подписи на документах отражающих выдачу денег из кассы?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Сверяет ли бухгалтер данные ведомости по реализации материальных ценностей, работ, услуг с данными денежных средств, поступившими в кассу?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Датируется ли приходные, расходные, кассовые документы в журнале регистрации по дате, указанных в них?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Сдает ли кассир в бухгалтерию ежедневно кассовые отчеты?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М</w:t>
      </w:r>
    </w:p>
    <w:p w:rsidR="0031216B" w:rsidRPr="0031216B" w:rsidRDefault="0031216B" w:rsidP="0031216B">
      <w:pPr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>Тесты средств контроля аудита учета доходов и расходов в 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31216B" w:rsidRPr="0031216B" w:rsidTr="0031216B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1216B" w:rsidRPr="0031216B" w:rsidTr="0031216B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Есть ли на предприятии служба внутреннего контроля?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Есть ли на предприятии взаимозаменяемость?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Проверяется ли финансовая отчетность службой внутреннего контроля до утверждения руководителем?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Формируются и предоставляются ли руководству отчеты службы внутреннего контроля?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Проводятся ли ревизионной комиссией проверки системы учета и финансовой отчетности?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Санкционируются ли расходы, доходы ответственным лицом?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Контролируется ли наличие необходимых документов, подтверждающих расходы, доходы?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Существуют ли на предприятии финансовые доходы?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Осуществлялись ли операции по безвозмездной передаче необоротных активов?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Существуют ли бесплатно полученные необоротные активы?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sectPr w:rsidR="0031216B" w:rsidRPr="0031216B" w:rsidSect="0031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ПРИЛОЖЕНИЕ Н</w:t>
      </w:r>
    </w:p>
    <w:p w:rsidR="0031216B" w:rsidRPr="0031216B" w:rsidRDefault="0031216B" w:rsidP="0031216B">
      <w:pPr>
        <w:suppressAutoHyphens/>
        <w:spacing w:before="360" w:after="360" w:line="360" w:lineRule="auto"/>
        <w:ind w:left="709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1216B">
        <w:rPr>
          <w:rFonts w:ascii="Times New Roman" w:eastAsia="Calibri" w:hAnsi="Times New Roman" w:cs="Times New Roman"/>
          <w:b/>
          <w:bCs/>
          <w:sz w:val="28"/>
          <w:lang w:eastAsia="en-US"/>
        </w:rPr>
        <w:t>Тесты средств контроля аудита учета налогов и сборов в </w:t>
      </w:r>
      <w:r w:rsidR="00E64635">
        <w:rPr>
          <w:rFonts w:ascii="Times New Roman" w:eastAsia="Calibri" w:hAnsi="Times New Roman" w:cs="Times New Roman"/>
          <w:b/>
          <w:bCs/>
          <w:sz w:val="28"/>
          <w:lang w:eastAsia="en-US"/>
        </w:rPr>
        <w:t>ПАО «ГМК «Норильский никель»</w:t>
      </w:r>
    </w:p>
    <w:tbl>
      <w:tblPr>
        <w:tblStyle w:val="ac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31216B" w:rsidRPr="0031216B" w:rsidTr="0031216B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1216B" w:rsidRPr="0031216B" w:rsidTr="0031216B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6B" w:rsidRPr="0031216B" w:rsidTr="0031216B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Имеется ли приказ о назначении ответственного за расчеты по налогам, сборам и страховым взносам?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Компьютеризирован ли учет по расчетам по налогам, сборам и страховым взносам?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Своевременно ли исполняется обязанность предприятия по уплате налогов и сборов?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Верно ли исчисляется налоговая база по уплате налогов и сборов?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Верно ли применяется налоговая ставка по исчислению налога на прибыль организации?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Имеются ли налоговые льготы у аудируемого предприятия?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Имеется ли налоговое освобождение у аудируемого лица?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Имеется ли отсрочка у аудируемого лица?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Имеется ли налоговый кредит у аудируемого лица?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  <w:tr w:rsidR="0031216B" w:rsidRPr="0031216B" w:rsidTr="0031216B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B" w:rsidRPr="0031216B" w:rsidRDefault="0031216B" w:rsidP="0031216B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Имеется ли инвестиционный налоговый кредит у аудируемого лица?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16B" w:rsidRPr="0031216B" w:rsidRDefault="0031216B" w:rsidP="00312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216B">
              <w:rPr>
                <w:rFonts w:ascii="Times New Roman" w:hAnsi="Times New Roman" w:cs="Times New Roman"/>
              </w:rPr>
              <w:t>—</w:t>
            </w:r>
          </w:p>
        </w:tc>
      </w:tr>
    </w:tbl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группы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аудиторской организации</w:t>
      </w:r>
      <w:r w:rsidRPr="003121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64635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Григорьян И.С.</w:t>
      </w:r>
    </w:p>
    <w:p w:rsidR="0031216B" w:rsidRPr="0031216B" w:rsidRDefault="0031216B" w:rsidP="0031216B">
      <w:pPr>
        <w:tabs>
          <w:tab w:val="left" w:pos="751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25" w:name="_GoBack"/>
      <w:bookmarkEnd w:id="25"/>
    </w:p>
    <w:p w:rsidR="0031216B" w:rsidRDefault="0031216B"/>
    <w:sectPr w:rsidR="0031216B" w:rsidSect="0031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B7" w:rsidRDefault="00250DB7">
      <w:pPr>
        <w:spacing w:after="0" w:line="240" w:lineRule="auto"/>
      </w:pPr>
      <w:r>
        <w:separator/>
      </w:r>
    </w:p>
  </w:endnote>
  <w:endnote w:type="continuationSeparator" w:id="1">
    <w:p w:rsidR="00250DB7" w:rsidRDefault="002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202777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:rsidR="00160BB0" w:rsidRPr="002764E5" w:rsidRDefault="00B63575">
        <w:pPr>
          <w:pStyle w:val="aa"/>
          <w:jc w:val="center"/>
          <w:rPr>
            <w:sz w:val="24"/>
            <w:szCs w:val="20"/>
          </w:rPr>
        </w:pPr>
        <w:r w:rsidRPr="002764E5">
          <w:rPr>
            <w:sz w:val="24"/>
            <w:szCs w:val="20"/>
          </w:rPr>
          <w:fldChar w:fldCharType="begin"/>
        </w:r>
        <w:r w:rsidR="00160BB0" w:rsidRPr="002764E5">
          <w:rPr>
            <w:sz w:val="24"/>
            <w:szCs w:val="20"/>
          </w:rPr>
          <w:instrText>PAGE   \* MERGEFORMAT</w:instrText>
        </w:r>
        <w:r w:rsidRPr="002764E5">
          <w:rPr>
            <w:sz w:val="24"/>
            <w:szCs w:val="20"/>
          </w:rPr>
          <w:fldChar w:fldCharType="separate"/>
        </w:r>
        <w:r w:rsidR="00DA68C1">
          <w:rPr>
            <w:noProof/>
            <w:sz w:val="24"/>
            <w:szCs w:val="20"/>
          </w:rPr>
          <w:t>9</w:t>
        </w:r>
        <w:r w:rsidRPr="002764E5">
          <w:rPr>
            <w:sz w:val="24"/>
            <w:szCs w:val="20"/>
          </w:rPr>
          <w:fldChar w:fldCharType="end"/>
        </w:r>
      </w:p>
    </w:sdtContent>
  </w:sdt>
  <w:p w:rsidR="00160BB0" w:rsidRDefault="00160B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B7" w:rsidRDefault="00250DB7">
      <w:pPr>
        <w:spacing w:after="0" w:line="240" w:lineRule="auto"/>
      </w:pPr>
      <w:r>
        <w:separator/>
      </w:r>
    </w:p>
  </w:footnote>
  <w:footnote w:type="continuationSeparator" w:id="1">
    <w:p w:rsidR="00250DB7" w:rsidRDefault="0025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53"/>
    <w:multiLevelType w:val="hybridMultilevel"/>
    <w:tmpl w:val="697ADFC6"/>
    <w:lvl w:ilvl="0" w:tplc="C26E7D1A">
      <w:start w:val="1"/>
      <w:numFmt w:val="bullet"/>
      <w:suff w:val="space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D1E06"/>
    <w:multiLevelType w:val="multilevel"/>
    <w:tmpl w:val="EF5C361A"/>
    <w:lvl w:ilvl="0">
      <w:start w:val="2"/>
      <w:numFmt w:val="decimal"/>
      <w:lvlText w:val="%1"/>
      <w:lvlJc w:val="left"/>
      <w:pPr>
        <w:ind w:left="1578" w:hanging="552"/>
      </w:pPr>
      <w:rPr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78" w:hanging="552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8" w:hanging="5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8"/>
      <w:numFmt w:val="bullet"/>
      <w:lvlText w:val="—"/>
      <w:lvlJc w:val="left"/>
      <w:pPr>
        <w:ind w:left="1720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422" w:hanging="1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1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3" w:hanging="1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24" w:hanging="1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4" w:hanging="142"/>
      </w:pPr>
      <w:rPr>
        <w:lang w:val="ru-RU" w:eastAsia="ru-RU" w:bidi="ru-RU"/>
      </w:rPr>
    </w:lvl>
  </w:abstractNum>
  <w:abstractNum w:abstractNumId="2">
    <w:nsid w:val="04BA151F"/>
    <w:multiLevelType w:val="hybridMultilevel"/>
    <w:tmpl w:val="10DAE67A"/>
    <w:lvl w:ilvl="0" w:tplc="73667F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A76"/>
    <w:multiLevelType w:val="hybridMultilevel"/>
    <w:tmpl w:val="8F32EFBC"/>
    <w:lvl w:ilvl="0" w:tplc="7598D7F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355BA"/>
    <w:multiLevelType w:val="multilevel"/>
    <w:tmpl w:val="66A8A1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E0265"/>
    <w:multiLevelType w:val="hybridMultilevel"/>
    <w:tmpl w:val="961E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489"/>
    <w:multiLevelType w:val="multilevel"/>
    <w:tmpl w:val="00D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004C9"/>
    <w:multiLevelType w:val="hybridMultilevel"/>
    <w:tmpl w:val="92184BFE"/>
    <w:lvl w:ilvl="0" w:tplc="73667F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6270A6"/>
    <w:multiLevelType w:val="hybridMultilevel"/>
    <w:tmpl w:val="42FC5324"/>
    <w:lvl w:ilvl="0" w:tplc="63949AC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A063D1"/>
    <w:multiLevelType w:val="hybridMultilevel"/>
    <w:tmpl w:val="1E7AA38A"/>
    <w:lvl w:ilvl="0" w:tplc="C01C77F4">
      <w:start w:val="1"/>
      <w:numFmt w:val="bullet"/>
      <w:suff w:val="space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179DA"/>
    <w:multiLevelType w:val="hybridMultilevel"/>
    <w:tmpl w:val="D728C378"/>
    <w:lvl w:ilvl="0" w:tplc="73667F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9466DC"/>
    <w:multiLevelType w:val="hybridMultilevel"/>
    <w:tmpl w:val="8EDAA94C"/>
    <w:lvl w:ilvl="0" w:tplc="73667F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9103CA"/>
    <w:multiLevelType w:val="hybridMultilevel"/>
    <w:tmpl w:val="70FA9C3E"/>
    <w:lvl w:ilvl="0" w:tplc="A698A858">
      <w:start w:val="8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359CA"/>
    <w:multiLevelType w:val="hybridMultilevel"/>
    <w:tmpl w:val="DD8CC8A0"/>
    <w:lvl w:ilvl="0" w:tplc="A698A858">
      <w:start w:val="8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1A7DCA"/>
    <w:multiLevelType w:val="hybridMultilevel"/>
    <w:tmpl w:val="E3526CBE"/>
    <w:lvl w:ilvl="0" w:tplc="A698A858">
      <w:start w:val="8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5351C1"/>
    <w:multiLevelType w:val="hybridMultilevel"/>
    <w:tmpl w:val="5A1E8780"/>
    <w:lvl w:ilvl="0" w:tplc="9BB627B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317D0A"/>
    <w:multiLevelType w:val="hybridMultilevel"/>
    <w:tmpl w:val="64CAEDBE"/>
    <w:lvl w:ilvl="0" w:tplc="4B960D18">
      <w:start w:val="1"/>
      <w:numFmt w:val="bullet"/>
      <w:suff w:val="space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5575D0"/>
    <w:multiLevelType w:val="hybridMultilevel"/>
    <w:tmpl w:val="020AA72C"/>
    <w:lvl w:ilvl="0" w:tplc="9BB627BC">
      <w:start w:val="1"/>
      <w:numFmt w:val="bullet"/>
      <w:suff w:val="space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0C40A4"/>
    <w:multiLevelType w:val="hybridMultilevel"/>
    <w:tmpl w:val="462A2724"/>
    <w:lvl w:ilvl="0" w:tplc="C26E7D1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796CD6"/>
    <w:multiLevelType w:val="multilevel"/>
    <w:tmpl w:val="29A042DC"/>
    <w:lvl w:ilvl="0">
      <w:start w:val="2"/>
      <w:numFmt w:val="decimal"/>
      <w:lvlText w:val="%1"/>
      <w:lvlJc w:val="left"/>
      <w:pPr>
        <w:ind w:left="1579" w:hanging="570"/>
      </w:pPr>
      <w:rPr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579" w:hanging="570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9" w:hanging="5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8"/>
      <w:numFmt w:val="bullet"/>
      <w:lvlText w:val="—"/>
      <w:lvlJc w:val="left"/>
      <w:pPr>
        <w:ind w:left="1720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422" w:hanging="1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1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3" w:hanging="1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24" w:hanging="1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4" w:hanging="142"/>
      </w:pPr>
      <w:rPr>
        <w:lang w:val="ru-RU" w:eastAsia="ru-RU" w:bidi="ru-RU"/>
      </w:rPr>
    </w:lvl>
  </w:abstractNum>
  <w:abstractNum w:abstractNumId="20">
    <w:nsid w:val="6EDB17A1"/>
    <w:multiLevelType w:val="multilevel"/>
    <w:tmpl w:val="66A8A1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650B6"/>
    <w:multiLevelType w:val="hybridMultilevel"/>
    <w:tmpl w:val="30A0C788"/>
    <w:lvl w:ilvl="0" w:tplc="1D40765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536BE9"/>
    <w:multiLevelType w:val="hybridMultilevel"/>
    <w:tmpl w:val="559CC7CA"/>
    <w:lvl w:ilvl="0" w:tplc="49849D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B41C6"/>
    <w:multiLevelType w:val="hybridMultilevel"/>
    <w:tmpl w:val="0654FEA6"/>
    <w:lvl w:ilvl="0" w:tplc="14D697A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22"/>
  </w:num>
  <w:num w:numId="10">
    <w:abstractNumId w:val="7"/>
  </w:num>
  <w:num w:numId="11">
    <w:abstractNumId w:val="21"/>
  </w:num>
  <w:num w:numId="12">
    <w:abstractNumId w:val="10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11"/>
  </w:num>
  <w:num w:numId="18">
    <w:abstractNumId w:val="16"/>
  </w:num>
  <w:num w:numId="19">
    <w:abstractNumId w:val="6"/>
  </w:num>
  <w:num w:numId="20">
    <w:abstractNumId w:val="20"/>
  </w:num>
  <w:num w:numId="21">
    <w:abstractNumId w:val="4"/>
  </w:num>
  <w:num w:numId="22">
    <w:abstractNumId w:val="23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16B"/>
    <w:rsid w:val="00013932"/>
    <w:rsid w:val="00160BB0"/>
    <w:rsid w:val="00162265"/>
    <w:rsid w:val="001A67F7"/>
    <w:rsid w:val="00250DB7"/>
    <w:rsid w:val="0025653B"/>
    <w:rsid w:val="002B3359"/>
    <w:rsid w:val="0031216B"/>
    <w:rsid w:val="00351C89"/>
    <w:rsid w:val="00724E6A"/>
    <w:rsid w:val="00767FFB"/>
    <w:rsid w:val="00B63575"/>
    <w:rsid w:val="00BD3324"/>
    <w:rsid w:val="00BF709E"/>
    <w:rsid w:val="00D74D81"/>
    <w:rsid w:val="00D80823"/>
    <w:rsid w:val="00D877E6"/>
    <w:rsid w:val="00DA68C1"/>
    <w:rsid w:val="00E64635"/>
    <w:rsid w:val="00E81A1F"/>
    <w:rsid w:val="00F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2"/>
  </w:style>
  <w:style w:type="paragraph" w:styleId="1">
    <w:name w:val="heading 1"/>
    <w:basedOn w:val="a"/>
    <w:next w:val="a"/>
    <w:link w:val="11"/>
    <w:uiPriority w:val="9"/>
    <w:qFormat/>
    <w:rsid w:val="00312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16B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16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1216B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1216B"/>
    <w:pPr>
      <w:suppressAutoHyphens/>
      <w:spacing w:before="360" w:after="36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1216B"/>
    <w:pPr>
      <w:keepNext/>
      <w:keepLines/>
      <w:spacing w:before="40" w:after="0" w:line="360" w:lineRule="auto"/>
      <w:ind w:firstLine="709"/>
      <w:contextualSpacing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1216B"/>
  </w:style>
  <w:style w:type="character" w:customStyle="1" w:styleId="10">
    <w:name w:val="Заголовок 1 Знак"/>
    <w:basedOn w:val="a0"/>
    <w:link w:val="110"/>
    <w:uiPriority w:val="9"/>
    <w:rsid w:val="0031216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16B"/>
    <w:rPr>
      <w:rFonts w:ascii="Times New Roman" w:eastAsia="Times New Roman" w:hAnsi="Times New Roman" w:cs="Times New Roman"/>
      <w:b/>
      <w:sz w:val="28"/>
      <w:szCs w:val="26"/>
    </w:rPr>
  </w:style>
  <w:style w:type="character" w:styleId="a3">
    <w:name w:val="Placeholder Text"/>
    <w:basedOn w:val="a0"/>
    <w:uiPriority w:val="99"/>
    <w:semiHidden/>
    <w:rsid w:val="0031216B"/>
    <w:rPr>
      <w:color w:val="808080"/>
    </w:rPr>
  </w:style>
  <w:style w:type="paragraph" w:customStyle="1" w:styleId="Style17">
    <w:name w:val="Style17"/>
    <w:basedOn w:val="a"/>
    <w:rsid w:val="0031216B"/>
    <w:pPr>
      <w:widowControl w:val="0"/>
      <w:autoSpaceDE w:val="0"/>
      <w:autoSpaceDN w:val="0"/>
      <w:adjustRightInd w:val="0"/>
      <w:spacing w:after="0" w:line="226" w:lineRule="exact"/>
      <w:ind w:firstLine="3058"/>
      <w:contextualSpacing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FontStyle25">
    <w:name w:val="Font Style25"/>
    <w:rsid w:val="0031216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4">
    <w:name w:val="Обычный (веб) Знак"/>
    <w:link w:val="a5"/>
    <w:locked/>
    <w:rsid w:val="003121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nhideWhenUsed/>
    <w:rsid w:val="0031216B"/>
    <w:pPr>
      <w:spacing w:after="295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216B"/>
    <w:pPr>
      <w:spacing w:after="0" w:line="240" w:lineRule="auto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312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216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12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1216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31216B"/>
    <w:pPr>
      <w:tabs>
        <w:tab w:val="right" w:leader="dot" w:pos="9345"/>
      </w:tabs>
      <w:spacing w:after="100" w:line="360" w:lineRule="auto"/>
      <w:ind w:left="993" w:hanging="284"/>
      <w:contextualSpacing/>
    </w:pPr>
    <w:rPr>
      <w:rFonts w:ascii="Times New Roman" w:eastAsia="Calibri" w:hAnsi="Times New Roman" w:cs="Times New Roman"/>
      <w:noProof/>
      <w:sz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31216B"/>
    <w:pPr>
      <w:tabs>
        <w:tab w:val="right" w:leader="dot" w:pos="9345"/>
      </w:tabs>
      <w:spacing w:after="0" w:line="360" w:lineRule="auto"/>
      <w:ind w:left="1418" w:hanging="425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14">
    <w:name w:val="Гиперссылка1"/>
    <w:basedOn w:val="a0"/>
    <w:uiPriority w:val="99"/>
    <w:unhideWhenUsed/>
    <w:rsid w:val="0031216B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1216B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216B"/>
    <w:rPr>
      <w:rFonts w:ascii="Times New Roman" w:eastAsia="Calibri" w:hAnsi="Times New Roman"/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31216B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1216B"/>
    <w:rPr>
      <w:rFonts w:ascii="Times New Roman" w:eastAsia="Calibri" w:hAnsi="Times New Roman"/>
      <w:sz w:val="28"/>
      <w:lang w:eastAsia="en-US"/>
    </w:rPr>
  </w:style>
  <w:style w:type="table" w:styleId="ac">
    <w:name w:val="Table Grid"/>
    <w:basedOn w:val="a1"/>
    <w:uiPriority w:val="39"/>
    <w:rsid w:val="003121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1216B"/>
  </w:style>
  <w:style w:type="character" w:styleId="ad">
    <w:name w:val="Strong"/>
    <w:qFormat/>
    <w:rsid w:val="0031216B"/>
    <w:rPr>
      <w:b/>
      <w:bCs/>
    </w:rPr>
  </w:style>
  <w:style w:type="paragraph" w:customStyle="1" w:styleId="kurs">
    <w:name w:val="kurs"/>
    <w:basedOn w:val="a"/>
    <w:rsid w:val="0031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31216B"/>
    <w:pPr>
      <w:tabs>
        <w:tab w:val="right" w:leader="dot" w:pos="9345"/>
      </w:tabs>
      <w:spacing w:after="100" w:line="360" w:lineRule="auto"/>
      <w:ind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1216B"/>
    <w:rPr>
      <w:color w:val="605E5C"/>
      <w:shd w:val="clear" w:color="auto" w:fill="E1DFDD"/>
    </w:rPr>
  </w:style>
  <w:style w:type="paragraph" w:customStyle="1" w:styleId="15">
    <w:name w:val="Текст выноски1"/>
    <w:basedOn w:val="a"/>
    <w:next w:val="ae"/>
    <w:link w:val="af"/>
    <w:uiPriority w:val="99"/>
    <w:semiHidden/>
    <w:unhideWhenUsed/>
    <w:rsid w:val="0031216B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5"/>
    <w:uiPriority w:val="99"/>
    <w:semiHidden/>
    <w:rsid w:val="0031216B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31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3121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31216B"/>
    <w:rPr>
      <w:color w:val="0000FF" w:themeColor="hyperlink"/>
      <w:u w:val="single"/>
    </w:rPr>
  </w:style>
  <w:style w:type="paragraph" w:styleId="ae">
    <w:name w:val="Balloon Text"/>
    <w:basedOn w:val="a"/>
    <w:link w:val="16"/>
    <w:uiPriority w:val="99"/>
    <w:semiHidden/>
    <w:unhideWhenUsed/>
    <w:rsid w:val="0031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31216B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2B3359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160BB0"/>
  </w:style>
  <w:style w:type="paragraph" w:customStyle="1" w:styleId="af3">
    <w:name w:val="Таблица"/>
    <w:basedOn w:val="a5"/>
    <w:qFormat/>
    <w:rsid w:val="00160BB0"/>
    <w:pPr>
      <w:widowControl w:val="0"/>
      <w:shd w:val="clear" w:color="auto" w:fill="FFFFFF"/>
      <w:spacing w:after="0" w:line="288" w:lineRule="auto"/>
      <w:ind w:firstLine="0"/>
      <w:contextualSpacing w:val="0"/>
      <w:jc w:val="left"/>
    </w:pPr>
    <w:rPr>
      <w:rFonts w:cs="Open Sans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9A%D1%80%D0%B0%D1%81%D0%BD%D0%BE%D1%8F%D1%80%D1%81%D0%BA%D0%B8%D0%B9_%D0%B7%D0%B0%D0%B2%D0%BE%D0%B4_%D0%BF%D0%BE_%D0%BE%D0%B1%D1%80%D0%B0%D0%B1%D0%BE%D1%82%D0%BA%D0%B5_%D1%86%D0%B2%D0%B5%D1%82%D0%BD%D1%8B%D1%85_%D0%BC%D0%B5%D1%82%D0%B0%D0%BB%D0%BB%D0%BE%D0%B2&amp;action=edit&amp;redlink=1" TargetMode="External"/><Relationship Id="rId18" Type="http://schemas.openxmlformats.org/officeDocument/2006/relationships/hyperlink" Target="https://ru.wikipedia.org/wiki/%D0%9A%D1%80%D0%B0%D1%81%D0%BD%D0%BE%D1%8F%D1%80%D1%81%D0%BA%D0%B8%D0%B9_%D1%80%D0%B5%D1%87%D0%BD%D0%BE%D0%B9_%D0%BF%D0%BE%D1%80%D1%82" TargetMode="External"/><Relationship Id="rId26" Type="http://schemas.openxmlformats.org/officeDocument/2006/relationships/hyperlink" Target="https://ru.wikipedia.org/w/index.php?title=%D0%A2%D0%B0%D0%B9%D0%BC%D1%8B%D1%80%D0%B3%D0%B0%D0%B7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A%D1%80%D0%B0%D1%81%D0%BD%D0%BE%D1%8F%D1%80%D1%81%D0%BA%D0%B8%D0%B9_%D0%B7%D0%B0%D0%B2%D0%BE%D0%B4_%D1%86%D0%B2%D0%B5%D1%82%D0%BD%D1%8B%D1%85_%D0%BC%D0%B5%D1%82%D0%B0%D0%BB%D0%BB%D0%BE%D0%B2_%D0%B8%D0%BC%D0%B5%D0%BD%D0%B8_%D0%92._%D0%9D._%D0%93%D1%83%D0%BB%D0%B8%D0%B4%D0%BE%D0%B2%D0%B0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E%D0%BB%D0%B5%D0%BD%D0%B5%D0%B3%D0%BE%D1%80%D1%81%D0%BA%D0%B8%D0%B9_%D0%BC%D0%B5%D1%85%D0%B0%D0%BD%D0%B8%D1%87%D0%B5%D1%81%D0%BA%D0%B8%D0%B9_%D0%B7%D0%B0%D0%B2%D0%BE%D0%B4&amp;action=edit&amp;redlink=1" TargetMode="External"/><Relationship Id="rId17" Type="http://schemas.openxmlformats.org/officeDocument/2006/relationships/hyperlink" Target="https://ru.wikipedia.org/wiki/%D0%95%D0%BD%D0%B8%D1%81%D0%B5%D0%B9%D1%81%D0%BA%D0%BE%D0%B5_%D1%80%D0%B5%D1%87%D0%BD%D0%BE%D0%B5_%D0%BF%D0%B0%D1%80%D0%BE%D1%85%D0%BE%D0%B4%D1%81%D1%82%D0%B2%D0%BE" TargetMode="External"/><Relationship Id="rId25" Type="http://schemas.openxmlformats.org/officeDocument/2006/relationships/hyperlink" Target="https://ru.wikipedia.org/w/index.php?title=%D0%9D%D0%BE%D1%80%D0%B8%D0%BB%D1%8C%D1%81%D0%BA%D0%B3%D0%B0%D0%B7%D0%BF%D1%80%D0%BE%D0%B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NordStar" TargetMode="External"/><Relationship Id="rId20" Type="http://schemas.openxmlformats.org/officeDocument/2006/relationships/hyperlink" Target="https://ru.wikipedia.org/wiki/%D0%9A%D0%BE%D0%BB%D1%8C%D1%81%D0%BA%D0%B0%D1%8F_%D0%B3%D0%BE%D1%80%D0%BD%D0%BE-%D0%BC%D0%B5%D1%82%D0%B0%D0%BB%D0%BB%D1%83%D1%80%D0%B3%D0%B8%D1%87%D0%B5%D1%81%D0%BA%D0%B0%D1%8F_%D0%BA%D0%BE%D0%BC%D0%BF%D0%B0%D0%BD%D0%B8%D1%8F" TargetMode="External"/><Relationship Id="rId29" Type="http://schemas.openxmlformats.org/officeDocument/2006/relationships/hyperlink" Target="https://ru.wikipedia.org/wiki/%D0%9D%D0%BE%D1%80%D0%B8%D0%BB%D1%8C%D1%81%D0%BA%D0%BE-%D0%A2%D0%B0%D0%B9%D0%BC%D1%8B%D1%80%D1%81%D0%BA%D0%B0%D1%8F_%D1%8D%D0%BD%D0%B5%D1%80%D0%B3%D0%B5%D1%82%D0%B8%D1%87%D0%B5%D1%81%D0%BA%D0%B0%D1%8F_%D0%BA%D0%BE%D0%BC%D0%BF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1%D0%B5%D0%B2%D0%B5%D1%80%D0%BE%D0%BD%D0%B8%D0%BA%D0%B5%D0%BB%D1%8C&amp;action=edit&amp;redlink=1" TargetMode="External"/><Relationship Id="rId24" Type="http://schemas.openxmlformats.org/officeDocument/2006/relationships/hyperlink" Target="https://ru.wikipedia.org/wiki/%D0%A6%D0%A1%D0%9A%D0%90_(%D0%B1%D0%B0%D1%81%D0%BA%D0%B5%D1%82%D0%B1%D0%BE%D0%BB%D1%8C%D0%BD%D1%8B%D0%B9_%D0%BA%D0%BB%D1%83%D0%B1,_%D0%9C%D0%BE%D1%81%D0%BA%D0%B2%D0%B0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23" Type="http://schemas.openxmlformats.org/officeDocument/2006/relationships/hyperlink" Target="https://ru.wikipedia.org/wiki/%D0%9D%D0%BE%D1%80%D0%B8%D0%BB%D1%8C%D1%81%D0%BA%D0%B8%D0%B9_%D0%BD%D0%B8%D0%BA%D0%B5%D0%BB%D1%8C_(%D0%BC%D0%B8%D0%BD%D0%B8-%D1%84%D1%83%D1%82%D0%B1%D0%BE%D0%BB%D1%8C%D0%BD%D1%8B%D0%B9_%D0%BA%D0%BB%D1%83%D0%B1)" TargetMode="External"/><Relationship Id="rId28" Type="http://schemas.openxmlformats.org/officeDocument/2006/relationships/hyperlink" Target="https://ru.wikipedia.org/w/index.php?title=%D0%97%D0%B0%D0%BF%D0%BE%D0%BB%D1%8F%D1%80%D1%8C%D0%B5_(%D1%81%D0%B0%D0%BD%D0%B0%D1%82%D0%BE%D1%80%D0%B8%D0%B9)&amp;action=edit&amp;redlink=1" TargetMode="External"/><Relationship Id="rId10" Type="http://schemas.openxmlformats.org/officeDocument/2006/relationships/hyperlink" Target="https://ru.wikipedia.org/wiki/%D0%9F%D0%B5%D1%87%D0%B5%D0%BD%D0%B3%D0%B0%D0%BD%D0%B8%D0%BA%D0%B5%D0%BB%D1%8C" TargetMode="External"/><Relationship Id="rId19" Type="http://schemas.openxmlformats.org/officeDocument/2006/relationships/hyperlink" Target="https://ru.wikipedia.org/wiki/%D0%93%D0%B8%D0%BF%D1%80%D0%BE%D0%BD%D0%B8%D0%BA%D0%B5%D0%BB%D1%8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1%80%D0%B8%D0%BB%D1%8C%D1%81%D0%BA%D0%B8%D0%B9_%D0%B3%D0%BE%D1%80%D0%BD%D0%BE-%D0%BC%D0%B5%D1%82%D0%B0%D0%BB%D0%BB%D1%83%D1%80%D0%B3%D0%B8%D1%87%D0%B5%D1%81%D0%BA%D0%B8%D0%B9_%D0%BA%D0%BE%D0%BC%D0%B1%D0%B8%D0%BD%D0%B0%D1%82_%D0%B8%D0%BC%D0%B5%D0%BD%D0%B8_%D0%90._%D0%9F._%D0%97%D0%B0%D0%B2%D0%B5%D0%BD%D1%8F%D0%B3%D0%B8%D0%BD%D0%B0" TargetMode="External"/><Relationship Id="rId14" Type="http://schemas.openxmlformats.org/officeDocument/2006/relationships/hyperlink" Target="https://ru.wikipedia.org/wiki/%D0%93%D0%B8%D0%BF%D1%80%D0%BE%D0%BD%D0%B8%D0%BA%D0%B5%D0%BB%D1%8C" TargetMode="External"/><Relationship Id="rId22" Type="http://schemas.openxmlformats.org/officeDocument/2006/relationships/hyperlink" Target="https://ru.wikipedia.org/w/index.php?title=%D0%9D%D0%BE%D1%80%D0%B8%D0%BB%D1%8C%D1%81%D0%BA%D0%B3%D0%B5%D0%BE%D0%BB%D0%BE%D0%B3%D0%B8%D1%8F&amp;action=edit&amp;redlink=1" TargetMode="External"/><Relationship Id="rId27" Type="http://schemas.openxmlformats.org/officeDocument/2006/relationships/hyperlink" Target="https://ru.wikipedia.org/w/index.php?title=%D0%A2%D0%B0%D0%B9%D0%BC%D1%8B%D1%80%D1%81%D0%BA%D0%B0%D1%8F_%D1%82%D0%BE%D0%BF%D0%BB%D0%B8%D0%B2%D0%BD%D0%B0%D1%8F_%D0%BA%D0%BE%D0%BC%D0%BF%D0%B0%D0%BD%D0%B8%D1%8F&amp;action=edit&amp;redlink=1" TargetMode="External"/><Relationship Id="rId30" Type="http://schemas.openxmlformats.org/officeDocument/2006/relationships/hyperlink" Target="https://ru.wikipedia.org/w/index.php?title=%D0%A2%D0%B0%D0%B9%D0%BC%D1%8B%D1%80%D1%8D%D0%BD%D0%B5%D1%80%D0%B3%D0%B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5621-543C-4155-B43C-3BAF6DA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16364</Words>
  <Characters>93281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8</cp:revision>
  <dcterms:created xsi:type="dcterms:W3CDTF">2021-05-25T10:46:00Z</dcterms:created>
  <dcterms:modified xsi:type="dcterms:W3CDTF">2021-05-25T11:02:00Z</dcterms:modified>
</cp:coreProperties>
</file>