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B3" w:rsidRPr="00B82E69" w:rsidRDefault="001A01B3" w:rsidP="001A01B3">
      <w:pPr>
        <w:autoSpaceDE w:val="0"/>
        <w:spacing w:before="67" w:after="0" w:line="240" w:lineRule="auto"/>
        <w:jc w:val="center"/>
        <w:rPr>
          <w:rFonts w:ascii="Calibri" w:eastAsia="Calibri" w:hAnsi="Calibri" w:cs="Times New Roman"/>
        </w:rPr>
      </w:pPr>
    </w:p>
    <w:sdt>
      <w:sdtPr>
        <w:rPr>
          <w:rFonts w:ascii="Calibri" w:eastAsia="Calibri" w:hAnsi="Calibri" w:cs="Times New Roman"/>
        </w:rPr>
        <w:id w:val="196046973"/>
        <w:docPartObj>
          <w:docPartGallery w:val="Cover Pages"/>
          <w:docPartUnique/>
        </w:docPartObj>
      </w:sdtPr>
      <w:sdtEndPr>
        <w:rPr>
          <w:sz w:val="28"/>
          <w:szCs w:val="28"/>
        </w:rPr>
      </w:sdtEndPr>
      <w:sdtContent>
        <w:p w:rsidR="001A01B3" w:rsidRPr="00B82E69" w:rsidRDefault="001A01B3" w:rsidP="001A01B3">
          <w:pPr>
            <w:spacing w:after="0" w:line="240" w:lineRule="auto"/>
            <w:jc w:val="center"/>
            <w:rPr>
              <w:rFonts w:ascii="Times New Roman" w:eastAsia="Times New Roman" w:hAnsi="Times New Roman" w:cs="Times New Roman"/>
              <w:sz w:val="24"/>
              <w:szCs w:val="24"/>
              <w:lang w:eastAsia="ru-RU"/>
            </w:rPr>
          </w:pPr>
          <w:r w:rsidRPr="00B82E69">
            <w:rPr>
              <w:rFonts w:ascii="Times New Roman" w:eastAsia="Times New Roman" w:hAnsi="Times New Roman" w:cs="Times New Roman"/>
              <w:sz w:val="24"/>
              <w:szCs w:val="24"/>
              <w:lang w:eastAsia="ru-RU"/>
            </w:rPr>
            <w:t>МИНИСТЕРСТВО</w:t>
          </w:r>
          <w:r w:rsidR="004277F2">
            <w:rPr>
              <w:rFonts w:ascii="Times New Roman" w:eastAsia="Times New Roman" w:hAnsi="Times New Roman" w:cs="Times New Roman"/>
              <w:sz w:val="24"/>
              <w:szCs w:val="24"/>
              <w:lang w:eastAsia="ru-RU"/>
            </w:rPr>
            <w:t xml:space="preserve"> НАУКИ И ВЫСШЕГО</w:t>
          </w:r>
          <w:r w:rsidRPr="00B82E69">
            <w:rPr>
              <w:rFonts w:ascii="Times New Roman" w:eastAsia="Times New Roman" w:hAnsi="Times New Roman" w:cs="Times New Roman"/>
              <w:sz w:val="24"/>
              <w:szCs w:val="24"/>
              <w:lang w:eastAsia="ru-RU"/>
            </w:rPr>
            <w:t xml:space="preserve"> ОБРАЗОВАНИЯ </w:t>
          </w:r>
          <w:r w:rsidR="004277F2">
            <w:rPr>
              <w:rFonts w:ascii="Times New Roman" w:eastAsia="Times New Roman" w:hAnsi="Times New Roman" w:cs="Times New Roman"/>
              <w:sz w:val="24"/>
              <w:szCs w:val="24"/>
              <w:lang w:eastAsia="ru-RU"/>
            </w:rPr>
            <w:t>РОССИЙСКОЙ</w:t>
          </w:r>
          <w:r w:rsidRPr="00B82E69">
            <w:rPr>
              <w:rFonts w:ascii="Times New Roman" w:eastAsia="Times New Roman" w:hAnsi="Times New Roman" w:cs="Times New Roman"/>
              <w:sz w:val="24"/>
              <w:szCs w:val="24"/>
              <w:lang w:eastAsia="ru-RU"/>
            </w:rPr>
            <w:t xml:space="preserve"> ФЕДЕРАЦИИ</w:t>
          </w:r>
        </w:p>
        <w:p w:rsidR="001A01B3" w:rsidRPr="00B82E69" w:rsidRDefault="001A01B3" w:rsidP="001A01B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2E69">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1A01B3" w:rsidRPr="00B82E69" w:rsidRDefault="001A01B3" w:rsidP="001A01B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2E69">
            <w:rPr>
              <w:rFonts w:ascii="Times New Roman" w:eastAsia="Times New Roman" w:hAnsi="Times New Roman" w:cs="Times New Roman"/>
              <w:sz w:val="24"/>
              <w:szCs w:val="24"/>
              <w:lang w:eastAsia="ru-RU"/>
            </w:rPr>
            <w:t>высшего образования</w:t>
          </w:r>
        </w:p>
        <w:p w:rsidR="001A01B3" w:rsidRPr="00B82E69" w:rsidRDefault="001A01B3" w:rsidP="001A01B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2E69">
            <w:rPr>
              <w:rFonts w:ascii="Times New Roman" w:eastAsia="Times New Roman" w:hAnsi="Times New Roman" w:cs="Times New Roman"/>
              <w:b/>
              <w:sz w:val="28"/>
              <w:szCs w:val="28"/>
              <w:lang w:eastAsia="ru-RU"/>
            </w:rPr>
            <w:t>«КУБАНСКИЙ ГОСУДАРСТВЕННЫЙ УНИВЕРСИТЕТ»</w:t>
          </w:r>
        </w:p>
        <w:p w:rsidR="001A01B3" w:rsidRDefault="001A01B3" w:rsidP="001A01B3">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bookmarkStart w:id="0" w:name="_Toc450950610"/>
          <w:bookmarkStart w:id="1" w:name="_Toc450950810"/>
          <w:r w:rsidRPr="00B82E69">
            <w:rPr>
              <w:rFonts w:ascii="Times New Roman" w:eastAsia="Times New Roman" w:hAnsi="Times New Roman" w:cs="Times New Roman"/>
              <w:b/>
              <w:sz w:val="28"/>
              <w:szCs w:val="28"/>
              <w:lang w:eastAsia="ru-RU"/>
            </w:rPr>
            <w:t>(ФГБОУ ВО «</w:t>
          </w:r>
          <w:proofErr w:type="spellStart"/>
          <w:r w:rsidRPr="00B82E69">
            <w:rPr>
              <w:rFonts w:ascii="Times New Roman" w:eastAsia="Times New Roman" w:hAnsi="Times New Roman" w:cs="Times New Roman"/>
              <w:b/>
              <w:sz w:val="28"/>
              <w:szCs w:val="28"/>
              <w:lang w:eastAsia="ru-RU"/>
            </w:rPr>
            <w:t>КубГУ</w:t>
          </w:r>
          <w:proofErr w:type="spellEnd"/>
          <w:r w:rsidRPr="00B82E69">
            <w:rPr>
              <w:rFonts w:ascii="Times New Roman" w:eastAsia="Times New Roman" w:hAnsi="Times New Roman" w:cs="Times New Roman"/>
              <w:b/>
              <w:sz w:val="28"/>
              <w:szCs w:val="28"/>
              <w:lang w:eastAsia="ru-RU"/>
            </w:rPr>
            <w:t>»)</w:t>
          </w:r>
          <w:bookmarkEnd w:id="0"/>
          <w:bookmarkEnd w:id="1"/>
        </w:p>
        <w:p w:rsidR="004277F2" w:rsidRPr="00B82E69" w:rsidRDefault="004277F2" w:rsidP="001A01B3">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p>
        <w:p w:rsidR="001A01B3" w:rsidRPr="00B82E69" w:rsidRDefault="004277F2" w:rsidP="001A01B3">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экономический</w:t>
          </w:r>
        </w:p>
        <w:p w:rsidR="001A01B3" w:rsidRPr="004277F2" w:rsidRDefault="001A01B3" w:rsidP="001A01B3">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bookmarkStart w:id="2" w:name="_Toc450950611"/>
          <w:bookmarkStart w:id="3" w:name="_Toc450950811"/>
          <w:r w:rsidRPr="00B82E69">
            <w:rPr>
              <w:rFonts w:ascii="Times New Roman" w:eastAsia="Times New Roman" w:hAnsi="Times New Roman" w:cs="Times New Roman"/>
              <w:b/>
              <w:sz w:val="28"/>
              <w:szCs w:val="28"/>
              <w:lang w:eastAsia="ru-RU"/>
            </w:rPr>
            <w:t xml:space="preserve">Кафедра </w:t>
          </w:r>
          <w:bookmarkEnd w:id="2"/>
          <w:bookmarkEnd w:id="3"/>
          <w:r w:rsidR="004277F2">
            <w:rPr>
              <w:rFonts w:ascii="Times New Roman" w:eastAsia="Times New Roman" w:hAnsi="Times New Roman" w:cs="Times New Roman"/>
              <w:b/>
              <w:sz w:val="28"/>
              <w:szCs w:val="28"/>
              <w:lang w:eastAsia="ru-RU"/>
            </w:rPr>
            <w:t>экономического анализа, статистики и финансов</w:t>
          </w: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82E69">
            <w:rPr>
              <w:rFonts w:ascii="Times New Roman" w:eastAsia="Times New Roman" w:hAnsi="Times New Roman" w:cs="Times New Roman"/>
              <w:sz w:val="28"/>
              <w:szCs w:val="28"/>
              <w:lang w:eastAsia="ru-RU"/>
            </w:rPr>
            <w:t xml:space="preserve">                                                                  </w:t>
          </w: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A01B3" w:rsidRPr="00B82E69" w:rsidRDefault="001A01B3" w:rsidP="001A01B3">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20"/>
              <w:szCs w:val="20"/>
              <w:lang w:eastAsia="ru-RU"/>
            </w:rPr>
          </w:pPr>
          <w:r w:rsidRPr="00B82E69">
            <w:rPr>
              <w:rFonts w:ascii="Times New Roman" w:eastAsia="Times New Roman" w:hAnsi="Times New Roman" w:cs="Times New Roman"/>
              <w:b/>
              <w:sz w:val="20"/>
              <w:szCs w:val="20"/>
              <w:lang w:eastAsia="ru-RU"/>
            </w:rPr>
            <w:t xml:space="preserve">    </w:t>
          </w:r>
        </w:p>
        <w:p w:rsidR="001A01B3" w:rsidRPr="00B82E69" w:rsidRDefault="001A01B3" w:rsidP="001A01B3">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20"/>
              <w:szCs w:val="20"/>
              <w:lang w:eastAsia="ru-RU"/>
            </w:rPr>
          </w:pPr>
        </w:p>
        <w:p w:rsidR="001A01B3" w:rsidRPr="00B82E69" w:rsidRDefault="001A01B3" w:rsidP="001A01B3">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20"/>
              <w:szCs w:val="20"/>
              <w:lang w:eastAsia="ru-RU"/>
            </w:rPr>
          </w:pPr>
        </w:p>
        <w:p w:rsidR="001A01B3" w:rsidRPr="00B82E69" w:rsidRDefault="001A01B3" w:rsidP="001A01B3">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4" w:name="_Toc450950612"/>
          <w:bookmarkStart w:id="5" w:name="_Toc450950812"/>
          <w:r w:rsidRPr="00B82E69">
            <w:rPr>
              <w:rFonts w:ascii="Times New Roman" w:eastAsia="Times New Roman" w:hAnsi="Times New Roman" w:cs="Times New Roman"/>
              <w:b/>
              <w:sz w:val="28"/>
              <w:szCs w:val="28"/>
              <w:lang w:eastAsia="ru-RU"/>
            </w:rPr>
            <w:t>КУРСОВАЯ РАБОТА</w:t>
          </w:r>
          <w:bookmarkEnd w:id="4"/>
          <w:bookmarkEnd w:id="5"/>
          <w:r w:rsidRPr="00B82E69">
            <w:rPr>
              <w:rFonts w:ascii="Times New Roman" w:eastAsia="Times New Roman" w:hAnsi="Times New Roman" w:cs="Times New Roman"/>
              <w:b/>
              <w:sz w:val="28"/>
              <w:szCs w:val="28"/>
              <w:lang w:eastAsia="ru-RU"/>
            </w:rPr>
            <w:t xml:space="preserve"> </w:t>
          </w: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A01B3" w:rsidRPr="00B82E69" w:rsidRDefault="001A01B3" w:rsidP="001A01B3">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A01B3" w:rsidRPr="004277F2" w:rsidRDefault="001A01B3" w:rsidP="004277F2">
          <w:pPr>
            <w:spacing w:after="0" w:line="360" w:lineRule="auto"/>
            <w:jc w:val="center"/>
            <w:rPr>
              <w:rFonts w:ascii="Times New Roman" w:eastAsia="Calibri" w:hAnsi="Times New Roman" w:cs="Times New Roman"/>
              <w:b/>
              <w:caps/>
              <w:sz w:val="32"/>
              <w:szCs w:val="32"/>
            </w:rPr>
          </w:pPr>
          <w:r w:rsidRPr="00B82E69">
            <w:rPr>
              <w:rFonts w:ascii="Times New Roman" w:eastAsia="Calibri" w:hAnsi="Times New Roman" w:cs="Times New Roman"/>
              <w:b/>
              <w:caps/>
              <w:sz w:val="28"/>
              <w:szCs w:val="28"/>
            </w:rPr>
            <w:t xml:space="preserve">Денежно-Кредитная политика Банка россии </w:t>
          </w:r>
        </w:p>
        <w:p w:rsidR="001A01B3" w:rsidRPr="00B82E69" w:rsidRDefault="001A01B3" w:rsidP="001A01B3">
          <w:pPr>
            <w:shd w:val="clear" w:color="auto" w:fill="FFFFFF"/>
            <w:autoSpaceDE w:val="0"/>
            <w:autoSpaceDN w:val="0"/>
            <w:adjustRightInd w:val="0"/>
            <w:spacing w:after="0" w:line="360" w:lineRule="auto"/>
            <w:ind w:left="540"/>
            <w:rPr>
              <w:rFonts w:ascii="Times New Roman" w:eastAsia="Times New Roman" w:hAnsi="Times New Roman" w:cs="Times New Roman"/>
              <w:sz w:val="28"/>
              <w:szCs w:val="28"/>
              <w:lang w:eastAsia="ru-RU"/>
            </w:rPr>
          </w:pPr>
        </w:p>
        <w:p w:rsidR="001A01B3" w:rsidRPr="00B82E69" w:rsidRDefault="001A01B3" w:rsidP="001A01B3">
          <w:pPr>
            <w:shd w:val="clear" w:color="auto" w:fill="FFFFFF"/>
            <w:autoSpaceDE w:val="0"/>
            <w:autoSpaceDN w:val="0"/>
            <w:adjustRightInd w:val="0"/>
            <w:spacing w:after="0" w:line="360" w:lineRule="auto"/>
            <w:ind w:left="540"/>
            <w:rPr>
              <w:rFonts w:ascii="Times New Roman" w:eastAsia="Times New Roman" w:hAnsi="Times New Roman" w:cs="Times New Roman"/>
              <w:sz w:val="28"/>
              <w:szCs w:val="28"/>
              <w:lang w:eastAsia="ru-RU"/>
            </w:rPr>
          </w:pPr>
        </w:p>
        <w:p w:rsidR="001A01B3" w:rsidRPr="00B82E69" w:rsidRDefault="001A01B3" w:rsidP="004277F2">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bookmarkStart w:id="6" w:name="_Toc450950613"/>
          <w:bookmarkStart w:id="7" w:name="_Toc450950813"/>
          <w:r w:rsidRPr="00B82E69">
            <w:rPr>
              <w:rFonts w:ascii="Times New Roman" w:eastAsia="Times New Roman" w:hAnsi="Times New Roman" w:cs="Times New Roman"/>
              <w:sz w:val="28"/>
              <w:szCs w:val="28"/>
              <w:lang w:eastAsia="ru-RU"/>
            </w:rPr>
            <w:t>Работу выполнил</w:t>
          </w:r>
          <w:r w:rsidR="004277F2">
            <w:rPr>
              <w:rFonts w:ascii="Times New Roman" w:eastAsia="Times New Roman" w:hAnsi="Times New Roman" w:cs="Times New Roman"/>
              <w:sz w:val="28"/>
              <w:szCs w:val="28"/>
              <w:lang w:eastAsia="ru-RU"/>
            </w:rPr>
            <w:t xml:space="preserve">а студентка 3 курса </w:t>
          </w:r>
          <w:r w:rsidRPr="00B82E69">
            <w:rPr>
              <w:rFonts w:ascii="Times New Roman" w:eastAsia="Times New Roman" w:hAnsi="Times New Roman" w:cs="Times New Roman"/>
              <w:sz w:val="28"/>
              <w:szCs w:val="28"/>
              <w:lang w:eastAsia="ru-RU"/>
            </w:rPr>
            <w:t>___________</w:t>
          </w:r>
          <w:r w:rsidR="004277F2">
            <w:rPr>
              <w:rFonts w:ascii="Times New Roman" w:eastAsia="Times New Roman" w:hAnsi="Times New Roman" w:cs="Times New Roman"/>
              <w:sz w:val="28"/>
              <w:szCs w:val="28"/>
              <w:lang w:eastAsia="ru-RU"/>
            </w:rPr>
            <w:t>______</w:t>
          </w:r>
          <w:r w:rsidRPr="00B82E69">
            <w:rPr>
              <w:rFonts w:ascii="Times New Roman" w:eastAsia="Times New Roman" w:hAnsi="Times New Roman" w:cs="Times New Roman"/>
              <w:sz w:val="28"/>
              <w:szCs w:val="28"/>
              <w:lang w:eastAsia="ru-RU"/>
            </w:rPr>
            <w:t>___</w:t>
          </w:r>
          <w:bookmarkEnd w:id="6"/>
          <w:bookmarkEnd w:id="7"/>
          <w:r w:rsidRPr="00B82E69">
            <w:rPr>
              <w:rFonts w:ascii="Times New Roman" w:eastAsia="Times New Roman" w:hAnsi="Times New Roman" w:cs="Times New Roman"/>
              <w:sz w:val="28"/>
              <w:szCs w:val="28"/>
              <w:lang w:eastAsia="ru-RU"/>
            </w:rPr>
            <w:t xml:space="preserve">А. А. </w:t>
          </w:r>
          <w:bookmarkStart w:id="8" w:name="_Toc450950614"/>
          <w:bookmarkStart w:id="9" w:name="_Toc450950814"/>
          <w:proofErr w:type="spellStart"/>
          <w:r w:rsidR="004277F2">
            <w:rPr>
              <w:rFonts w:ascii="Times New Roman" w:eastAsia="Times New Roman" w:hAnsi="Times New Roman" w:cs="Times New Roman"/>
              <w:sz w:val="28"/>
              <w:szCs w:val="28"/>
              <w:lang w:eastAsia="ru-RU"/>
            </w:rPr>
            <w:t>Пыпник</w:t>
          </w:r>
          <w:bookmarkEnd w:id="8"/>
          <w:bookmarkEnd w:id="9"/>
          <w:proofErr w:type="spellEnd"/>
          <w:r w:rsidRPr="00B82E69">
            <w:rPr>
              <w:rFonts w:ascii="Times New Roman" w:eastAsia="Times New Roman" w:hAnsi="Times New Roman" w:cs="Times New Roman"/>
              <w:sz w:val="24"/>
              <w:szCs w:val="24"/>
              <w:lang w:eastAsia="ru-RU"/>
            </w:rPr>
            <w:t xml:space="preserve">                                                               </w:t>
          </w:r>
        </w:p>
        <w:p w:rsidR="001A01B3" w:rsidRPr="00B82E69" w:rsidRDefault="001A01B3" w:rsidP="001A01B3">
          <w:pPr>
            <w:tabs>
              <w:tab w:val="left" w:pos="1351"/>
            </w:tabs>
            <w:spacing w:after="0" w:line="360" w:lineRule="auto"/>
            <w:jc w:val="both"/>
            <w:rPr>
              <w:rFonts w:ascii="Times New Roman" w:eastAsia="Times New Roman" w:hAnsi="Times New Roman" w:cs="Times New Roman"/>
              <w:sz w:val="28"/>
              <w:szCs w:val="28"/>
              <w:lang w:eastAsia="ru-RU"/>
            </w:rPr>
          </w:pPr>
          <w:r w:rsidRPr="00B82E69">
            <w:rPr>
              <w:rFonts w:ascii="Times New Roman" w:eastAsia="Times New Roman" w:hAnsi="Times New Roman" w:cs="Times New Roman"/>
              <w:sz w:val="28"/>
              <w:szCs w:val="28"/>
              <w:lang w:eastAsia="ru-RU"/>
            </w:rPr>
            <w:t>Факультет    экономичес</w:t>
          </w:r>
          <w:r w:rsidR="004277F2">
            <w:rPr>
              <w:rFonts w:ascii="Times New Roman" w:eastAsia="Times New Roman" w:hAnsi="Times New Roman" w:cs="Times New Roman"/>
              <w:sz w:val="28"/>
              <w:szCs w:val="28"/>
              <w:lang w:eastAsia="ru-RU"/>
            </w:rPr>
            <w:t xml:space="preserve">кий                      </w:t>
          </w:r>
        </w:p>
        <w:p w:rsidR="001A01B3" w:rsidRPr="00B82E69" w:rsidRDefault="004277F2" w:rsidP="001A01B3">
          <w:pPr>
            <w:tabs>
              <w:tab w:val="left" w:pos="1125"/>
              <w:tab w:val="center" w:pos="4819"/>
            </w:tabs>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Направление  38.04.08</w:t>
          </w:r>
          <w:proofErr w:type="gramEnd"/>
          <w:r w:rsidR="001A01B3" w:rsidRPr="00B82E69">
            <w:rPr>
              <w:rFonts w:ascii="Times New Roman" w:eastAsia="Times New Roman" w:hAnsi="Times New Roman" w:cs="Times New Roman"/>
              <w:sz w:val="28"/>
              <w:szCs w:val="28"/>
              <w:lang w:eastAsia="ru-RU"/>
            </w:rPr>
            <w:t xml:space="preserve"> – Экономика</w:t>
          </w:r>
        </w:p>
        <w:p w:rsidR="001A01B3" w:rsidRPr="00B82E69" w:rsidRDefault="001A01B3" w:rsidP="001A01B3">
          <w:pPr>
            <w:tabs>
              <w:tab w:val="left" w:pos="1125"/>
              <w:tab w:val="center" w:pos="4819"/>
            </w:tabs>
            <w:spacing w:after="0" w:line="360" w:lineRule="auto"/>
            <w:rPr>
              <w:rFonts w:ascii="Times New Roman" w:eastAsia="Times New Roman" w:hAnsi="Times New Roman" w:cs="Times New Roman"/>
              <w:sz w:val="28"/>
              <w:szCs w:val="28"/>
              <w:lang w:eastAsia="ru-RU"/>
            </w:rPr>
          </w:pPr>
          <w:proofErr w:type="gramStart"/>
          <w:r w:rsidRPr="00B82E69">
            <w:rPr>
              <w:rFonts w:ascii="Times New Roman" w:eastAsia="Times New Roman" w:hAnsi="Times New Roman" w:cs="Times New Roman"/>
              <w:sz w:val="28"/>
              <w:szCs w:val="28"/>
              <w:lang w:eastAsia="ru-RU"/>
            </w:rPr>
            <w:t>Профиль  Финансы</w:t>
          </w:r>
          <w:proofErr w:type="gramEnd"/>
          <w:r w:rsidRPr="00B82E69">
            <w:rPr>
              <w:rFonts w:ascii="Times New Roman" w:eastAsia="Times New Roman" w:hAnsi="Times New Roman" w:cs="Times New Roman"/>
              <w:sz w:val="28"/>
              <w:szCs w:val="28"/>
              <w:lang w:eastAsia="ru-RU"/>
            </w:rPr>
            <w:t xml:space="preserve"> и кредит</w:t>
          </w:r>
        </w:p>
        <w:p w:rsidR="001A01B3" w:rsidRPr="00B82E69" w:rsidRDefault="001A01B3" w:rsidP="001A01B3">
          <w:pPr>
            <w:tabs>
              <w:tab w:val="left" w:pos="1125"/>
              <w:tab w:val="center" w:pos="4819"/>
            </w:tabs>
            <w:spacing w:after="0" w:line="240" w:lineRule="auto"/>
            <w:rPr>
              <w:rFonts w:ascii="Times New Roman" w:eastAsia="Times New Roman" w:hAnsi="Times New Roman" w:cs="Times New Roman"/>
              <w:sz w:val="28"/>
              <w:szCs w:val="28"/>
              <w:lang w:eastAsia="ru-RU"/>
            </w:rPr>
          </w:pPr>
          <w:r w:rsidRPr="00B82E69">
            <w:rPr>
              <w:rFonts w:ascii="Times New Roman" w:eastAsia="Times New Roman" w:hAnsi="Times New Roman" w:cs="Times New Roman"/>
              <w:sz w:val="28"/>
              <w:szCs w:val="28"/>
              <w:lang w:eastAsia="ru-RU"/>
            </w:rPr>
            <w:t>Научный руководитель:</w:t>
          </w:r>
        </w:p>
        <w:p w:rsidR="001A01B3" w:rsidRPr="00B82E69" w:rsidRDefault="004277F2" w:rsidP="001A01B3">
          <w:pPr>
            <w:tabs>
              <w:tab w:val="left" w:pos="1125"/>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xml:space="preserve">. наук, </w:t>
          </w:r>
          <w:proofErr w:type="spellStart"/>
          <w:r>
            <w:rPr>
              <w:rFonts w:ascii="Times New Roman" w:eastAsia="Times New Roman" w:hAnsi="Times New Roman" w:cs="Times New Roman"/>
              <w:sz w:val="28"/>
              <w:szCs w:val="28"/>
              <w:lang w:eastAsia="ru-RU"/>
            </w:rPr>
            <w:t>доцент</w:t>
          </w:r>
          <w:r w:rsidR="001A01B3" w:rsidRPr="00B82E69">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Вылегжанина</w:t>
          </w:r>
          <w:proofErr w:type="spellEnd"/>
        </w:p>
        <w:p w:rsidR="001A01B3" w:rsidRPr="00B82E69" w:rsidRDefault="001A01B3" w:rsidP="001A01B3">
          <w:pPr>
            <w:spacing w:after="0" w:line="240" w:lineRule="auto"/>
            <w:jc w:val="center"/>
            <w:rPr>
              <w:rFonts w:ascii="Times New Roman" w:eastAsia="Times New Roman" w:hAnsi="Times New Roman" w:cs="Times New Roman"/>
              <w:sz w:val="28"/>
              <w:szCs w:val="28"/>
              <w:vertAlign w:val="superscript"/>
              <w:lang w:eastAsia="ru-RU"/>
            </w:rPr>
          </w:pPr>
          <w:r w:rsidRPr="00B82E69">
            <w:rPr>
              <w:rFonts w:ascii="Times New Roman" w:eastAsia="Times New Roman" w:hAnsi="Times New Roman" w:cs="Times New Roman"/>
              <w:sz w:val="28"/>
              <w:szCs w:val="28"/>
              <w:vertAlign w:val="superscript"/>
              <w:lang w:eastAsia="ru-RU"/>
            </w:rPr>
            <w:t>(подпись, дата)</w:t>
          </w:r>
        </w:p>
        <w:p w:rsidR="001A01B3" w:rsidRPr="00B82E69" w:rsidRDefault="001A01B3" w:rsidP="001A01B3">
          <w:pPr>
            <w:spacing w:after="0" w:line="240" w:lineRule="auto"/>
            <w:rPr>
              <w:rFonts w:ascii="Times New Roman" w:eastAsia="Times New Roman" w:hAnsi="Times New Roman" w:cs="Times New Roman"/>
              <w:sz w:val="28"/>
              <w:szCs w:val="28"/>
              <w:lang w:eastAsia="ru-RU"/>
            </w:rPr>
          </w:pPr>
          <w:proofErr w:type="spellStart"/>
          <w:r w:rsidRPr="00B82E69">
            <w:rPr>
              <w:rFonts w:ascii="Times New Roman" w:eastAsia="Times New Roman" w:hAnsi="Times New Roman" w:cs="Times New Roman"/>
              <w:sz w:val="28"/>
              <w:szCs w:val="28"/>
              <w:lang w:eastAsia="ru-RU"/>
            </w:rPr>
            <w:t>Нормоконтролер</w:t>
          </w:r>
          <w:proofErr w:type="spellEnd"/>
          <w:r w:rsidRPr="00B82E69">
            <w:rPr>
              <w:rFonts w:ascii="Times New Roman" w:eastAsia="Times New Roman" w:hAnsi="Times New Roman" w:cs="Times New Roman"/>
              <w:sz w:val="28"/>
              <w:szCs w:val="28"/>
              <w:lang w:eastAsia="ru-RU"/>
            </w:rPr>
            <w:t>:</w:t>
          </w:r>
        </w:p>
        <w:p w:rsidR="001A01B3" w:rsidRPr="00B82E69" w:rsidRDefault="004277F2" w:rsidP="001A01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xml:space="preserve">. наук, </w:t>
          </w:r>
          <w:proofErr w:type="spellStart"/>
          <w:r>
            <w:rPr>
              <w:rFonts w:ascii="Times New Roman" w:eastAsia="Times New Roman" w:hAnsi="Times New Roman" w:cs="Times New Roman"/>
              <w:sz w:val="28"/>
              <w:szCs w:val="28"/>
              <w:lang w:eastAsia="ru-RU"/>
            </w:rPr>
            <w:t>доцент</w:t>
          </w:r>
          <w:r w:rsidR="001A01B3" w:rsidRPr="00B82E69">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w:t>
          </w:r>
          <w:r w:rsidRPr="004277F2">
            <w:rPr>
              <w:rFonts w:ascii="Times New Roman" w:eastAsia="Times New Roman" w:hAnsi="Times New Roman" w:cs="Times New Roman"/>
              <w:sz w:val="28"/>
              <w:szCs w:val="28"/>
              <w:lang w:eastAsia="ru-RU"/>
            </w:rPr>
            <w:t>Е.В</w:t>
          </w:r>
          <w:proofErr w:type="spellEnd"/>
          <w:r w:rsidRPr="004277F2">
            <w:rPr>
              <w:rFonts w:ascii="Times New Roman" w:eastAsia="Times New Roman" w:hAnsi="Times New Roman" w:cs="Times New Roman"/>
              <w:sz w:val="28"/>
              <w:szCs w:val="28"/>
              <w:lang w:eastAsia="ru-RU"/>
            </w:rPr>
            <w:t xml:space="preserve">. </w:t>
          </w:r>
          <w:proofErr w:type="spellStart"/>
          <w:r w:rsidRPr="004277F2">
            <w:rPr>
              <w:rFonts w:ascii="Times New Roman" w:eastAsia="Times New Roman" w:hAnsi="Times New Roman" w:cs="Times New Roman"/>
              <w:sz w:val="28"/>
              <w:szCs w:val="28"/>
              <w:lang w:eastAsia="ru-RU"/>
            </w:rPr>
            <w:t>Вылегжанина</w:t>
          </w:r>
          <w:proofErr w:type="spellEnd"/>
        </w:p>
        <w:p w:rsidR="001A01B3" w:rsidRPr="00B82E69" w:rsidRDefault="001A01B3" w:rsidP="001A01B3">
          <w:pPr>
            <w:spacing w:after="0" w:line="240" w:lineRule="auto"/>
            <w:jc w:val="center"/>
            <w:rPr>
              <w:rFonts w:ascii="Times New Roman" w:eastAsia="Times New Roman" w:hAnsi="Times New Roman" w:cs="Times New Roman"/>
              <w:sz w:val="24"/>
              <w:szCs w:val="24"/>
              <w:vertAlign w:val="superscript"/>
              <w:lang w:eastAsia="ru-RU"/>
            </w:rPr>
          </w:pPr>
          <w:r w:rsidRPr="00B82E69">
            <w:rPr>
              <w:rFonts w:ascii="Times New Roman" w:eastAsia="Times New Roman" w:hAnsi="Times New Roman" w:cs="Times New Roman"/>
              <w:sz w:val="24"/>
              <w:szCs w:val="24"/>
              <w:vertAlign w:val="superscript"/>
              <w:lang w:eastAsia="ru-RU"/>
            </w:rPr>
            <w:t>(подпись, дата)</w:t>
          </w:r>
        </w:p>
        <w:p w:rsidR="001A01B3" w:rsidRPr="00B82E69" w:rsidRDefault="001A01B3" w:rsidP="001A01B3">
          <w:pPr>
            <w:spacing w:after="0" w:line="360" w:lineRule="auto"/>
            <w:jc w:val="center"/>
            <w:rPr>
              <w:rFonts w:ascii="Times New Roman" w:eastAsia="Times New Roman" w:hAnsi="Times New Roman" w:cs="Times New Roman"/>
              <w:sz w:val="28"/>
              <w:szCs w:val="28"/>
              <w:lang w:eastAsia="ru-RU"/>
            </w:rPr>
          </w:pPr>
        </w:p>
        <w:p w:rsidR="001A01B3" w:rsidRPr="00B82E69" w:rsidRDefault="001A01B3" w:rsidP="001A01B3">
          <w:pPr>
            <w:spacing w:after="0" w:line="360" w:lineRule="auto"/>
            <w:rPr>
              <w:rFonts w:ascii="Times New Roman" w:eastAsia="Times New Roman" w:hAnsi="Times New Roman" w:cs="Times New Roman"/>
              <w:sz w:val="28"/>
              <w:szCs w:val="28"/>
              <w:lang w:eastAsia="ru-RU"/>
            </w:rPr>
          </w:pPr>
        </w:p>
        <w:p w:rsidR="001A01B3" w:rsidRPr="00B82E69" w:rsidRDefault="001A01B3" w:rsidP="001A01B3">
          <w:pPr>
            <w:spacing w:after="0" w:line="360" w:lineRule="auto"/>
            <w:rPr>
              <w:rFonts w:ascii="Times New Roman" w:eastAsia="Times New Roman" w:hAnsi="Times New Roman" w:cs="Times New Roman"/>
              <w:sz w:val="28"/>
              <w:szCs w:val="28"/>
              <w:lang w:eastAsia="ru-RU"/>
            </w:rPr>
          </w:pPr>
        </w:p>
        <w:p w:rsidR="001A01B3" w:rsidRPr="00B82E69" w:rsidRDefault="001A01B3" w:rsidP="001A01B3">
          <w:pPr>
            <w:spacing w:after="0" w:line="360" w:lineRule="auto"/>
            <w:jc w:val="center"/>
            <w:rPr>
              <w:rFonts w:ascii="Times New Roman" w:eastAsia="Times New Roman" w:hAnsi="Times New Roman" w:cs="Times New Roman"/>
              <w:sz w:val="28"/>
              <w:szCs w:val="28"/>
              <w:lang w:eastAsia="ru-RU"/>
            </w:rPr>
          </w:pPr>
          <w:r w:rsidRPr="00B82E69">
            <w:rPr>
              <w:rFonts w:ascii="Times New Roman" w:eastAsia="Times New Roman" w:hAnsi="Times New Roman" w:cs="Times New Roman"/>
              <w:sz w:val="28"/>
              <w:szCs w:val="28"/>
              <w:lang w:eastAsia="ru-RU"/>
            </w:rPr>
            <w:t>Краснодар 2018</w:t>
          </w:r>
        </w:p>
        <w:p w:rsidR="001A01B3" w:rsidRPr="00B82E69" w:rsidRDefault="005E4116" w:rsidP="001A01B3">
          <w:pPr>
            <w:spacing w:after="0" w:line="360" w:lineRule="auto"/>
            <w:jc w:val="center"/>
            <w:rPr>
              <w:rFonts w:ascii="Times New Roman" w:eastAsia="Times New Roman" w:hAnsi="Times New Roman" w:cs="Times New Roman"/>
              <w:sz w:val="28"/>
              <w:szCs w:val="28"/>
              <w:lang w:eastAsia="ru-RU"/>
            </w:rPr>
          </w:pPr>
        </w:p>
      </w:sdtContent>
    </w:sdt>
    <w:sdt>
      <w:sdtPr>
        <w:rPr>
          <w:rFonts w:ascii="Calibri" w:eastAsia="Calibri" w:hAnsi="Calibri" w:cs="Times New Roman"/>
        </w:rPr>
        <w:id w:val="-1081829652"/>
        <w:docPartObj>
          <w:docPartGallery w:val="Table of Contents"/>
          <w:docPartUnique/>
        </w:docPartObj>
      </w:sdtPr>
      <w:sdtEndPr/>
      <w:sdtContent>
        <w:p w:rsidR="001A01B3" w:rsidRPr="00B82E69" w:rsidRDefault="001A01B3" w:rsidP="001A01B3">
          <w:pPr>
            <w:spacing w:after="0" w:line="360" w:lineRule="auto"/>
            <w:ind w:firstLine="709"/>
            <w:contextualSpacing/>
            <w:jc w:val="center"/>
            <w:rPr>
              <w:rFonts w:ascii="Times New Roman" w:eastAsia="Calibri" w:hAnsi="Times New Roman" w:cs="Times New Roman"/>
              <w:sz w:val="28"/>
              <w:szCs w:val="28"/>
            </w:rPr>
          </w:pPr>
          <w:r w:rsidRPr="00B82E69">
            <w:rPr>
              <w:rFonts w:ascii="Times New Roman" w:eastAsia="Calibri" w:hAnsi="Times New Roman" w:cs="Times New Roman"/>
              <w:sz w:val="28"/>
              <w:szCs w:val="28"/>
            </w:rPr>
            <w:t>СОДЕРЖАНИЕ</w:t>
          </w:r>
        </w:p>
        <w:p w:rsidR="001A01B3" w:rsidRPr="00B82E69"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Pr="00B82E69" w:rsidRDefault="001A01B3" w:rsidP="001A01B3">
          <w:pPr>
            <w:tabs>
              <w:tab w:val="right" w:leader="dot" w:pos="9639"/>
            </w:tabs>
            <w:spacing w:after="0" w:line="360" w:lineRule="auto"/>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Введение</w:t>
          </w:r>
          <w:r w:rsidRPr="00B82E69">
            <w:rPr>
              <w:rFonts w:ascii="Times New Roman" w:eastAsia="Calibri" w:hAnsi="Times New Roman" w:cs="Times New Roman"/>
              <w:sz w:val="28"/>
              <w:szCs w:val="28"/>
            </w:rPr>
            <w:tab/>
            <w:t>3</w:t>
          </w:r>
        </w:p>
        <w:p w:rsidR="00D402FB" w:rsidRDefault="001A01B3" w:rsidP="00D402FB">
          <w:pPr>
            <w:tabs>
              <w:tab w:val="right" w:leader="dot" w:pos="9639"/>
            </w:tabs>
            <w:spacing w:after="0" w:line="360" w:lineRule="auto"/>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 xml:space="preserve">1 Денежно-кредитная политика как элемент </w:t>
          </w:r>
          <w:r>
            <w:rPr>
              <w:rFonts w:ascii="Times New Roman" w:eastAsia="Calibri" w:hAnsi="Times New Roman" w:cs="Times New Roman"/>
              <w:sz w:val="28"/>
              <w:szCs w:val="28"/>
            </w:rPr>
            <w:t>финансовой политики государства</w:t>
          </w:r>
          <w:r w:rsidR="00D402FB">
            <w:rPr>
              <w:rFonts w:ascii="Times New Roman" w:eastAsia="Calibri" w:hAnsi="Times New Roman" w:cs="Times New Roman"/>
              <w:sz w:val="28"/>
              <w:szCs w:val="28"/>
            </w:rPr>
            <w:tab/>
            <w:t>5</w:t>
          </w:r>
        </w:p>
        <w:p w:rsidR="00D402FB"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B82E69">
            <w:rPr>
              <w:rFonts w:ascii="Times New Roman" w:eastAsia="Calibri" w:hAnsi="Times New Roman" w:cs="Times New Roman"/>
              <w:sz w:val="28"/>
              <w:szCs w:val="28"/>
            </w:rPr>
            <w:t>Целевые ориентиры денежно-креди</w:t>
          </w:r>
          <w:r>
            <w:rPr>
              <w:rFonts w:ascii="Times New Roman" w:eastAsia="Calibri" w:hAnsi="Times New Roman" w:cs="Times New Roman"/>
              <w:sz w:val="28"/>
              <w:szCs w:val="28"/>
            </w:rPr>
            <w:t xml:space="preserve">тной политики </w:t>
          </w:r>
          <w:proofErr w:type="gramStart"/>
          <w:r>
            <w:rPr>
              <w:rFonts w:ascii="Times New Roman" w:eastAsia="Calibri" w:hAnsi="Times New Roman" w:cs="Times New Roman"/>
              <w:sz w:val="28"/>
              <w:szCs w:val="28"/>
            </w:rPr>
            <w:t xml:space="preserve">центральных </w:t>
          </w:r>
          <w:r w:rsidR="00D402FB">
            <w:rPr>
              <w:rFonts w:ascii="Times New Roman" w:eastAsia="Calibri" w:hAnsi="Times New Roman" w:cs="Times New Roman"/>
              <w:sz w:val="28"/>
              <w:szCs w:val="28"/>
            </w:rPr>
            <w:t xml:space="preserve"> </w:t>
          </w:r>
          <w:r>
            <w:rPr>
              <w:rFonts w:ascii="Times New Roman" w:eastAsia="Calibri" w:hAnsi="Times New Roman" w:cs="Times New Roman"/>
              <w:sz w:val="28"/>
              <w:szCs w:val="28"/>
            </w:rPr>
            <w:t>банков</w:t>
          </w:r>
          <w:proofErr w:type="gramEnd"/>
          <w:r w:rsidRPr="00B82E69">
            <w:rPr>
              <w:rFonts w:ascii="Times New Roman" w:eastAsia="Calibri" w:hAnsi="Times New Roman" w:cs="Times New Roman"/>
              <w:sz w:val="28"/>
              <w:szCs w:val="28"/>
            </w:rPr>
            <w:tab/>
            <w:t>5</w:t>
          </w:r>
        </w:p>
        <w:p w:rsidR="001A01B3"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1.2</w:t>
          </w:r>
          <w:r w:rsidRPr="00B82E69">
            <w:rPr>
              <w:rFonts w:ascii="Calibri" w:eastAsia="Calibri" w:hAnsi="Calibri" w:cs="Times New Roman"/>
            </w:rPr>
            <w:t xml:space="preserve"> </w:t>
          </w:r>
          <w:r w:rsidRPr="00B82E69">
            <w:rPr>
              <w:rFonts w:ascii="Times New Roman" w:eastAsia="Calibri" w:hAnsi="Times New Roman" w:cs="Times New Roman"/>
              <w:sz w:val="28"/>
              <w:szCs w:val="28"/>
            </w:rPr>
            <w:t xml:space="preserve">Задачи и функции </w:t>
          </w:r>
          <w:r>
            <w:rPr>
              <w:rFonts w:ascii="Times New Roman" w:eastAsia="Calibri" w:hAnsi="Times New Roman" w:cs="Times New Roman"/>
              <w:sz w:val="28"/>
              <w:szCs w:val="28"/>
            </w:rPr>
            <w:t xml:space="preserve">Банка России </w:t>
          </w:r>
          <w:r w:rsidRPr="00B82E69">
            <w:rPr>
              <w:rFonts w:ascii="Times New Roman" w:eastAsia="Calibri" w:hAnsi="Times New Roman" w:cs="Times New Roman"/>
              <w:sz w:val="28"/>
              <w:szCs w:val="28"/>
            </w:rPr>
            <w:t>как органа управления д</w:t>
          </w:r>
          <w:r w:rsidR="00C421E0">
            <w:rPr>
              <w:rFonts w:ascii="Times New Roman" w:eastAsia="Calibri" w:hAnsi="Times New Roman" w:cs="Times New Roman"/>
              <w:sz w:val="28"/>
              <w:szCs w:val="28"/>
            </w:rPr>
            <w:t>енежно-</w:t>
          </w:r>
          <w:proofErr w:type="gramStart"/>
          <w:r w:rsidR="00C421E0">
            <w:rPr>
              <w:rFonts w:ascii="Times New Roman" w:eastAsia="Calibri" w:hAnsi="Times New Roman" w:cs="Times New Roman"/>
              <w:sz w:val="28"/>
              <w:szCs w:val="28"/>
            </w:rPr>
            <w:t>кредитной  сферой</w:t>
          </w:r>
          <w:proofErr w:type="gramEnd"/>
          <w:r w:rsidR="00C421E0">
            <w:rPr>
              <w:rFonts w:ascii="Times New Roman" w:eastAsia="Calibri" w:hAnsi="Times New Roman" w:cs="Times New Roman"/>
              <w:sz w:val="28"/>
              <w:szCs w:val="28"/>
            </w:rPr>
            <w:t xml:space="preserve"> в РФ</w:t>
          </w:r>
          <w:r w:rsidR="00C421E0">
            <w:rPr>
              <w:rFonts w:ascii="Times New Roman" w:eastAsia="Calibri" w:hAnsi="Times New Roman" w:cs="Times New Roman"/>
              <w:sz w:val="28"/>
              <w:szCs w:val="28"/>
            </w:rPr>
            <w:tab/>
            <w:t>11</w:t>
          </w:r>
        </w:p>
        <w:p w:rsidR="001A01B3" w:rsidRPr="00B82E69"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B82E69">
            <w:rPr>
              <w:rFonts w:ascii="Times New Roman" w:eastAsia="Calibri" w:hAnsi="Times New Roman" w:cs="Times New Roman"/>
              <w:sz w:val="28"/>
              <w:szCs w:val="28"/>
            </w:rPr>
            <w:t xml:space="preserve"> Система инструмент</w:t>
          </w:r>
          <w:r w:rsidR="00C421E0">
            <w:rPr>
              <w:rFonts w:ascii="Times New Roman" w:eastAsia="Calibri" w:hAnsi="Times New Roman" w:cs="Times New Roman"/>
              <w:sz w:val="28"/>
              <w:szCs w:val="28"/>
            </w:rPr>
            <w:t>ов денежно-кредитной политики</w:t>
          </w:r>
          <w:r w:rsidR="00C421E0">
            <w:rPr>
              <w:rFonts w:ascii="Times New Roman" w:eastAsia="Calibri" w:hAnsi="Times New Roman" w:cs="Times New Roman"/>
              <w:sz w:val="28"/>
              <w:szCs w:val="28"/>
            </w:rPr>
            <w:tab/>
            <w:t>14</w:t>
          </w:r>
        </w:p>
        <w:p w:rsidR="001A01B3" w:rsidRPr="00B82E69" w:rsidRDefault="001A01B3" w:rsidP="00D402FB">
          <w:pPr>
            <w:tabs>
              <w:tab w:val="right" w:leader="dot" w:pos="9639"/>
            </w:tabs>
            <w:spacing w:after="0" w:line="360" w:lineRule="auto"/>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2 Применение инструментов денежно-кре</w:t>
          </w:r>
          <w:r w:rsidR="00776F02">
            <w:rPr>
              <w:rFonts w:ascii="Times New Roman" w:eastAsia="Calibri" w:hAnsi="Times New Roman" w:cs="Times New Roman"/>
              <w:sz w:val="28"/>
              <w:szCs w:val="28"/>
            </w:rPr>
            <w:t>дитной политики Центральным Б</w:t>
          </w:r>
          <w:r w:rsidR="00C421E0">
            <w:rPr>
              <w:rFonts w:ascii="Times New Roman" w:eastAsia="Calibri" w:hAnsi="Times New Roman" w:cs="Times New Roman"/>
              <w:sz w:val="28"/>
              <w:szCs w:val="28"/>
            </w:rPr>
            <w:t>анком России</w:t>
          </w:r>
          <w:r w:rsidR="00C421E0">
            <w:rPr>
              <w:rFonts w:ascii="Times New Roman" w:eastAsia="Calibri" w:hAnsi="Times New Roman" w:cs="Times New Roman"/>
              <w:sz w:val="28"/>
              <w:szCs w:val="28"/>
            </w:rPr>
            <w:tab/>
            <w:t>22</w:t>
          </w:r>
        </w:p>
        <w:p w:rsidR="00D402FB"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 xml:space="preserve">2.1 </w:t>
          </w:r>
          <w:r>
            <w:rPr>
              <w:rFonts w:ascii="Times New Roman" w:eastAsia="Calibri" w:hAnsi="Times New Roman" w:cs="Times New Roman"/>
              <w:sz w:val="28"/>
              <w:szCs w:val="28"/>
            </w:rPr>
            <w:t>Цели и принципы денежно-кредитной политики</w:t>
          </w:r>
          <w:r w:rsidR="00C421E0">
            <w:rPr>
              <w:rFonts w:ascii="Times New Roman" w:eastAsia="Calibri" w:hAnsi="Times New Roman" w:cs="Times New Roman"/>
              <w:sz w:val="28"/>
              <w:szCs w:val="28"/>
            </w:rPr>
            <w:t xml:space="preserve"> на среднесрочную перспективу</w:t>
          </w:r>
          <w:r w:rsidR="00C421E0">
            <w:rPr>
              <w:rFonts w:ascii="Times New Roman" w:eastAsia="Calibri" w:hAnsi="Times New Roman" w:cs="Times New Roman"/>
              <w:sz w:val="28"/>
              <w:szCs w:val="28"/>
            </w:rPr>
            <w:tab/>
            <w:t>22</w:t>
          </w:r>
        </w:p>
        <w:p w:rsidR="001A01B3" w:rsidRPr="00B82E69"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 xml:space="preserve">2.2 </w:t>
          </w:r>
          <w:r>
            <w:rPr>
              <w:rFonts w:ascii="Times New Roman" w:eastAsia="Calibri" w:hAnsi="Times New Roman" w:cs="Times New Roman"/>
              <w:sz w:val="28"/>
              <w:szCs w:val="28"/>
            </w:rPr>
            <w:t>Применение инструментов денежно-кредитн</w:t>
          </w:r>
          <w:r w:rsidR="00C421E0">
            <w:rPr>
              <w:rFonts w:ascii="Times New Roman" w:eastAsia="Calibri" w:hAnsi="Times New Roman" w:cs="Times New Roman"/>
              <w:sz w:val="28"/>
              <w:szCs w:val="28"/>
            </w:rPr>
            <w:t>ой политики в 2016-2017 годах</w:t>
          </w:r>
          <w:r w:rsidR="00C421E0">
            <w:rPr>
              <w:rFonts w:ascii="Times New Roman" w:eastAsia="Calibri" w:hAnsi="Times New Roman" w:cs="Times New Roman"/>
              <w:sz w:val="28"/>
              <w:szCs w:val="28"/>
            </w:rPr>
            <w:tab/>
            <w:t>30</w:t>
          </w:r>
        </w:p>
        <w:p w:rsidR="001A01B3" w:rsidRDefault="001A01B3" w:rsidP="00D402FB">
          <w:pPr>
            <w:tabs>
              <w:tab w:val="right" w:leader="dot" w:pos="9639"/>
            </w:tabs>
            <w:spacing w:after="0" w:line="36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 Условия реализации и меры денежно-кредит</w:t>
          </w:r>
          <w:r w:rsidR="00776F02">
            <w:rPr>
              <w:rFonts w:ascii="Times New Roman" w:eastAsia="Calibri" w:hAnsi="Times New Roman" w:cs="Times New Roman"/>
              <w:sz w:val="28"/>
              <w:szCs w:val="28"/>
            </w:rPr>
            <w:t>ной политики в 2018</w:t>
          </w:r>
          <w:r>
            <w:rPr>
              <w:rFonts w:ascii="Times New Roman" w:eastAsia="Calibri" w:hAnsi="Times New Roman" w:cs="Times New Roman"/>
              <w:sz w:val="28"/>
              <w:szCs w:val="28"/>
            </w:rPr>
            <w:t xml:space="preserve"> году</w:t>
          </w:r>
          <w:r>
            <w:rPr>
              <w:rFonts w:ascii="Times New Roman" w:eastAsia="Calibri" w:hAnsi="Times New Roman" w:cs="Times New Roman"/>
              <w:sz w:val="28"/>
              <w:szCs w:val="28"/>
            </w:rPr>
            <w:tab/>
            <w:t>33</w:t>
          </w:r>
        </w:p>
        <w:p w:rsidR="001A01B3" w:rsidRDefault="00DE6052" w:rsidP="001A01B3">
          <w:pPr>
            <w:tabs>
              <w:tab w:val="right" w:leader="dot" w:pos="9639"/>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A01B3">
            <w:rPr>
              <w:rFonts w:ascii="Times New Roman" w:eastAsia="Calibri" w:hAnsi="Times New Roman" w:cs="Times New Roman"/>
              <w:sz w:val="28"/>
              <w:szCs w:val="28"/>
            </w:rPr>
            <w:t xml:space="preserve"> </w:t>
          </w:r>
          <w:r w:rsidR="001A01B3" w:rsidRPr="00B82E69">
            <w:rPr>
              <w:rFonts w:ascii="Times New Roman" w:eastAsia="Calibri" w:hAnsi="Times New Roman" w:cs="Times New Roman"/>
              <w:sz w:val="28"/>
              <w:szCs w:val="28"/>
            </w:rPr>
            <w:t>Планируемые направления денежно-креди</w:t>
          </w:r>
          <w:r w:rsidR="001A01B3">
            <w:rPr>
              <w:rFonts w:ascii="Times New Roman" w:eastAsia="Calibri" w:hAnsi="Times New Roman" w:cs="Times New Roman"/>
              <w:sz w:val="28"/>
              <w:szCs w:val="28"/>
            </w:rPr>
            <w:t>тной политики на период до 2021 год</w:t>
          </w:r>
          <w:r w:rsidR="004978CA">
            <w:rPr>
              <w:rFonts w:ascii="Times New Roman" w:eastAsia="Calibri" w:hAnsi="Times New Roman" w:cs="Times New Roman"/>
              <w:sz w:val="28"/>
              <w:szCs w:val="28"/>
            </w:rPr>
            <w:t>а</w:t>
          </w:r>
          <w:r w:rsidR="004978CA">
            <w:rPr>
              <w:rFonts w:ascii="Times New Roman" w:eastAsia="Calibri" w:hAnsi="Times New Roman" w:cs="Times New Roman"/>
              <w:sz w:val="28"/>
              <w:szCs w:val="28"/>
            </w:rPr>
            <w:tab/>
            <w:t>45</w:t>
          </w:r>
        </w:p>
        <w:p w:rsidR="001A01B3" w:rsidRPr="00B82E69" w:rsidRDefault="004978CA" w:rsidP="001A01B3">
          <w:pPr>
            <w:tabs>
              <w:tab w:val="right" w:leader="dot" w:pos="963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Заключение </w:t>
          </w:r>
          <w:r>
            <w:rPr>
              <w:rFonts w:ascii="Times New Roman" w:eastAsia="Calibri" w:hAnsi="Times New Roman" w:cs="Times New Roman"/>
              <w:sz w:val="28"/>
              <w:szCs w:val="28"/>
            </w:rPr>
            <w:tab/>
            <w:t>47</w:t>
          </w:r>
        </w:p>
        <w:p w:rsidR="001A01B3" w:rsidRPr="00B82E69" w:rsidRDefault="004978CA" w:rsidP="001A01B3">
          <w:pPr>
            <w:tabs>
              <w:tab w:val="right" w:leader="dot" w:pos="963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Список литературы </w:t>
          </w:r>
          <w:r>
            <w:rPr>
              <w:rFonts w:ascii="Times New Roman" w:eastAsia="Calibri" w:hAnsi="Times New Roman" w:cs="Times New Roman"/>
              <w:sz w:val="28"/>
              <w:szCs w:val="28"/>
            </w:rPr>
            <w:tab/>
            <w:t>50</w:t>
          </w:r>
        </w:p>
      </w:sdtContent>
    </w:sdt>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br w:type="page"/>
      </w:r>
    </w:p>
    <w:p w:rsidR="001A01B3" w:rsidRPr="00B82E69" w:rsidRDefault="001A01B3" w:rsidP="001A01B3">
      <w:pPr>
        <w:spacing w:after="0" w:line="360" w:lineRule="auto"/>
        <w:ind w:firstLine="709"/>
        <w:jc w:val="center"/>
        <w:rPr>
          <w:rFonts w:ascii="Times New Roman" w:eastAsia="Calibri" w:hAnsi="Times New Roman" w:cs="Times New Roman"/>
          <w:sz w:val="28"/>
          <w:szCs w:val="28"/>
        </w:rPr>
      </w:pPr>
      <w:r w:rsidRPr="00B82E69">
        <w:rPr>
          <w:rFonts w:ascii="Times New Roman" w:eastAsia="Calibri" w:hAnsi="Times New Roman" w:cs="Times New Roman"/>
          <w:sz w:val="28"/>
          <w:szCs w:val="28"/>
        </w:rPr>
        <w:lastRenderedPageBreak/>
        <w:t>ВВЕДЕНИЕ</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 xml:space="preserve">Актуальность темы данной курсовой работы связана с важнейшей ролью Центрального Банка в образовании и координировании банковской системы. Он по праву являются основным звеном всей банковской системы почти в любой стране, ведь его деятельность связана с деятельностью государства в целом, он играет особую роль в финансовой и экономической системе государства, устанавливает ограничения и регулируют финансовый и кредитный рынки. Центральный банк в любом государстве занимает особое место в кредитно-финансовой системе. Значение Банка России очень велико, оно состоит в том, что он несет ответственность за проведение денежно-кредитной политики и стабильность банковской системы в целом. </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Цель работы – изучить денежно-кредитную политику ЦБ РФ на современном этапе. На основе проведенного анализа определить значение денежно-кредитной политики Банка России.</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Для достижения поставленной цели решаются следующие задачи:</w:t>
      </w:r>
    </w:p>
    <w:p w:rsidR="001A01B3" w:rsidRPr="00B82E69" w:rsidRDefault="001A01B3" w:rsidP="001A01B3">
      <w:pPr>
        <w:numPr>
          <w:ilvl w:val="0"/>
          <w:numId w:val="1"/>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ц</w:t>
      </w:r>
      <w:r w:rsidRPr="008C4380">
        <w:rPr>
          <w:rFonts w:ascii="Times New Roman" w:eastAsia="Calibri" w:hAnsi="Times New Roman" w:cs="Times New Roman"/>
          <w:sz w:val="28"/>
          <w:szCs w:val="28"/>
        </w:rPr>
        <w:t>елевые ориентиры и инструменты денежно-кредитной политики центральных банков</w:t>
      </w:r>
      <w:r w:rsidRPr="00B82E69">
        <w:rPr>
          <w:rFonts w:ascii="Times New Roman" w:eastAsia="Calibri" w:hAnsi="Times New Roman" w:cs="Times New Roman"/>
          <w:sz w:val="28"/>
          <w:szCs w:val="28"/>
        </w:rPr>
        <w:t>.</w:t>
      </w:r>
    </w:p>
    <w:p w:rsidR="001A01B3" w:rsidRPr="00B82E69" w:rsidRDefault="001A01B3" w:rsidP="001A01B3">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Обозначить</w:t>
      </w:r>
      <w:r>
        <w:rPr>
          <w:rFonts w:ascii="Times New Roman" w:eastAsia="Calibri" w:hAnsi="Times New Roman" w:cs="Times New Roman"/>
          <w:sz w:val="28"/>
          <w:szCs w:val="28"/>
        </w:rPr>
        <w:t xml:space="preserve"> з</w:t>
      </w:r>
      <w:r w:rsidRPr="008C4380">
        <w:rPr>
          <w:rFonts w:ascii="Times New Roman" w:eastAsia="Calibri" w:hAnsi="Times New Roman" w:cs="Times New Roman"/>
          <w:sz w:val="28"/>
          <w:szCs w:val="28"/>
        </w:rPr>
        <w:t>адачи и функции Банка России как орга</w:t>
      </w:r>
      <w:r>
        <w:rPr>
          <w:rFonts w:ascii="Times New Roman" w:eastAsia="Calibri" w:hAnsi="Times New Roman" w:cs="Times New Roman"/>
          <w:sz w:val="28"/>
          <w:szCs w:val="28"/>
        </w:rPr>
        <w:t>на управления денежно-кредитной сферой</w:t>
      </w:r>
      <w:r w:rsidRPr="00B82E69">
        <w:rPr>
          <w:rFonts w:ascii="Times New Roman" w:eastAsia="Calibri" w:hAnsi="Times New Roman" w:cs="Times New Roman"/>
          <w:sz w:val="28"/>
          <w:szCs w:val="28"/>
        </w:rPr>
        <w:t>.</w:t>
      </w:r>
    </w:p>
    <w:p w:rsidR="001A01B3" w:rsidRPr="00B82E69" w:rsidRDefault="001A01B3" w:rsidP="001A01B3">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Ра</w:t>
      </w:r>
      <w:r>
        <w:rPr>
          <w:rFonts w:ascii="Times New Roman" w:eastAsia="Calibri" w:hAnsi="Times New Roman" w:cs="Times New Roman"/>
          <w:sz w:val="28"/>
          <w:szCs w:val="28"/>
        </w:rPr>
        <w:t>ссмотреть п</w:t>
      </w:r>
      <w:r w:rsidRPr="008C4380">
        <w:rPr>
          <w:rFonts w:ascii="Times New Roman" w:eastAsia="Calibri" w:hAnsi="Times New Roman" w:cs="Times New Roman"/>
          <w:sz w:val="28"/>
          <w:szCs w:val="28"/>
        </w:rPr>
        <w:t>рименение инструментов денежно-кредитной политики Банком России</w:t>
      </w:r>
    </w:p>
    <w:p w:rsidR="001A01B3" w:rsidRPr="008C4380" w:rsidRDefault="001A01B3" w:rsidP="001A01B3">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Проанализировать</w:t>
      </w:r>
      <w:r>
        <w:t xml:space="preserve"> </w:t>
      </w:r>
      <w:r>
        <w:rPr>
          <w:rFonts w:ascii="Times New Roman" w:hAnsi="Times New Roman" w:cs="Times New Roman"/>
          <w:sz w:val="28"/>
          <w:szCs w:val="28"/>
        </w:rPr>
        <w:t>планируемое и осуществивше</w:t>
      </w:r>
      <w:r w:rsidRPr="008C4380">
        <w:rPr>
          <w:rFonts w:ascii="Times New Roman" w:hAnsi="Times New Roman" w:cs="Times New Roman"/>
          <w:sz w:val="28"/>
          <w:szCs w:val="28"/>
        </w:rPr>
        <w:t xml:space="preserve">еся ранее </w:t>
      </w:r>
      <w:r w:rsidRPr="008C4380">
        <w:rPr>
          <w:rFonts w:ascii="Times New Roman" w:eastAsia="Calibri" w:hAnsi="Times New Roman" w:cs="Times New Roman"/>
          <w:sz w:val="28"/>
          <w:szCs w:val="28"/>
        </w:rPr>
        <w:t xml:space="preserve">совершенствование денежно-кредитной </w:t>
      </w:r>
      <w:proofErr w:type="gramStart"/>
      <w:r w:rsidRPr="008C4380">
        <w:rPr>
          <w:rFonts w:ascii="Times New Roman" w:eastAsia="Calibri" w:hAnsi="Times New Roman" w:cs="Times New Roman"/>
          <w:sz w:val="28"/>
          <w:szCs w:val="28"/>
        </w:rPr>
        <w:t>политики .</w:t>
      </w:r>
      <w:proofErr w:type="gramEnd"/>
    </w:p>
    <w:p w:rsidR="001A01B3" w:rsidRPr="00B82E69" w:rsidRDefault="001A01B3" w:rsidP="001A01B3">
      <w:pPr>
        <w:numPr>
          <w:ilvl w:val="0"/>
          <w:numId w:val="1"/>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82E69">
        <w:rPr>
          <w:rFonts w:ascii="Times New Roman" w:eastAsia="Calibri" w:hAnsi="Times New Roman" w:cs="Times New Roman"/>
          <w:sz w:val="28"/>
          <w:szCs w:val="28"/>
        </w:rPr>
        <w:t xml:space="preserve">ыявить </w:t>
      </w:r>
      <w:r>
        <w:rPr>
          <w:rFonts w:ascii="Times New Roman" w:eastAsia="Calibri" w:hAnsi="Times New Roman" w:cs="Times New Roman"/>
          <w:sz w:val="28"/>
          <w:szCs w:val="28"/>
        </w:rPr>
        <w:t>основные проблемы денежно-кредитной политики в современном мире</w:t>
      </w:r>
      <w:r w:rsidRPr="00B82E69">
        <w:rPr>
          <w:rFonts w:ascii="Times New Roman" w:eastAsia="Calibri" w:hAnsi="Times New Roman" w:cs="Times New Roman"/>
          <w:sz w:val="28"/>
          <w:szCs w:val="28"/>
        </w:rPr>
        <w:t>.</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Объектом исследования курсовой работы является денежно-кредитная система Центрального Банка России.</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Предметом — денежно-кредитная политика Центрального Банка</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России.</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lastRenderedPageBreak/>
        <w:t xml:space="preserve">Функционированию денежно-кредитной сферы, а также банковского сектора экономики всегда уделялось достаточно внимания, так как кредитно-финансовые институты, формирующие и регулирующие денежное обращение, способствуют организации </w:t>
      </w:r>
      <w:r w:rsidR="00995D35" w:rsidRPr="00B82E69">
        <w:rPr>
          <w:rFonts w:ascii="Times New Roman" w:eastAsia="Calibri" w:hAnsi="Times New Roman" w:cs="Times New Roman"/>
          <w:sz w:val="28"/>
          <w:szCs w:val="28"/>
        </w:rPr>
        <w:t xml:space="preserve">отношениям </w:t>
      </w:r>
      <w:r w:rsidRPr="00B82E69">
        <w:rPr>
          <w:rFonts w:ascii="Times New Roman" w:eastAsia="Calibri" w:hAnsi="Times New Roman" w:cs="Times New Roman"/>
          <w:sz w:val="28"/>
          <w:szCs w:val="28"/>
        </w:rPr>
        <w:t xml:space="preserve">эффективных производственных, хозяйственных и коммерческих отношений, справедливому перераспределению созданного обществом валового внутреннего продукта, придают производственно-хозяйственным и коммерческим определенную систему, конкретность и </w:t>
      </w:r>
      <w:proofErr w:type="spellStart"/>
      <w:r w:rsidRPr="00B82E69">
        <w:rPr>
          <w:rFonts w:ascii="Times New Roman" w:eastAsia="Calibri" w:hAnsi="Times New Roman" w:cs="Times New Roman"/>
          <w:sz w:val="28"/>
          <w:szCs w:val="28"/>
        </w:rPr>
        <w:t>нормированность</w:t>
      </w:r>
      <w:proofErr w:type="spellEnd"/>
      <w:r w:rsidRPr="00B82E69">
        <w:rPr>
          <w:rFonts w:ascii="Times New Roman" w:eastAsia="Calibri" w:hAnsi="Times New Roman" w:cs="Times New Roman"/>
          <w:sz w:val="28"/>
          <w:szCs w:val="28"/>
        </w:rPr>
        <w:t>.</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Теоретической и методологической базой исследования являются труды отечественных специалистов, ученых в области теории государства и права, конституционного, финансового и банковского права.</w:t>
      </w:r>
      <w:r w:rsidRPr="00B82E69">
        <w:rPr>
          <w:rFonts w:ascii="Times New Roman" w:eastAsia="Calibri" w:hAnsi="Times New Roman" w:cs="Times New Roman"/>
          <w:sz w:val="28"/>
          <w:szCs w:val="28"/>
        </w:rPr>
        <w:br/>
        <w:t>Информационно-практической базой исследования выступили не только отраслевая научная литература и периодические издания по исследуемым проблемам, но и данные докладов Центрального банка РФ, Федеральной службы государственной статистики РФ, Федеральной налоговой службы РФ, Министерства экономического развития РФ.</w:t>
      </w:r>
      <w:r w:rsidRPr="00B82E69">
        <w:rPr>
          <w:rFonts w:ascii="Calibri" w:eastAsia="Calibri" w:hAnsi="Calibri" w:cs="Times New Roman"/>
        </w:rPr>
        <w:t xml:space="preserve"> </w:t>
      </w:r>
      <w:r w:rsidRPr="00B82E69">
        <w:rPr>
          <w:rFonts w:ascii="Times New Roman" w:eastAsia="Calibri" w:hAnsi="Times New Roman" w:cs="Times New Roman"/>
          <w:sz w:val="28"/>
          <w:szCs w:val="28"/>
        </w:rPr>
        <w:t>Для выполнения работы были использованы нормативная и правовая документация, материалы конференций, отчетов и аналитических обзоров.</w:t>
      </w:r>
    </w:p>
    <w:p w:rsidR="001A01B3" w:rsidRPr="00B82E69" w:rsidRDefault="001A01B3" w:rsidP="001A01B3">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Методологические основы данной работы составили общенаучные и </w:t>
      </w:r>
      <w:proofErr w:type="spellStart"/>
      <w:r w:rsidRPr="00B82E69">
        <w:rPr>
          <w:rFonts w:ascii="Times New Roman" w:eastAsia="Calibri" w:hAnsi="Times New Roman" w:cs="Times New Roman"/>
          <w:sz w:val="28"/>
          <w:szCs w:val="28"/>
        </w:rPr>
        <w:t>частно</w:t>
      </w:r>
      <w:proofErr w:type="spellEnd"/>
      <w:r w:rsidRPr="00B82E69">
        <w:rPr>
          <w:rFonts w:ascii="Times New Roman" w:eastAsia="Calibri" w:hAnsi="Times New Roman" w:cs="Times New Roman"/>
          <w:sz w:val="28"/>
          <w:szCs w:val="28"/>
        </w:rPr>
        <w:t>-научные методы познания, среди них следующие: диалектический, сравнительно-правовой, конкретно-социологический, статистический методы исследования понятия конституционно-правового статуса Центрального банка Российской Федерации, его конституционно-правовых основ, полномочий и юридической ответственности.</w:t>
      </w:r>
    </w:p>
    <w:p w:rsidR="00D402FB" w:rsidRDefault="001A01B3" w:rsidP="002105B8">
      <w:pPr>
        <w:spacing w:after="0" w:line="360" w:lineRule="auto"/>
        <w:ind w:firstLine="709"/>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Курсовая работа состоит из введе</w:t>
      </w:r>
      <w:r w:rsidR="006D2BE6">
        <w:rPr>
          <w:rFonts w:ascii="Times New Roman" w:eastAsia="Calibri" w:hAnsi="Times New Roman" w:cs="Times New Roman"/>
          <w:sz w:val="28"/>
          <w:szCs w:val="28"/>
        </w:rPr>
        <w:t>ния, трех глав, 6</w:t>
      </w:r>
      <w:r w:rsidRPr="00B82E69">
        <w:rPr>
          <w:rFonts w:ascii="Times New Roman" w:eastAsia="Calibri" w:hAnsi="Times New Roman" w:cs="Times New Roman"/>
          <w:sz w:val="28"/>
          <w:szCs w:val="28"/>
        </w:rPr>
        <w:t xml:space="preserve"> параграфов, заключения и списка</w:t>
      </w:r>
      <w:r w:rsidR="004B1284">
        <w:rPr>
          <w:rFonts w:ascii="Times New Roman" w:eastAsia="Calibri" w:hAnsi="Times New Roman" w:cs="Times New Roman"/>
          <w:sz w:val="28"/>
          <w:szCs w:val="28"/>
        </w:rPr>
        <w:t xml:space="preserve"> использованной литературы из 24</w:t>
      </w:r>
      <w:r w:rsidRPr="00B82E69">
        <w:rPr>
          <w:rFonts w:ascii="Times New Roman" w:eastAsia="Calibri" w:hAnsi="Times New Roman" w:cs="Times New Roman"/>
          <w:sz w:val="28"/>
          <w:szCs w:val="28"/>
        </w:rPr>
        <w:t xml:space="preserve"> источников</w:t>
      </w:r>
      <w:r w:rsidR="00D402FB">
        <w:rPr>
          <w:rFonts w:ascii="Times New Roman" w:eastAsia="Calibri" w:hAnsi="Times New Roman" w:cs="Times New Roman"/>
          <w:sz w:val="28"/>
          <w:szCs w:val="28"/>
        </w:rPr>
        <w:t>. Общий объем работы составил 53</w:t>
      </w:r>
      <w:r w:rsidRPr="00B82E69">
        <w:rPr>
          <w:rFonts w:ascii="Times New Roman" w:eastAsia="Calibri" w:hAnsi="Times New Roman" w:cs="Times New Roman"/>
          <w:sz w:val="28"/>
          <w:szCs w:val="28"/>
        </w:rPr>
        <w:t xml:space="preserve"> страниц, работа дополнена</w:t>
      </w:r>
      <w:r w:rsidR="00D402FB">
        <w:rPr>
          <w:rFonts w:ascii="Times New Roman" w:eastAsia="Calibri" w:hAnsi="Times New Roman" w:cs="Times New Roman"/>
          <w:sz w:val="28"/>
          <w:szCs w:val="28"/>
        </w:rPr>
        <w:t xml:space="preserve"> двумя</w:t>
      </w:r>
      <w:r w:rsidRPr="00B82E69">
        <w:rPr>
          <w:rFonts w:ascii="Times New Roman" w:eastAsia="Calibri" w:hAnsi="Times New Roman" w:cs="Times New Roman"/>
          <w:sz w:val="28"/>
          <w:szCs w:val="28"/>
        </w:rPr>
        <w:t xml:space="preserve"> </w:t>
      </w:r>
      <w:r w:rsidR="00D402FB">
        <w:rPr>
          <w:rFonts w:ascii="Times New Roman" w:eastAsia="Calibri" w:hAnsi="Times New Roman" w:cs="Times New Roman"/>
          <w:sz w:val="28"/>
          <w:szCs w:val="28"/>
        </w:rPr>
        <w:t>таблицами</w:t>
      </w:r>
      <w:r>
        <w:rPr>
          <w:rFonts w:ascii="Times New Roman" w:eastAsia="Calibri" w:hAnsi="Times New Roman" w:cs="Times New Roman"/>
          <w:sz w:val="28"/>
          <w:szCs w:val="28"/>
        </w:rPr>
        <w:t xml:space="preserve"> и пятью рисунками.</w:t>
      </w:r>
      <w:r w:rsidR="002105B8" w:rsidRPr="004D031B">
        <w:rPr>
          <w:rFonts w:ascii="Times New Roman" w:eastAsia="Calibri" w:hAnsi="Times New Roman" w:cs="Times New Roman"/>
          <w:sz w:val="28"/>
          <w:szCs w:val="28"/>
        </w:rPr>
        <w:t xml:space="preserve"> </w:t>
      </w:r>
    </w:p>
    <w:p w:rsidR="00D402FB" w:rsidRDefault="00D402FB" w:rsidP="002105B8">
      <w:pPr>
        <w:spacing w:after="0" w:line="360" w:lineRule="auto"/>
        <w:ind w:firstLine="709"/>
        <w:jc w:val="both"/>
        <w:rPr>
          <w:rFonts w:ascii="Times New Roman" w:eastAsia="Calibri" w:hAnsi="Times New Roman" w:cs="Times New Roman"/>
          <w:sz w:val="28"/>
          <w:szCs w:val="28"/>
        </w:rPr>
      </w:pPr>
    </w:p>
    <w:p w:rsidR="001A01B3" w:rsidRPr="00D402FB" w:rsidRDefault="001A01B3" w:rsidP="00D402FB">
      <w:pPr>
        <w:tabs>
          <w:tab w:val="right" w:leader="dot" w:pos="9639"/>
        </w:tabs>
        <w:spacing w:after="0" w:line="360" w:lineRule="auto"/>
        <w:jc w:val="both"/>
        <w:rPr>
          <w:rFonts w:ascii="Times New Roman" w:eastAsia="Calibri" w:hAnsi="Times New Roman" w:cs="Times New Roman"/>
          <w:sz w:val="28"/>
          <w:szCs w:val="28"/>
        </w:rPr>
      </w:pPr>
    </w:p>
    <w:p w:rsidR="002105B8" w:rsidRPr="006357FC" w:rsidRDefault="006357FC" w:rsidP="00995D35">
      <w:pPr>
        <w:tabs>
          <w:tab w:val="right" w:leader="dot" w:pos="9639"/>
        </w:tabs>
        <w:spacing w:after="0" w:line="360" w:lineRule="auto"/>
        <w:ind w:left="709"/>
        <w:jc w:val="both"/>
        <w:rPr>
          <w:rFonts w:ascii="Times New Roman" w:eastAsia="Calibri" w:hAnsi="Times New Roman" w:cs="Times New Roman"/>
          <w:sz w:val="28"/>
          <w:szCs w:val="28"/>
        </w:rPr>
      </w:pPr>
      <w:r w:rsidRPr="006357FC">
        <w:rPr>
          <w:rFonts w:ascii="Times New Roman" w:eastAsia="Calibri" w:hAnsi="Times New Roman" w:cs="Times New Roman"/>
          <w:sz w:val="28"/>
          <w:szCs w:val="28"/>
        </w:rPr>
        <w:lastRenderedPageBreak/>
        <w:t>1 Денежно-кредитная политика как элемент финансовой политики государства</w:t>
      </w:r>
    </w:p>
    <w:p w:rsidR="006357FC" w:rsidRPr="004D031B" w:rsidRDefault="006357FC" w:rsidP="001A01B3">
      <w:pPr>
        <w:pStyle w:val="a5"/>
        <w:tabs>
          <w:tab w:val="right" w:leader="dot" w:pos="9639"/>
        </w:tabs>
        <w:spacing w:after="0" w:line="360" w:lineRule="auto"/>
        <w:ind w:left="630"/>
        <w:jc w:val="both"/>
        <w:rPr>
          <w:rFonts w:ascii="Times New Roman" w:eastAsia="Calibri" w:hAnsi="Times New Roman" w:cs="Times New Roman"/>
          <w:sz w:val="28"/>
          <w:szCs w:val="28"/>
        </w:rPr>
      </w:pPr>
    </w:p>
    <w:p w:rsidR="001A01B3" w:rsidRPr="004D031B" w:rsidRDefault="006357FC" w:rsidP="006357FC">
      <w:pPr>
        <w:pStyle w:val="a5"/>
        <w:numPr>
          <w:ilvl w:val="1"/>
          <w:numId w:val="6"/>
        </w:numPr>
        <w:tabs>
          <w:tab w:val="right" w:leader="dot" w:pos="963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01B3" w:rsidRPr="004D031B">
        <w:rPr>
          <w:rFonts w:ascii="Times New Roman" w:eastAsia="Calibri" w:hAnsi="Times New Roman" w:cs="Times New Roman"/>
          <w:sz w:val="28"/>
          <w:szCs w:val="28"/>
        </w:rPr>
        <w:t>Целевые ориентиры денежно-кредитной политики центральных банков</w:t>
      </w:r>
    </w:p>
    <w:p w:rsidR="001A01B3"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p>
    <w:p w:rsidR="001A01B3" w:rsidRPr="00397E47"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397E47">
        <w:rPr>
          <w:rFonts w:ascii="Times New Roman" w:eastAsia="Calibri" w:hAnsi="Times New Roman" w:cs="Times New Roman"/>
          <w:sz w:val="28"/>
          <w:szCs w:val="28"/>
        </w:rPr>
        <w:t>Современная кредитно-денежная система представляет собой результат длительного исторического развития и приспособления кредитных институтов к потребностям развития рыночной экономики. С институциональной точки зрения кредитно-денежная система представляет собой комплекс валютно-финансовых учреждений, активно используемых государством в целях регулирования экономики.</w:t>
      </w:r>
    </w:p>
    <w:p w:rsidR="001A01B3"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397E47">
        <w:rPr>
          <w:rFonts w:ascii="Times New Roman" w:eastAsia="Calibri" w:hAnsi="Times New Roman" w:cs="Times New Roman"/>
          <w:sz w:val="28"/>
          <w:szCs w:val="28"/>
        </w:rPr>
        <w:t>Когда говорят о кредитной системе, то обычно подразумевают две ее стороны. Одна ее сторона – совокупность кредитных отношений, форм и методов кредитования. Вторая ее сторона – совокупность банков, иных кредитно-финансовых институтов, аккумулирующих временно свободные денежные средства и предоставляющие их в ссуду. Безусловно, кредитная система – понятие более широкое по сравнению с банковской системой, поскольку включает в себя помимо банков, являющихся ее ведущим звеном, банковский, потребительский, коммерческий, государственный, международный кредиты со своими формами отношений и методами кредитования.</w:t>
      </w:r>
    </w:p>
    <w:p w:rsidR="001A01B3" w:rsidRPr="004D031B"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4D031B">
        <w:rPr>
          <w:rFonts w:ascii="Times New Roman" w:eastAsia="Calibri" w:hAnsi="Times New Roman" w:cs="Times New Roman"/>
          <w:sz w:val="28"/>
          <w:szCs w:val="28"/>
        </w:rPr>
        <w:t>сновными целями экономической политики любого государства является обеспечение роста производства, возможно более полной занятости населения, стабильности цен и макроэкономического равновесия. Центральные банки могут участвовать в решении этих общеэкономических задач, используя свое право осуществлять денежно-кредитную</w:t>
      </w:r>
      <w:r>
        <w:rPr>
          <w:rFonts w:ascii="Times New Roman" w:eastAsia="Calibri" w:hAnsi="Times New Roman" w:cs="Times New Roman"/>
          <w:sz w:val="28"/>
          <w:szCs w:val="28"/>
        </w:rPr>
        <w:t xml:space="preserve"> политику.</w:t>
      </w:r>
    </w:p>
    <w:p w:rsidR="001A01B3" w:rsidRPr="004D031B"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Обеспечение экономического роста в стране, полной занятости населения, стабильности цен, устойчивости национальной валюты и внешнеэкономического равновесия являются конечными целям</w:t>
      </w:r>
      <w:r w:rsidR="006D2BE6">
        <w:rPr>
          <w:rFonts w:ascii="Times New Roman" w:eastAsia="Calibri" w:hAnsi="Times New Roman" w:cs="Times New Roman"/>
          <w:sz w:val="28"/>
          <w:szCs w:val="28"/>
        </w:rPr>
        <w:t>и</w:t>
      </w:r>
      <w:r w:rsidRPr="004D031B">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lastRenderedPageBreak/>
        <w:t>макроэкономической политики г</w:t>
      </w:r>
      <w:r>
        <w:rPr>
          <w:rFonts w:ascii="Times New Roman" w:eastAsia="Calibri" w:hAnsi="Times New Roman" w:cs="Times New Roman"/>
          <w:sz w:val="28"/>
          <w:szCs w:val="28"/>
        </w:rPr>
        <w:t xml:space="preserve">осударства и находятся в тесном </w:t>
      </w:r>
      <w:r w:rsidRPr="004D031B">
        <w:rPr>
          <w:rFonts w:ascii="Times New Roman" w:eastAsia="Calibri" w:hAnsi="Times New Roman" w:cs="Times New Roman"/>
          <w:sz w:val="28"/>
          <w:szCs w:val="28"/>
        </w:rPr>
        <w:t>согласовании с целями денежно-кредитной</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политики, среди которых выделяют конечные, про</w:t>
      </w:r>
      <w:r>
        <w:rPr>
          <w:rFonts w:ascii="Times New Roman" w:eastAsia="Calibri" w:hAnsi="Times New Roman" w:cs="Times New Roman"/>
          <w:sz w:val="28"/>
          <w:szCs w:val="28"/>
        </w:rPr>
        <w:t>межуточные и операционные цели.</w:t>
      </w:r>
    </w:p>
    <w:p w:rsidR="001A01B3" w:rsidRPr="004D031B"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Конечными целями денежно-кредитной</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политики</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в мировой практике денежные власти, как правило, объявляют стабильность цен и/или стабильность национальной валюты, в некоторых странах к этим целям добавляется</w:t>
      </w:r>
      <w:r>
        <w:rPr>
          <w:rFonts w:ascii="Times New Roman" w:eastAsia="Calibri" w:hAnsi="Times New Roman" w:cs="Times New Roman"/>
          <w:sz w:val="28"/>
          <w:szCs w:val="28"/>
        </w:rPr>
        <w:t xml:space="preserve"> устойчивый экономический рост.</w:t>
      </w:r>
    </w:p>
    <w:p w:rsidR="001A01B3" w:rsidRPr="004D031B"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Достижение конечных целей – глобальная задача, решение которой зависит от множества воздействующих факторов, поэтому текущая денежно-кредитная</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 xml:space="preserve">политика ориентируется на более конкретные цели </w:t>
      </w:r>
      <w:r>
        <w:rPr>
          <w:rFonts w:ascii="Times New Roman" w:eastAsia="Calibri" w:hAnsi="Times New Roman" w:cs="Times New Roman"/>
          <w:sz w:val="28"/>
          <w:szCs w:val="28"/>
        </w:rPr>
        <w:t>– промежуточные и операционные.</w:t>
      </w:r>
    </w:p>
    <w:p w:rsidR="001A01B3" w:rsidRPr="00397E47"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Промежуточные цели — экономические показатели, в той или иной степени находящиеся под контролем органов</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денежно-кредитного</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р</w:t>
      </w:r>
      <w:r>
        <w:rPr>
          <w:rFonts w:ascii="Times New Roman" w:eastAsia="Calibri" w:hAnsi="Times New Roman" w:cs="Times New Roman"/>
          <w:sz w:val="28"/>
          <w:szCs w:val="28"/>
        </w:rPr>
        <w:t>егулирования (денежных властей)</w:t>
      </w:r>
      <w:r w:rsidRPr="004D031B">
        <w:rPr>
          <w:rFonts w:ascii="Times New Roman" w:eastAsia="Calibri" w:hAnsi="Times New Roman" w:cs="Times New Roman"/>
          <w:sz w:val="28"/>
          <w:szCs w:val="28"/>
        </w:rPr>
        <w:t xml:space="preserve">, изменение которых воздействует на поведение экономических показателей рынков капиталов, </w:t>
      </w:r>
      <w:r>
        <w:rPr>
          <w:rFonts w:ascii="Times New Roman" w:eastAsia="Calibri" w:hAnsi="Times New Roman" w:cs="Times New Roman"/>
          <w:sz w:val="28"/>
          <w:szCs w:val="28"/>
        </w:rPr>
        <w:t>ценных бумаг и валютного рынка.</w:t>
      </w:r>
    </w:p>
    <w:p w:rsidR="001A01B3" w:rsidRDefault="001A01B3" w:rsidP="001A01B3">
      <w:pPr>
        <w:pStyle w:val="a5"/>
        <w:tabs>
          <w:tab w:val="right" w:leader="dot" w:pos="9639"/>
        </w:tabs>
        <w:spacing w:after="0" w:line="360" w:lineRule="auto"/>
        <w:ind w:left="0" w:firstLine="709"/>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Для достижения конечных целей денежно-кредитной</w:t>
      </w:r>
      <w:r>
        <w:rPr>
          <w:rFonts w:ascii="Times New Roman" w:eastAsia="Calibri" w:hAnsi="Times New Roman" w:cs="Times New Roman"/>
          <w:sz w:val="28"/>
          <w:szCs w:val="28"/>
        </w:rPr>
        <w:t xml:space="preserve"> </w:t>
      </w:r>
      <w:r w:rsidRPr="004D031B">
        <w:rPr>
          <w:rFonts w:ascii="Times New Roman" w:eastAsia="Calibri" w:hAnsi="Times New Roman" w:cs="Times New Roman"/>
          <w:sz w:val="28"/>
          <w:szCs w:val="28"/>
        </w:rPr>
        <w:t>политики центральные банки многих стран в качестве основного объекта регулирования выбирают совокупный объем денежной массы или его отдельные агрегаты. В странах с хорошо развитым финансовым рынком и сбалансированной экономикой более важным является регулирование процентных ставок, в странах с фиксированным или управляемым валютным курсом — валютный курс. Все эти показатели в равной степени могут выполнять роль пр</w:t>
      </w:r>
      <w:r>
        <w:rPr>
          <w:rFonts w:ascii="Times New Roman" w:eastAsia="Calibri" w:hAnsi="Times New Roman" w:cs="Times New Roman"/>
          <w:sz w:val="28"/>
          <w:szCs w:val="28"/>
        </w:rPr>
        <w:t>омежуточных целевых ориентиров.</w:t>
      </w:r>
    </w:p>
    <w:p w:rsidR="001A01B3"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 xml:space="preserve">Преимущества кредитно-денежной политики состоят в ее гибкости и политической приемлемости, в её наибольшей степени соответствия требованиям рыночного механизма. Показателями эффективности денежно- кредитной политики служат индексы и темпы роста инфляции, приток (отток) инвестиционного капитала, стабильность курса национальной валюты, объем валютных резервов, включая золотовалютные резервы Центрального банка </w:t>
      </w:r>
      <w:r w:rsidRPr="00486C87">
        <w:rPr>
          <w:rFonts w:ascii="Times New Roman" w:eastAsia="Calibri" w:hAnsi="Times New Roman" w:cs="Times New Roman"/>
          <w:sz w:val="28"/>
          <w:szCs w:val="28"/>
        </w:rPr>
        <w:lastRenderedPageBreak/>
        <w:t>РФ, и их эффективное использование, темпы роста ВВП, доли активов, капитала и кредитов банковской системы относительно ВВП, доля совокупных прямых инвестиций в экономику относительно ВВП.</w:t>
      </w:r>
    </w:p>
    <w:p w:rsidR="001A01B3"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Рыночная экономика требует повышения эффективности и оперативности реализации денежно-кредитной политики на макроуровне. Экономическая политика государства тесно связана с направлени</w:t>
      </w:r>
      <w:r>
        <w:rPr>
          <w:rFonts w:ascii="Times New Roman" w:eastAsia="Calibri" w:hAnsi="Times New Roman" w:cs="Times New Roman"/>
          <w:sz w:val="28"/>
          <w:szCs w:val="28"/>
        </w:rPr>
        <w:t xml:space="preserve">ями денежно-кредитной </w:t>
      </w:r>
      <w:proofErr w:type="gramStart"/>
      <w:r>
        <w:rPr>
          <w:rFonts w:ascii="Times New Roman" w:eastAsia="Calibri" w:hAnsi="Times New Roman" w:cs="Times New Roman"/>
          <w:sz w:val="28"/>
          <w:szCs w:val="28"/>
        </w:rPr>
        <w:t xml:space="preserve">политики </w:t>
      </w: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одной</w:t>
      </w:r>
      <w:proofErr w:type="gramEnd"/>
      <w:r w:rsidRPr="00486C87">
        <w:rPr>
          <w:rFonts w:ascii="Times New Roman" w:eastAsia="Calibri" w:hAnsi="Times New Roman" w:cs="Times New Roman"/>
          <w:sz w:val="28"/>
          <w:szCs w:val="28"/>
        </w:rPr>
        <w:t xml:space="preserve"> из составляющих для достижения целей развития национальной экономики. Основной провод</w:t>
      </w:r>
      <w:r>
        <w:rPr>
          <w:rFonts w:ascii="Times New Roman" w:eastAsia="Calibri" w:hAnsi="Times New Roman" w:cs="Times New Roman"/>
          <w:sz w:val="28"/>
          <w:szCs w:val="28"/>
        </w:rPr>
        <w:t xml:space="preserve">ник денежно-кредитной </w:t>
      </w:r>
      <w:proofErr w:type="gramStart"/>
      <w:r>
        <w:rPr>
          <w:rFonts w:ascii="Times New Roman" w:eastAsia="Calibri" w:hAnsi="Times New Roman" w:cs="Times New Roman"/>
          <w:sz w:val="28"/>
          <w:szCs w:val="28"/>
        </w:rPr>
        <w:t xml:space="preserve">политики </w:t>
      </w: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Центральный</w:t>
      </w:r>
      <w:proofErr w:type="gramEnd"/>
      <w:r w:rsidRPr="00486C87">
        <w:rPr>
          <w:rFonts w:ascii="Times New Roman" w:eastAsia="Calibri" w:hAnsi="Times New Roman" w:cs="Times New Roman"/>
          <w:sz w:val="28"/>
          <w:szCs w:val="28"/>
        </w:rPr>
        <w:t xml:space="preserve"> банк.</w:t>
      </w:r>
    </w:p>
    <w:p w:rsidR="001A01B3"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Различают «узкую» и «широкую» денежно-кредитную политику. Под узкой политикой подразумевают достижение оптимального валютного курса с помощью инвестиций на валютном рынке, учетной политики и других инструментов, влияющие на краткосрочные процентные ставки.</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Целью широкой политики является борьба с инфляцией через воздействие на денежную массу в обращении.</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Главная ц</w:t>
      </w:r>
      <w:r>
        <w:rPr>
          <w:rFonts w:ascii="Times New Roman" w:eastAsia="Calibri" w:hAnsi="Times New Roman" w:cs="Times New Roman"/>
          <w:sz w:val="28"/>
          <w:szCs w:val="28"/>
        </w:rPr>
        <w:t xml:space="preserve">ель денежно-кредитной </w:t>
      </w:r>
      <w:proofErr w:type="gramStart"/>
      <w:r>
        <w:rPr>
          <w:rFonts w:ascii="Times New Roman" w:eastAsia="Calibri" w:hAnsi="Times New Roman" w:cs="Times New Roman"/>
          <w:sz w:val="28"/>
          <w:szCs w:val="28"/>
        </w:rPr>
        <w:t xml:space="preserve">политики </w:t>
      </w: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это</w:t>
      </w:r>
      <w:proofErr w:type="gramEnd"/>
      <w:r w:rsidRPr="00486C87">
        <w:rPr>
          <w:rFonts w:ascii="Times New Roman" w:eastAsia="Calibri" w:hAnsi="Times New Roman" w:cs="Times New Roman"/>
          <w:sz w:val="28"/>
          <w:szCs w:val="28"/>
        </w:rPr>
        <w:t xml:space="preserve"> достижение макроэкономической стабилизации в долгосрочном периоде времени. Частные же цели связаны с обеспечением стабильного прироста денежной массы в обращении, равновесной ставки банковского процента и ослабление инфляционных процессов. Основными целями денежно-кредитной политики на макроуровне являются:</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поддержание стабильности цен;</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достижение высокого уровня занятости (стремление к естественному уровню безработицы, при котором спрос на труд равен его предложению);</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обеспечение экономического роста;</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обеспечение устойчивости ставки процента на внутреннем денежном рынке;</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поддержание равновесия на отдельных сегментах национального</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финансового рынка;</w:t>
      </w:r>
    </w:p>
    <w:p w:rsidR="001A01B3" w:rsidRPr="005A78C8"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lastRenderedPageBreak/>
        <w:sym w:font="Symbol" w:char="F02D"/>
      </w:r>
      <w:r w:rsidRPr="00486C87">
        <w:rPr>
          <w:rFonts w:ascii="Times New Roman" w:eastAsia="Calibri" w:hAnsi="Times New Roman" w:cs="Times New Roman"/>
          <w:sz w:val="28"/>
          <w:szCs w:val="28"/>
        </w:rPr>
        <w:t xml:space="preserve"> обеспечение устойчивости внутреннего валютного рынка.</w:t>
      </w:r>
      <w:r w:rsidR="004277F2">
        <w:rPr>
          <w:rFonts w:ascii="Times New Roman" w:eastAsia="Calibri" w:hAnsi="Times New Roman" w:cs="Times New Roman"/>
          <w:sz w:val="28"/>
          <w:szCs w:val="28"/>
        </w:rPr>
        <w:t xml:space="preserve"> </w:t>
      </w:r>
      <w:r w:rsidR="005A78C8">
        <w:rPr>
          <w:rFonts w:ascii="Times New Roman" w:eastAsia="Calibri" w:hAnsi="Times New Roman" w:cs="Times New Roman"/>
          <w:sz w:val="28"/>
          <w:szCs w:val="28"/>
          <w:lang w:val="en-US"/>
        </w:rPr>
        <w:t>[11]</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Поддержание стабильности цен в настоящее время является основной целью регулирования и трактуется как последовательное снижение уровня инфляции. Снижение инфляции способствует улучшению инвестиционного климата в стране, укрепляет тенденцию экономического роста.</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Низкий уровень инфляции дает возможность:</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уменьшить макроэкономические риски;</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расширить внутренний кредит;</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сконцентрировать капитал, необходимый для модернизации основных фондов и закрепить на этой основе устойчивые тенденции экономического роста.</w:t>
      </w:r>
    </w:p>
    <w:p w:rsidR="001A01B3" w:rsidRPr="004277F2"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 xml:space="preserve">Осуществление данных целей с помощью мероприятий денежно-кредитной политики происходит достаточно медленно и рассчитаны на многие годы и не могут быстро реагировать на изменения на рынке. Поэтому промежуточные цели текущей денежно-кредитной политики ориентируются на более конкретные и достижимые цели. Выбор промежуточных целей зависит от степени либерализации экономики и независимости центрального банка. </w:t>
      </w:r>
      <w:r w:rsidR="001F37C7" w:rsidRPr="004277F2">
        <w:rPr>
          <w:rFonts w:ascii="Times New Roman" w:eastAsia="Calibri" w:hAnsi="Times New Roman" w:cs="Times New Roman"/>
          <w:sz w:val="28"/>
          <w:szCs w:val="28"/>
        </w:rPr>
        <w:t>[9]</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Система денежно-кредитного регулирования является неотъемлемой частью денежной системы страны и, реализуя государственные и общественные интересы, осуществляет поддержание и нормальное ее функционирование. Составляя организационный блок денежной системы, денежно-кредитная система должна:</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удовлетворять потребности и повысить эффективность деятельности участников денежного оборота;</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обеспечить защиту и достижение баланса интересов участников денежного оборота;</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способствовать уменьшению издержек участников денежного оборота, повышению качества оказываемых услуг;</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sym w:font="Symbol" w:char="F02D"/>
      </w:r>
      <w:r w:rsidRPr="00486C87">
        <w:rPr>
          <w:rFonts w:ascii="Times New Roman" w:eastAsia="Calibri" w:hAnsi="Times New Roman" w:cs="Times New Roman"/>
          <w:sz w:val="28"/>
          <w:szCs w:val="28"/>
        </w:rPr>
        <w:t xml:space="preserve"> создавать механизмы, позволяющие снизить влияние негативных процессов в денежном обороте;</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формировать необходимый объем денежных ресурсов и привлекать инвестиции;</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способствовать развитию конкурентной среды на денежном рынке и формированию конкурентных отношений;</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расширять рынок банковских услуг и улучшать их качество;</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486C87">
        <w:rPr>
          <w:rFonts w:ascii="Times New Roman" w:eastAsia="Calibri" w:hAnsi="Times New Roman" w:cs="Times New Roman"/>
          <w:sz w:val="28"/>
          <w:szCs w:val="28"/>
        </w:rPr>
        <w:t xml:space="preserve"> совершенствовать системы безналичных расчетов.</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В зависимости от того</w:t>
      </w:r>
      <w:r>
        <w:rPr>
          <w:rFonts w:ascii="Times New Roman" w:eastAsia="Calibri" w:hAnsi="Times New Roman" w:cs="Times New Roman"/>
          <w:sz w:val="28"/>
          <w:szCs w:val="28"/>
        </w:rPr>
        <w:t>,</w:t>
      </w:r>
      <w:r w:rsidRPr="00486C87">
        <w:rPr>
          <w:rFonts w:ascii="Times New Roman" w:eastAsia="Calibri" w:hAnsi="Times New Roman" w:cs="Times New Roman"/>
          <w:sz w:val="28"/>
          <w:szCs w:val="28"/>
        </w:rPr>
        <w:t xml:space="preserve"> на каком уровне социально-экономического развития находится страна, меняются и основные цели денежно-кредитной политики. Приоритет целей денежно-кредитной политики определяется состоянием 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В России в качестве промежуточных, то есть среднесрочных, целевых ориентиров применялись и применяются денежные (монетарные) показатели. Банком России используется ряд денежных агрегатов для измерения денежной массы:</w:t>
      </w:r>
    </w:p>
    <w:p w:rsidR="001A01B3"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М0 — наличные деньги (деньги вне банков), т. е. банкноты и монеты, выпущенные в обращение Банком России, за исключением сумм наличности, находящейся в кассах Банка России и кредитн</w:t>
      </w:r>
      <w:r>
        <w:rPr>
          <w:rFonts w:ascii="Times New Roman" w:eastAsia="Calibri" w:hAnsi="Times New Roman" w:cs="Times New Roman"/>
          <w:sz w:val="28"/>
          <w:szCs w:val="28"/>
        </w:rPr>
        <w:t xml:space="preserve">ых организаций; </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М1 — деньги, т.</w:t>
      </w:r>
      <w:r w:rsidRPr="00486C87">
        <w:rPr>
          <w:rFonts w:ascii="Times New Roman" w:eastAsia="Calibri" w:hAnsi="Times New Roman" w:cs="Times New Roman"/>
          <w:sz w:val="28"/>
          <w:szCs w:val="28"/>
        </w:rPr>
        <w:t>е. агрегат, который представляет собой сумму наличных денег (М0) и депозитов до востребования (остатков средств на расчетных, текущих, депозитных и иных счетах до востребования) в национальной валюте;</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М2 — денежная масса в национальном определении, т. е. агрегат, который рассчитывается как сумма наличных денег (М0) и безналичных средств в национальной валюте (депозитов до востребования и срочных депозитов, включая депозиты, доступ к которым временно ограничен);</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lastRenderedPageBreak/>
        <w:t>М2х — денежная масса по методологии денежного обзора, т. е. агрегат, который представляет собой сумму денег (М1) и</w:t>
      </w:r>
      <w:r>
        <w:rPr>
          <w:rFonts w:ascii="Times New Roman" w:eastAsia="Calibri" w:hAnsi="Times New Roman" w:cs="Times New Roman"/>
          <w:sz w:val="28"/>
          <w:szCs w:val="28"/>
        </w:rPr>
        <w:t xml:space="preserve"> </w:t>
      </w:r>
      <w:proofErr w:type="spellStart"/>
      <w:r w:rsidRPr="00486C87">
        <w:rPr>
          <w:rFonts w:ascii="Times New Roman" w:eastAsia="Calibri" w:hAnsi="Times New Roman" w:cs="Times New Roman"/>
          <w:sz w:val="28"/>
          <w:szCs w:val="28"/>
        </w:rPr>
        <w:t>квази</w:t>
      </w:r>
      <w:proofErr w:type="spellEnd"/>
      <w:r w:rsidRPr="00486C87">
        <w:rPr>
          <w:rFonts w:ascii="Times New Roman" w:eastAsia="Calibri" w:hAnsi="Times New Roman" w:cs="Times New Roman"/>
          <w:sz w:val="28"/>
          <w:szCs w:val="28"/>
        </w:rPr>
        <w:t>-денег</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(срочные депозиты в национальной валюте и все депозиты в иностранной валюте).</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Агрегат М1 представляет собой «узкие деньги», а агрегат М2х — «широкие деньги».</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Денежная база (узкая) — агрегат, представляющий собой сумму наличных денег (М0), остатков наличности в кассах кредитных организаций и остатков средств кредитных организаций на счетах обязательных резервов в Банке России.</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Денежная база (широкая) — агрегат, включающий узкую денежную базу, остатки средств кредитных организаций на корреспондентских, депозитных и других счетах в Банке России, вложения кредитных организаций в облигации Банка России.</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Резервные деньги — агрегат, который включает широкую денежную базу, а также депозиты до востребования предприятий и организ</w:t>
      </w:r>
      <w:r>
        <w:rPr>
          <w:rFonts w:ascii="Times New Roman" w:eastAsia="Calibri" w:hAnsi="Times New Roman" w:cs="Times New Roman"/>
          <w:sz w:val="28"/>
          <w:szCs w:val="28"/>
        </w:rPr>
        <w:t>аций, которые обслуживаются</w:t>
      </w:r>
      <w:r w:rsidRPr="00486C87">
        <w:rPr>
          <w:rFonts w:ascii="Times New Roman" w:eastAsia="Calibri" w:hAnsi="Times New Roman" w:cs="Times New Roman"/>
          <w:sz w:val="28"/>
          <w:szCs w:val="28"/>
        </w:rPr>
        <w:t xml:space="preserve"> в Банке России.</w:t>
      </w:r>
    </w:p>
    <w:p w:rsidR="001A01B3" w:rsidRPr="00486C8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 xml:space="preserve">Разные страны используют различные денежные агрегаты в качестве промежуточных целевых ориентиров. Установление целевых ориентиров роста денежной массы называется </w:t>
      </w:r>
      <w:proofErr w:type="spellStart"/>
      <w:r w:rsidRPr="00486C87">
        <w:rPr>
          <w:rFonts w:ascii="Times New Roman" w:eastAsia="Calibri" w:hAnsi="Times New Roman" w:cs="Times New Roman"/>
          <w:sz w:val="28"/>
          <w:szCs w:val="28"/>
        </w:rPr>
        <w:t>таргетированием</w:t>
      </w:r>
      <w:proofErr w:type="spellEnd"/>
      <w:r w:rsidRPr="00486C8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Выбор того или иного денежного агрегата зависит от того, какой из них наиболее стабильно связан с конечной целью или более контролируем с помощью денежно-кредитных</w:t>
      </w:r>
      <w:r>
        <w:rPr>
          <w:rFonts w:ascii="Times New Roman" w:eastAsia="Calibri" w:hAnsi="Times New Roman" w:cs="Times New Roman"/>
          <w:sz w:val="28"/>
          <w:szCs w:val="28"/>
        </w:rPr>
        <w:t xml:space="preserve"> </w:t>
      </w:r>
      <w:r w:rsidRPr="00486C87">
        <w:rPr>
          <w:rFonts w:ascii="Times New Roman" w:eastAsia="Calibri" w:hAnsi="Times New Roman" w:cs="Times New Roman"/>
          <w:sz w:val="28"/>
          <w:szCs w:val="28"/>
        </w:rPr>
        <w:t>инструментов.</w:t>
      </w:r>
    </w:p>
    <w:p w:rsidR="00844940" w:rsidRPr="004277F2" w:rsidRDefault="00844940" w:rsidP="00844940">
      <w:pPr>
        <w:tabs>
          <w:tab w:val="right" w:leader="dot" w:pos="9639"/>
        </w:tabs>
        <w:spacing w:after="0" w:line="360" w:lineRule="auto"/>
        <w:ind w:firstLine="709"/>
        <w:jc w:val="both"/>
        <w:rPr>
          <w:rFonts w:ascii="Times New Roman" w:eastAsia="Calibri" w:hAnsi="Times New Roman" w:cs="Times New Roman"/>
          <w:sz w:val="28"/>
          <w:szCs w:val="28"/>
        </w:rPr>
      </w:pPr>
      <w:r w:rsidRPr="00844940">
        <w:rPr>
          <w:rFonts w:ascii="Times New Roman" w:eastAsia="Calibri" w:hAnsi="Times New Roman" w:cs="Times New Roman"/>
          <w:sz w:val="28"/>
          <w:szCs w:val="28"/>
        </w:rPr>
        <w:t>Агрегат М2 (денежная масса в узком определении) — сумма наличных денег и остатков на срочных депозитах и депозитах до востребования. Именно он является наиважнейшим показателем, который используется при оценке денежной массы в нашей стране.</w:t>
      </w:r>
      <w:r>
        <w:rPr>
          <w:rFonts w:ascii="Times New Roman" w:eastAsia="Calibri" w:hAnsi="Times New Roman" w:cs="Times New Roman"/>
          <w:sz w:val="28"/>
          <w:szCs w:val="28"/>
        </w:rPr>
        <w:t xml:space="preserve"> </w:t>
      </w:r>
      <w:r w:rsidR="005A78C8" w:rsidRPr="004277F2">
        <w:rPr>
          <w:rFonts w:ascii="Times New Roman" w:eastAsia="Calibri" w:hAnsi="Times New Roman" w:cs="Times New Roman"/>
          <w:sz w:val="28"/>
          <w:szCs w:val="28"/>
        </w:rPr>
        <w:t>[20]</w:t>
      </w:r>
    </w:p>
    <w:p w:rsidR="001A01B3" w:rsidRPr="00486C87" w:rsidRDefault="001A01B3" w:rsidP="00844940">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Денежная база — это ядро денежной системы, она представляет собой часть пассивов центрального банка и часто называется деньгами центрального банка, или деньгами повышенной активности.</w:t>
      </w:r>
    </w:p>
    <w:p w:rsidR="002105B8" w:rsidRDefault="001A01B3" w:rsidP="006357FC">
      <w:pPr>
        <w:tabs>
          <w:tab w:val="right" w:leader="dot" w:pos="9639"/>
        </w:tabs>
        <w:spacing w:after="0" w:line="360" w:lineRule="auto"/>
        <w:ind w:firstLine="709"/>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При выборе монетарных показателей в качестве промежуточных целей денежно-кредитной политики денежная база иг</w:t>
      </w:r>
      <w:r>
        <w:rPr>
          <w:rFonts w:ascii="Times New Roman" w:eastAsia="Calibri" w:hAnsi="Times New Roman" w:cs="Times New Roman"/>
          <w:sz w:val="28"/>
          <w:szCs w:val="28"/>
        </w:rPr>
        <w:t>рает роль операционной цели, т.</w:t>
      </w:r>
      <w:r w:rsidRPr="00486C87">
        <w:rPr>
          <w:rFonts w:ascii="Times New Roman" w:eastAsia="Calibri" w:hAnsi="Times New Roman" w:cs="Times New Roman"/>
          <w:sz w:val="28"/>
          <w:szCs w:val="28"/>
        </w:rPr>
        <w:t xml:space="preserve">е. параметра, управление которым осуществляется на краткосрочной основе, </w:t>
      </w:r>
      <w:r w:rsidRPr="00486C87">
        <w:rPr>
          <w:rFonts w:ascii="Times New Roman" w:eastAsia="Calibri" w:hAnsi="Times New Roman" w:cs="Times New Roman"/>
          <w:sz w:val="28"/>
          <w:szCs w:val="28"/>
        </w:rPr>
        <w:lastRenderedPageBreak/>
        <w:t>и его изменение вызывает главным образом изменение экономичес</w:t>
      </w:r>
      <w:r>
        <w:rPr>
          <w:rFonts w:ascii="Times New Roman" w:eastAsia="Calibri" w:hAnsi="Times New Roman" w:cs="Times New Roman"/>
          <w:sz w:val="28"/>
          <w:szCs w:val="28"/>
        </w:rPr>
        <w:t>ких показателей денежного рынка.</w:t>
      </w:r>
    </w:p>
    <w:p w:rsidR="002105B8" w:rsidRPr="001A01B3" w:rsidRDefault="002105B8" w:rsidP="001A01B3">
      <w:pPr>
        <w:tabs>
          <w:tab w:val="right" w:leader="dot" w:pos="9639"/>
        </w:tabs>
        <w:spacing w:after="0" w:line="360" w:lineRule="auto"/>
        <w:jc w:val="both"/>
        <w:rPr>
          <w:rFonts w:ascii="Times New Roman" w:eastAsia="Calibri" w:hAnsi="Times New Roman" w:cs="Times New Roman"/>
          <w:sz w:val="28"/>
          <w:szCs w:val="28"/>
        </w:rPr>
      </w:pPr>
    </w:p>
    <w:p w:rsidR="001A01B3" w:rsidRPr="00397E47" w:rsidRDefault="008F378E" w:rsidP="006357FC">
      <w:pPr>
        <w:pStyle w:val="a5"/>
        <w:tabs>
          <w:tab w:val="right" w:leader="dot" w:pos="9639"/>
        </w:tabs>
        <w:spacing w:after="0" w:line="36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6357FC">
        <w:rPr>
          <w:rFonts w:ascii="Times New Roman" w:eastAsia="Calibri" w:hAnsi="Times New Roman" w:cs="Times New Roman"/>
          <w:sz w:val="28"/>
          <w:szCs w:val="28"/>
        </w:rPr>
        <w:t xml:space="preserve"> </w:t>
      </w:r>
      <w:r w:rsidR="001A01B3" w:rsidRPr="00397E47">
        <w:rPr>
          <w:rFonts w:ascii="Times New Roman" w:eastAsia="Calibri" w:hAnsi="Times New Roman" w:cs="Times New Roman"/>
          <w:sz w:val="28"/>
          <w:szCs w:val="28"/>
        </w:rPr>
        <w:t>Задачи и функции Банка России как органа управления денежно-</w:t>
      </w:r>
      <w:proofErr w:type="gramStart"/>
      <w:r w:rsidR="001A01B3" w:rsidRPr="00397E47">
        <w:rPr>
          <w:rFonts w:ascii="Times New Roman" w:eastAsia="Calibri" w:hAnsi="Times New Roman" w:cs="Times New Roman"/>
          <w:sz w:val="28"/>
          <w:szCs w:val="28"/>
        </w:rPr>
        <w:t>кредитной  сферой</w:t>
      </w:r>
      <w:proofErr w:type="gramEnd"/>
      <w:r w:rsidR="001A01B3" w:rsidRPr="00397E47">
        <w:rPr>
          <w:rFonts w:ascii="Times New Roman" w:eastAsia="Calibri" w:hAnsi="Times New Roman" w:cs="Times New Roman"/>
          <w:sz w:val="28"/>
          <w:szCs w:val="28"/>
        </w:rPr>
        <w:t xml:space="preserve"> в РФ</w:t>
      </w:r>
    </w:p>
    <w:p w:rsidR="001A01B3" w:rsidRPr="00F34EB9" w:rsidRDefault="001A01B3" w:rsidP="001A01B3">
      <w:pPr>
        <w:tabs>
          <w:tab w:val="right" w:leader="dot" w:pos="9639"/>
        </w:tabs>
        <w:spacing w:after="0" w:line="360" w:lineRule="auto"/>
        <w:jc w:val="both"/>
        <w:rPr>
          <w:rFonts w:ascii="Times New Roman" w:eastAsia="Calibri" w:hAnsi="Times New Roman" w:cs="Times New Roman"/>
          <w:sz w:val="28"/>
          <w:szCs w:val="28"/>
        </w:rPr>
      </w:pPr>
    </w:p>
    <w:p w:rsidR="001A01B3" w:rsidRPr="001F37C7"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F23537">
        <w:rPr>
          <w:rFonts w:ascii="Times New Roman" w:eastAsia="Calibri" w:hAnsi="Times New Roman" w:cs="Times New Roman"/>
          <w:sz w:val="28"/>
          <w:szCs w:val="28"/>
        </w:rPr>
        <w:t>Статус, цели деятельности, функции и полномочия Центрального банка Российской Федерации определяются Конституцией Российской Федерации, Федеральным законом "О Центральном банке Российской Федерации" от 27 июня 2002 года и другими федеральными законами.</w:t>
      </w:r>
      <w:r>
        <w:rPr>
          <w:rFonts w:ascii="Times New Roman" w:eastAsia="Calibri" w:hAnsi="Times New Roman" w:cs="Times New Roman"/>
          <w:sz w:val="28"/>
          <w:szCs w:val="28"/>
        </w:rPr>
        <w:t xml:space="preserve">  </w:t>
      </w:r>
      <w:r w:rsidR="00917102">
        <w:rPr>
          <w:rFonts w:ascii="Times New Roman" w:eastAsia="Calibri" w:hAnsi="Times New Roman" w:cs="Times New Roman"/>
          <w:sz w:val="28"/>
          <w:szCs w:val="28"/>
        </w:rPr>
        <w:t xml:space="preserve">Важнейшая </w:t>
      </w:r>
      <w:r w:rsidRPr="00D01A5F">
        <w:rPr>
          <w:rFonts w:ascii="Times New Roman" w:eastAsia="Calibri" w:hAnsi="Times New Roman" w:cs="Times New Roman"/>
          <w:sz w:val="28"/>
          <w:szCs w:val="28"/>
        </w:rPr>
        <w:t xml:space="preserve">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w:t>
      </w:r>
      <w:r w:rsidR="00844940" w:rsidRPr="001F37C7">
        <w:rPr>
          <w:rFonts w:ascii="Times New Roman" w:eastAsia="Calibri" w:hAnsi="Times New Roman" w:cs="Times New Roman"/>
          <w:sz w:val="28"/>
          <w:szCs w:val="28"/>
        </w:rPr>
        <w:t>[1]</w:t>
      </w: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F23537">
        <w:rPr>
          <w:rFonts w:ascii="Times New Roman" w:eastAsia="Calibri" w:hAnsi="Times New Roman" w:cs="Times New Roman"/>
          <w:sz w:val="28"/>
          <w:szCs w:val="28"/>
        </w:rPr>
        <w:t>ЦБ традиционно призван выполнять 5 основных задач,</w:t>
      </w:r>
      <w:r>
        <w:rPr>
          <w:rFonts w:ascii="Times New Roman" w:eastAsia="Calibri" w:hAnsi="Times New Roman" w:cs="Times New Roman"/>
          <w:sz w:val="28"/>
          <w:szCs w:val="28"/>
        </w:rPr>
        <w:t xml:space="preserve"> представим их на рисунке 1.</w:t>
      </w:r>
    </w:p>
    <w:p w:rsidR="001A01B3" w:rsidRDefault="005B2AC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14:anchorId="0BBA4560" wp14:editId="04042D0D">
                <wp:simplePos x="0" y="0"/>
                <wp:positionH relativeFrom="column">
                  <wp:posOffset>-41910</wp:posOffset>
                </wp:positionH>
                <wp:positionV relativeFrom="paragraph">
                  <wp:posOffset>194945</wp:posOffset>
                </wp:positionV>
                <wp:extent cx="5638800" cy="2466976"/>
                <wp:effectExtent l="0" t="0" r="19050" b="28575"/>
                <wp:wrapNone/>
                <wp:docPr id="23" name="Группа 23"/>
                <wp:cNvGraphicFramePr/>
                <a:graphic xmlns:a="http://schemas.openxmlformats.org/drawingml/2006/main">
                  <a:graphicData uri="http://schemas.microsoft.com/office/word/2010/wordprocessingGroup">
                    <wpg:wgp>
                      <wpg:cNvGrpSpPr/>
                      <wpg:grpSpPr>
                        <a:xfrm>
                          <a:off x="0" y="0"/>
                          <a:ext cx="5638800" cy="2466976"/>
                          <a:chOff x="0" y="161925"/>
                          <a:chExt cx="5638800" cy="2466976"/>
                        </a:xfrm>
                      </wpg:grpSpPr>
                      <wps:wsp>
                        <wps:cNvPr id="7" name="Прямоугольник 7"/>
                        <wps:cNvSpPr/>
                        <wps:spPr>
                          <a:xfrm>
                            <a:off x="1171575" y="161925"/>
                            <a:ext cx="228600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Pr="005B2AC3" w:rsidRDefault="007534BA" w:rsidP="001A01B3">
                              <w:pPr>
                                <w:jc w:val="center"/>
                                <w:rPr>
                                  <w:rFonts w:ascii="Times New Roman" w:hAnsi="Times New Roman" w:cs="Times New Roman"/>
                                  <w:sz w:val="28"/>
                                  <w:szCs w:val="28"/>
                                </w:rPr>
                              </w:pPr>
                              <w:r>
                                <w:t xml:space="preserve"> </w:t>
                              </w:r>
                              <w:r w:rsidRPr="005B2AC3">
                                <w:rPr>
                                  <w:rFonts w:ascii="Times New Roman" w:hAnsi="Times New Roman" w:cs="Times New Roman"/>
                                  <w:sz w:val="28"/>
                                  <w:szCs w:val="28"/>
                                </w:rPr>
                                <w:t>Банк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1362075"/>
                            <a:ext cx="132397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Pr="00BA5877" w:rsidRDefault="007534BA" w:rsidP="001A01B3">
                              <w:pPr>
                                <w:jc w:val="center"/>
                                <w:rPr>
                                  <w:rFonts w:ascii="Times New Roman" w:hAnsi="Times New Roman" w:cs="Times New Roman"/>
                                  <w:sz w:val="28"/>
                                  <w:szCs w:val="28"/>
                                </w:rPr>
                              </w:pPr>
                              <w:r>
                                <w:rPr>
                                  <w:rFonts w:ascii="Times New Roman" w:hAnsi="Times New Roman" w:cs="Times New Roman"/>
                                  <w:sz w:val="28"/>
                                  <w:szCs w:val="28"/>
                                </w:rPr>
                                <w:t>ц</w:t>
                              </w:r>
                              <w:r w:rsidRPr="00BA5877">
                                <w:rPr>
                                  <w:rFonts w:ascii="Times New Roman" w:hAnsi="Times New Roman" w:cs="Times New Roman"/>
                                  <w:sz w:val="28"/>
                                  <w:szCs w:val="28"/>
                                </w:rPr>
                                <w:t>ен</w:t>
                              </w:r>
                              <w:r>
                                <w:rPr>
                                  <w:rFonts w:ascii="Times New Roman" w:hAnsi="Times New Roman" w:cs="Times New Roman"/>
                                  <w:sz w:val="28"/>
                                  <w:szCs w:val="28"/>
                                </w:rPr>
                                <w:t xml:space="preserve">тр </w:t>
                              </w:r>
                              <w:r w:rsidRPr="00BA5877">
                                <w:rPr>
                                  <w:rFonts w:ascii="Times New Roman" w:hAnsi="Times New Roman" w:cs="Times New Roman"/>
                                  <w:sz w:val="28"/>
                                  <w:szCs w:val="28"/>
                                </w:rPr>
                                <w:t>эмиссии в стране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971675" y="1419225"/>
                            <a:ext cx="138112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Default="007534BA" w:rsidP="001A01B3">
                              <w:pPr>
                                <w:jc w:val="center"/>
                              </w:pPr>
                              <w:r>
                                <w:rPr>
                                  <w:rFonts w:ascii="Times New Roman" w:eastAsia="Calibri" w:hAnsi="Times New Roman" w:cs="Times New Roman"/>
                                  <w:sz w:val="28"/>
                                  <w:szCs w:val="28"/>
                                </w:rPr>
                                <w:t>банкир</w:t>
                              </w:r>
                              <w:r w:rsidRPr="00BA5877">
                                <w:rPr>
                                  <w:rFonts w:ascii="Times New Roman" w:eastAsia="Calibri" w:hAnsi="Times New Roman" w:cs="Times New Roman"/>
                                  <w:sz w:val="28"/>
                                  <w:szCs w:val="28"/>
                                </w:rPr>
                                <w:t xml:space="preserve"> правительства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181475" y="1485900"/>
                            <a:ext cx="14573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Default="007534BA" w:rsidP="001A01B3">
                              <w:pPr>
                                <w:jc w:val="center"/>
                              </w:pPr>
                              <w:r>
                                <w:rPr>
                                  <w:rFonts w:ascii="Times New Roman" w:eastAsia="Calibri" w:hAnsi="Times New Roman" w:cs="Times New Roman"/>
                                  <w:sz w:val="28"/>
                                  <w:szCs w:val="28"/>
                                </w:rPr>
                                <w:t>«банк</w:t>
                              </w:r>
                              <w:r w:rsidRPr="00BA5877">
                                <w:rPr>
                                  <w:rFonts w:ascii="Times New Roman" w:eastAsia="Calibri" w:hAnsi="Times New Roman" w:cs="Times New Roman"/>
                                  <w:sz w:val="28"/>
                                  <w:szCs w:val="28"/>
                                </w:rPr>
                                <w:t xml:space="preserve"> банков»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371475" y="2057401"/>
                            <a:ext cx="160020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Pr="00BA5877" w:rsidRDefault="007534BA" w:rsidP="001A01B3">
                              <w:pPr>
                                <w:jc w:val="center"/>
                                <w:rPr>
                                  <w:rFonts w:ascii="Times New Roman" w:hAnsi="Times New Roman" w:cs="Times New Roman"/>
                                  <w:sz w:val="28"/>
                                  <w:szCs w:val="28"/>
                                </w:rPr>
                              </w:pPr>
                              <w:r>
                                <w:rPr>
                                  <w:rFonts w:ascii="Times New Roman" w:hAnsi="Times New Roman" w:cs="Times New Roman"/>
                                  <w:sz w:val="28"/>
                                  <w:szCs w:val="28"/>
                                </w:rPr>
                                <w:t>р</w:t>
                              </w:r>
                              <w:r w:rsidRPr="00BA5877">
                                <w:rPr>
                                  <w:rFonts w:ascii="Times New Roman" w:hAnsi="Times New Roman" w:cs="Times New Roman"/>
                                  <w:sz w:val="28"/>
                                  <w:szCs w:val="28"/>
                                </w:rPr>
                                <w:t>егулирующий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3124200" y="2066925"/>
                            <a:ext cx="1524000" cy="5619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34BA" w:rsidRDefault="007534BA" w:rsidP="001A01B3">
                              <w:pPr>
                                <w:jc w:val="center"/>
                              </w:pPr>
                              <w:r>
                                <w:rPr>
                                  <w:rFonts w:ascii="Times New Roman" w:eastAsia="Calibri" w:hAnsi="Times New Roman" w:cs="Times New Roman"/>
                                  <w:sz w:val="28"/>
                                  <w:szCs w:val="28"/>
                                </w:rPr>
                                <w:t>основной расчетный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76200" y="1009650"/>
                            <a:ext cx="0" cy="314325"/>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Прямая со стрелкой 15"/>
                        <wps:cNvCnPr/>
                        <wps:spPr>
                          <a:xfrm>
                            <a:off x="2352675" y="1104900"/>
                            <a:ext cx="0" cy="31432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Прямая со стрелкой 16"/>
                        <wps:cNvCnPr/>
                        <wps:spPr>
                          <a:xfrm>
                            <a:off x="1504950" y="1009650"/>
                            <a:ext cx="9525" cy="104775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Прямая со стрелкой 17"/>
                        <wps:cNvCnPr/>
                        <wps:spPr>
                          <a:xfrm>
                            <a:off x="3657600" y="1009650"/>
                            <a:ext cx="9525" cy="1095375"/>
                          </a:xfrm>
                          <a:prstGeom prst="straightConnector1">
                            <a:avLst/>
                          </a:prstGeom>
                          <a:noFill/>
                          <a:ln w="6350" cap="flat" cmpd="sng" algn="ctr">
                            <a:solidFill>
                              <a:sysClr val="windowText" lastClr="000000"/>
                            </a:solidFill>
                            <a:prstDash val="solid"/>
                            <a:miter lim="800000"/>
                            <a:tailEnd type="triangle"/>
                          </a:ln>
                          <a:effectLst/>
                        </wps:spPr>
                        <wps:bodyPr/>
                      </wps:wsp>
                      <wps:wsp>
                        <wps:cNvPr id="18" name="Прямая соединительная линия 18"/>
                        <wps:cNvCnPr/>
                        <wps:spPr>
                          <a:xfrm>
                            <a:off x="76200" y="1009650"/>
                            <a:ext cx="4838700" cy="0"/>
                          </a:xfrm>
                          <a:prstGeom prst="line">
                            <a:avLst/>
                          </a:prstGeom>
                          <a:noFill/>
                          <a:ln w="6350" cap="flat" cmpd="sng" algn="ctr">
                            <a:solidFill>
                              <a:sysClr val="windowText" lastClr="000000"/>
                            </a:solidFill>
                            <a:prstDash val="solid"/>
                            <a:miter lim="800000"/>
                          </a:ln>
                          <a:effectLst/>
                        </wps:spPr>
                        <wps:bodyPr/>
                      </wps:wsp>
                      <wps:wsp>
                        <wps:cNvPr id="19" name="Прямая со стрелкой 19"/>
                        <wps:cNvCnPr/>
                        <wps:spPr>
                          <a:xfrm>
                            <a:off x="4914900" y="1009650"/>
                            <a:ext cx="0" cy="47625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Прямая со стрелкой 20"/>
                        <wps:cNvCnPr/>
                        <wps:spPr>
                          <a:xfrm>
                            <a:off x="2362200" y="619125"/>
                            <a:ext cx="0" cy="3905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BBA4560" id="Группа 23" o:spid="_x0000_s1026" style="position:absolute;left:0;text-align:left;margin-left:-3.3pt;margin-top:15.35pt;width:444pt;height:194.25pt;z-index:251658240;mso-height-relative:margin" coordorigin=",1619" coordsize="56388,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">
                <v:rect id="Прямоугольник 7" o:spid="_x0000_s1027" style="position:absolute;left:11715;top:1619;width:22860;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textbox>
                    <w:txbxContent>
                      <w:p w:rsidR="007534BA" w:rsidRPr="005B2AC3" w:rsidRDefault="007534BA" w:rsidP="001A01B3">
                        <w:pPr>
                          <w:jc w:val="center"/>
                          <w:rPr>
                            <w:rFonts w:ascii="Times New Roman" w:hAnsi="Times New Roman" w:cs="Times New Roman"/>
                            <w:sz w:val="28"/>
                            <w:szCs w:val="28"/>
                          </w:rPr>
                        </w:pPr>
                        <w:r>
                          <w:t xml:space="preserve"> </w:t>
                        </w:r>
                        <w:r w:rsidRPr="005B2AC3">
                          <w:rPr>
                            <w:rFonts w:ascii="Times New Roman" w:hAnsi="Times New Roman" w:cs="Times New Roman"/>
                            <w:sz w:val="28"/>
                            <w:szCs w:val="28"/>
                          </w:rPr>
                          <w:t>Банк России</w:t>
                        </w:r>
                      </w:p>
                    </w:txbxContent>
                  </v:textbox>
                </v:rect>
                <v:rect id="Прямоугольник 8" o:spid="_x0000_s1028" style="position:absolute;top:13620;width:13239;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textbox>
                    <w:txbxContent>
                      <w:p w:rsidR="007534BA" w:rsidRPr="00BA5877" w:rsidRDefault="007534BA" w:rsidP="001A01B3">
                        <w:pPr>
                          <w:jc w:val="center"/>
                          <w:rPr>
                            <w:rFonts w:ascii="Times New Roman" w:hAnsi="Times New Roman" w:cs="Times New Roman"/>
                            <w:sz w:val="28"/>
                            <w:szCs w:val="28"/>
                          </w:rPr>
                        </w:pPr>
                        <w:r>
                          <w:rPr>
                            <w:rFonts w:ascii="Times New Roman" w:hAnsi="Times New Roman" w:cs="Times New Roman"/>
                            <w:sz w:val="28"/>
                            <w:szCs w:val="28"/>
                          </w:rPr>
                          <w:t>ц</w:t>
                        </w:r>
                        <w:r w:rsidRPr="00BA5877">
                          <w:rPr>
                            <w:rFonts w:ascii="Times New Roman" w:hAnsi="Times New Roman" w:cs="Times New Roman"/>
                            <w:sz w:val="28"/>
                            <w:szCs w:val="28"/>
                          </w:rPr>
                          <w:t>ен</w:t>
                        </w:r>
                        <w:r>
                          <w:rPr>
                            <w:rFonts w:ascii="Times New Roman" w:hAnsi="Times New Roman" w:cs="Times New Roman"/>
                            <w:sz w:val="28"/>
                            <w:szCs w:val="28"/>
                          </w:rPr>
                          <w:t xml:space="preserve">тр </w:t>
                        </w:r>
                        <w:r w:rsidRPr="00BA5877">
                          <w:rPr>
                            <w:rFonts w:ascii="Times New Roman" w:hAnsi="Times New Roman" w:cs="Times New Roman"/>
                            <w:sz w:val="28"/>
                            <w:szCs w:val="28"/>
                          </w:rPr>
                          <w:t>эмиссии в стране</w:t>
                        </w:r>
                      </w:p>
                    </w:txbxContent>
                  </v:textbox>
                </v:rect>
                <v:rect id="Прямоугольник 9" o:spid="_x0000_s1029" style="position:absolute;left:19716;top:14192;width:1381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textbox>
                    <w:txbxContent>
                      <w:p w:rsidR="007534BA" w:rsidRDefault="007534BA" w:rsidP="001A01B3">
                        <w:pPr>
                          <w:jc w:val="center"/>
                        </w:pPr>
                        <w:r>
                          <w:rPr>
                            <w:rFonts w:ascii="Times New Roman" w:eastAsia="Calibri" w:hAnsi="Times New Roman" w:cs="Times New Roman"/>
                            <w:sz w:val="28"/>
                            <w:szCs w:val="28"/>
                          </w:rPr>
                          <w:t>банкир</w:t>
                        </w:r>
                        <w:r w:rsidRPr="00BA5877">
                          <w:rPr>
                            <w:rFonts w:ascii="Times New Roman" w:eastAsia="Calibri" w:hAnsi="Times New Roman" w:cs="Times New Roman"/>
                            <w:sz w:val="28"/>
                            <w:szCs w:val="28"/>
                          </w:rPr>
                          <w:t xml:space="preserve"> правительства</w:t>
                        </w:r>
                      </w:p>
                    </w:txbxContent>
                  </v:textbox>
                </v:rect>
                <v:rect id="Прямоугольник 10" o:spid="_x0000_s1030" style="position:absolute;left:41814;top:14859;width:1457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VMMA&#10;AADbAAAADwAAAGRycy9kb3ducmV2LnhtbESPT2vDMAzF74N+B6PCbq3THcaa1S1jUCiDHpb+OYtY&#10;i0NjOcRu6vbTT4fBbhLv6b2fVpvsOzXSENvABhbzAhRxHWzLjYHjYTt7AxUTssUuMBm4U4TNevK0&#10;wtKGG3/TWKVGSQjHEg24lPpS61g78hjnoScW7ScMHpOsQ6PtgDcJ951+KYpX7bFlaXDY06ej+lJd&#10;vYGv+LiOtY377LLbLU/n4lHxxZjnaf54B5Uo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fVMMAAADbAAAADwAAAAAAAAAAAAAAAACYAgAAZHJzL2Rv&#10;d25yZXYueG1sUEsFBgAAAAAEAAQA9QAAAIgDAAAAAA==&#10;" fillcolor="window" strokecolor="windowText" strokeweight="1pt">
                  <v:textbox>
                    <w:txbxContent>
                      <w:p w:rsidR="007534BA" w:rsidRDefault="007534BA" w:rsidP="001A01B3">
                        <w:pPr>
                          <w:jc w:val="center"/>
                        </w:pPr>
                        <w:r>
                          <w:rPr>
                            <w:rFonts w:ascii="Times New Roman" w:eastAsia="Calibri" w:hAnsi="Times New Roman" w:cs="Times New Roman"/>
                            <w:sz w:val="28"/>
                            <w:szCs w:val="28"/>
                          </w:rPr>
                          <w:t>«банк</w:t>
                        </w:r>
                        <w:r w:rsidRPr="00BA5877">
                          <w:rPr>
                            <w:rFonts w:ascii="Times New Roman" w:eastAsia="Calibri" w:hAnsi="Times New Roman" w:cs="Times New Roman"/>
                            <w:sz w:val="28"/>
                            <w:szCs w:val="28"/>
                          </w:rPr>
                          <w:t xml:space="preserve"> банков»</w:t>
                        </w:r>
                      </w:p>
                    </w:txbxContent>
                  </v:textbox>
                </v:rect>
                <v:rect id="Прямоугольник 11" o:spid="_x0000_s1031" style="position:absolute;left:3714;top:20574;width:1600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7534BA" w:rsidRPr="00BA5877" w:rsidRDefault="007534BA" w:rsidP="001A01B3">
                        <w:pPr>
                          <w:jc w:val="center"/>
                          <w:rPr>
                            <w:rFonts w:ascii="Times New Roman" w:hAnsi="Times New Roman" w:cs="Times New Roman"/>
                            <w:sz w:val="28"/>
                            <w:szCs w:val="28"/>
                          </w:rPr>
                        </w:pPr>
                        <w:r>
                          <w:rPr>
                            <w:rFonts w:ascii="Times New Roman" w:hAnsi="Times New Roman" w:cs="Times New Roman"/>
                            <w:sz w:val="28"/>
                            <w:szCs w:val="28"/>
                          </w:rPr>
                          <w:t>р</w:t>
                        </w:r>
                        <w:r w:rsidRPr="00BA5877">
                          <w:rPr>
                            <w:rFonts w:ascii="Times New Roman" w:hAnsi="Times New Roman" w:cs="Times New Roman"/>
                            <w:sz w:val="28"/>
                            <w:szCs w:val="28"/>
                          </w:rPr>
                          <w:t>егулирующий орган</w:t>
                        </w:r>
                      </w:p>
                    </w:txbxContent>
                  </v:textbox>
                </v:rect>
                <v:rect id="Прямоугольник 12" o:spid="_x0000_s1032" style="position:absolute;left:31242;top:20669;width:15240;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7534BA" w:rsidRDefault="007534BA" w:rsidP="001A01B3">
                        <w:pPr>
                          <w:jc w:val="center"/>
                        </w:pPr>
                        <w:r>
                          <w:rPr>
                            <w:rFonts w:ascii="Times New Roman" w:eastAsia="Calibri" w:hAnsi="Times New Roman" w:cs="Times New Roman"/>
                            <w:sz w:val="28"/>
                            <w:szCs w:val="28"/>
                          </w:rPr>
                          <w:t>основной расчетный центр</w:t>
                        </w:r>
                      </w:p>
                    </w:txbxContent>
                  </v:textbox>
                </v:rect>
                <v:shapetype id="_x0000_t32" coordsize="21600,21600" o:spt="32" o:oned="t" path="m,l21600,21600e" filled="f">
                  <v:path arrowok="t" fillok="f" o:connecttype="none"/>
                  <o:lock v:ext="edit" shapetype="t"/>
                </v:shapetype>
                <v:shape id="Прямая со стрелкой 14" o:spid="_x0000_s1033" type="#_x0000_t32" style="position:absolute;left:762;top:1009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shape id="Прямая со стрелкой 15" o:spid="_x0000_s1034" type="#_x0000_t32" style="position:absolute;left:23526;top:11049;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Прямая со стрелкой 16" o:spid="_x0000_s1035" type="#_x0000_t32" style="position:absolute;left:15049;top:10096;width:95;height:10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F8cIAAADbAAAADwAAAGRycy9kb3ducmV2LnhtbERPS2sCMRC+F/wPYQQvpWa1sNjVKKIW&#10;einqWuh12Mw+cDNZk1TXf28Khd7m43vOYtWbVlzJ+caygsk4AUFcWN1wpeDr9P4yA+EDssbWMim4&#10;k4fVcvC0wEzbGx/pmodKxBD2GSqoQ+gyKX1Rk0E/th1x5ErrDIYIXSW1w1sMN62cJkkqDTYcG2rs&#10;aFNTcc5/jAJZHV/N967s08/SvW0Pz/tLl++VGg379RxEoD78i//cHzrO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pF8cIAAADbAAAADwAAAAAAAAAAAAAA&#10;AAChAgAAZHJzL2Rvd25yZXYueG1sUEsFBgAAAAAEAAQA+QAAAJADAAAAAA==&#10;" strokecolor="windowText" strokeweight=".5pt">
                  <v:stroke endarrow="block" joinstyle="miter"/>
                </v:shape>
                <v:shape id="Прямая со стрелкой 17" o:spid="_x0000_s1036" type="#_x0000_t32" style="position:absolute;left:36576;top:10096;width:95;height:10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gasIAAADbAAAADwAAAGRycy9kb3ducmV2LnhtbERPS2sCMRC+F/wPYQq9lJptCz5Wo4ha&#10;8FLUreB12Mw+6GayTaKu/94IQm/z8T1nOu9MI87kfG1ZwXs/AUGcW11zqeDw8/U2AuEDssbGMim4&#10;kof5rPc0xVTbC+/pnIVSxBD2KSqoQmhTKX1ekUHfty1x5ArrDIYIXSm1w0sMN438SJKBNFhzbKiw&#10;pWVF+W92Mgpkuf80x3XRDb4LN17tXrd/bbZV6uW5W0xABOrCv/jh3ug4fwj3X+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bgasIAAADbAAAADwAAAAAAAAAAAAAA&#10;AAChAgAAZHJzL2Rvd25yZXYueG1sUEsFBgAAAAAEAAQA+QAAAJADAAAAAA==&#10;" strokecolor="windowText" strokeweight=".5pt">
                  <v:stroke endarrow="block" joinstyle="miter"/>
                </v:shape>
                <v:line id="Прямая соединительная линия 18" o:spid="_x0000_s1037" style="position:absolute;visibility:visible;mso-wrap-style:square" from="762,10096" to="49149,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eEMMAAADbAAAADwAAAGRycy9kb3ducmV2LnhtbESPQW/CMAyF70j8h8hI3CCFA6o6AtqQ&#10;kHbYASgXbl7jtdUap0oCLf8eHybtZus9v/d5ux9dpx4UYuvZwGqZgSKuvG25NnAtj4scVEzIFjvP&#10;ZOBJEfa76WSLhfUDn+lxSbWSEI4FGmhS6gutY9WQw7j0PbFoPz44TLKGWtuAg4S7Tq+zbKMdtiwN&#10;DfZ0aKj6vdydga+8HvLz7XZKQ/69/iiraxmemTHz2fj+BirRmP7Nf9efVvAFV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3hDDAAAA2wAAAA8AAAAAAAAAAAAA&#10;AAAAoQIAAGRycy9kb3ducmV2LnhtbFBLBQYAAAAABAAEAPkAAACRAwAAAAA=&#10;" strokecolor="windowText" strokeweight=".5pt">
                  <v:stroke joinstyle="miter"/>
                </v:line>
                <v:shape id="Прямая со стрелкой 19" o:spid="_x0000_s1038" type="#_x0000_t32" style="position:absolute;left:49149;top:10096;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Rg8MAAADbAAAADwAAAGRycy9kb3ducmV2LnhtbERPS2sCMRC+F/ofwhR6Ec22gtSt2UXU&#10;gpdiXQWvw2b2QTeTbZLq+u9NQehtPr7nLPLBdOJMzreWFbxMEhDEpdUt1wqOh4/xGwgfkDV2lknB&#10;lTzk2ePDAlNtL7yncxFqEUPYp6igCaFPpfRlQwb9xPbEkausMxgidLXUDi8x3HTyNUlm0mDLsaHB&#10;nlYNld/Fr1Eg6/3UnDbVMPus3Hz9Ndr99MVOqeenYfkOItAQ/sV391bH+XP4+yUe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10YPDAAAA2wAAAA8AAAAAAAAAAAAA&#10;AAAAoQIAAGRycy9kb3ducmV2LnhtbFBLBQYAAAAABAAEAPkAAACRAwAAAAA=&#10;" strokecolor="windowText" strokeweight=".5pt">
                  <v:stroke endarrow="block" joinstyle="miter"/>
                </v:shape>
                <v:shape id="Прямая со стрелкой 20" o:spid="_x0000_s1039" type="#_x0000_t32" style="position:absolute;left:23622;top:6191;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yo8IAAADbAAAADwAAAGRycy9kb3ducmV2LnhtbERPy2oCMRTdF/oP4RbcFM2oIHU0M5S2&#10;gpuiTgW3l8mdB05uxiTq+PfNotDl4bzX+WA6cSPnW8sKppMEBHFpdcu1guPPZvwGwgdkjZ1lUvAg&#10;D3n2/LTGVNs7H+hWhFrEEPYpKmhC6FMpfdmQQT+xPXHkKusMhghdLbXDeww3nZwlyUIabDk2NNjT&#10;R0PlubgaBbI+zM3pqxoW35Vbfu5fd5e+2Ck1ehneVyACDeFf/OfeagWzuD5+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Oyo8IAAADbAAAADwAAAAAAAAAAAAAA&#10;AAChAgAAZHJzL2Rvd25yZXYueG1sUEsFBgAAAAAEAAQA+QAAAJADAAAAAA==&#10;" strokecolor="windowText" strokeweight=".5pt">
                  <v:stroke endarrow="block" joinstyle="miter"/>
                </v:shape>
              </v:group>
            </w:pict>
          </mc:Fallback>
        </mc:AlternateContent>
      </w: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5B2AC3">
      <w:pPr>
        <w:tabs>
          <w:tab w:val="right" w:leader="dot" w:pos="9639"/>
        </w:tabs>
        <w:spacing w:after="0" w:line="360" w:lineRule="auto"/>
        <w:contextualSpacing/>
        <w:jc w:val="both"/>
        <w:rPr>
          <w:rFonts w:ascii="Times New Roman" w:eastAsia="Calibri" w:hAnsi="Times New Roman" w:cs="Times New Roman"/>
          <w:sz w:val="28"/>
          <w:szCs w:val="28"/>
        </w:rPr>
      </w:pPr>
    </w:p>
    <w:p w:rsidR="007C7EFD" w:rsidRDefault="007C7EFD"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p>
    <w:p w:rsidR="001A01B3" w:rsidRDefault="001A01B3" w:rsidP="002105B8">
      <w:pPr>
        <w:tabs>
          <w:tab w:val="right" w:leader="dot" w:pos="9639"/>
        </w:tabs>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proofErr w:type="gramStart"/>
      <w:r>
        <w:rPr>
          <w:rFonts w:ascii="Times New Roman" w:eastAsia="Calibri" w:hAnsi="Times New Roman" w:cs="Times New Roman"/>
          <w:sz w:val="28"/>
          <w:szCs w:val="28"/>
        </w:rPr>
        <w:t>1</w:t>
      </w:r>
      <w:r w:rsidR="002105B8">
        <w:rPr>
          <w:rFonts w:ascii="Times New Roman" w:eastAsia="Calibri" w:hAnsi="Times New Roman" w:cs="Times New Roman"/>
          <w:sz w:val="28"/>
          <w:szCs w:val="28"/>
        </w:rPr>
        <w:t xml:space="preserve"> </w:t>
      </w:r>
      <w:r w:rsidR="002105B8">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Задачи</w:t>
      </w:r>
      <w:proofErr w:type="gramEnd"/>
      <w:r>
        <w:rPr>
          <w:rFonts w:ascii="Times New Roman" w:eastAsia="Calibri" w:hAnsi="Times New Roman" w:cs="Times New Roman"/>
          <w:sz w:val="28"/>
          <w:szCs w:val="28"/>
        </w:rPr>
        <w:t>, выполняемые Банком России</w:t>
      </w:r>
    </w:p>
    <w:p w:rsidR="001A01B3" w:rsidRPr="00F23537"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Итак, Банк России должен быть:</w:t>
      </w:r>
    </w:p>
    <w:p w:rsidR="001A01B3" w:rsidRPr="00F23537"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F23537">
        <w:rPr>
          <w:rFonts w:ascii="Times New Roman" w:eastAsia="Calibri" w:hAnsi="Times New Roman" w:cs="Times New Roman"/>
          <w:sz w:val="28"/>
          <w:szCs w:val="28"/>
        </w:rPr>
        <w:t xml:space="preserve"> центром эмиссии в стране (обладает уникальным монопо</w:t>
      </w:r>
      <w:r>
        <w:rPr>
          <w:rFonts w:ascii="Times New Roman" w:eastAsia="Calibri" w:hAnsi="Times New Roman" w:cs="Times New Roman"/>
          <w:sz w:val="28"/>
          <w:szCs w:val="28"/>
        </w:rPr>
        <w:t>льным правом на выпуск банкнот);</w:t>
      </w: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BA5877">
        <w:rPr>
          <w:rFonts w:ascii="Times New Roman" w:eastAsia="Calibri" w:hAnsi="Times New Roman" w:cs="Times New Roman"/>
          <w:sz w:val="28"/>
          <w:szCs w:val="28"/>
        </w:rPr>
        <w:lastRenderedPageBreak/>
        <w:sym w:font="Symbol" w:char="F02D"/>
      </w:r>
      <w:r w:rsidRPr="00BA5877">
        <w:rPr>
          <w:rFonts w:ascii="Times New Roman" w:eastAsia="Calibri" w:hAnsi="Times New Roman" w:cs="Times New Roman"/>
          <w:sz w:val="28"/>
          <w:szCs w:val="28"/>
        </w:rPr>
        <w:t xml:space="preserve"> банкиром правительства (размещение государственных ценных бумаг и поддержание государ</w:t>
      </w:r>
      <w:r>
        <w:rPr>
          <w:rFonts w:ascii="Times New Roman" w:eastAsia="Calibri" w:hAnsi="Times New Roman" w:cs="Times New Roman"/>
          <w:sz w:val="28"/>
          <w:szCs w:val="28"/>
        </w:rPr>
        <w:t>ственных экономических программ</w:t>
      </w:r>
      <w:r w:rsidRPr="00BA5877">
        <w:rPr>
          <w:rFonts w:ascii="Times New Roman" w:eastAsia="Calibri" w:hAnsi="Times New Roman" w:cs="Times New Roman"/>
          <w:sz w:val="28"/>
          <w:szCs w:val="28"/>
        </w:rPr>
        <w:t>, хранение (официальных) золотовалютных резервов, выполнение расчетных операции для правительства и предоставление кредитов);</w:t>
      </w:r>
    </w:p>
    <w:p w:rsidR="001A01B3" w:rsidRPr="00BA5877"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BA5877">
        <w:rPr>
          <w:rFonts w:ascii="Times New Roman" w:eastAsia="Calibri" w:hAnsi="Times New Roman" w:cs="Times New Roman"/>
          <w:sz w:val="28"/>
          <w:szCs w:val="28"/>
        </w:rPr>
        <w:sym w:font="Symbol" w:char="F02D"/>
      </w:r>
      <w:r w:rsidRPr="00BA5877">
        <w:rPr>
          <w:rFonts w:ascii="Times New Roman" w:eastAsia="Calibri" w:hAnsi="Times New Roman" w:cs="Times New Roman"/>
          <w:sz w:val="28"/>
          <w:szCs w:val="28"/>
        </w:rPr>
        <w:t xml:space="preserve"> так называемым «банком банков» (осуществление операций преимущественно с банками данной страны: хранить их резервы кассовые, размеры которых установлены законом, предоставлять кредиты данным банкам (его еще называют кредитором последней инстанции), выполнение контроля и надзора, тем самым поддерживая необходимый уровень профессионализма и стандартизации в национальной кредитной системе);</w:t>
      </w:r>
    </w:p>
    <w:p w:rsidR="001A01B3" w:rsidRPr="00F23537"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F23537">
        <w:rPr>
          <w:rFonts w:ascii="Times New Roman" w:eastAsia="Calibri" w:hAnsi="Times New Roman" w:cs="Times New Roman"/>
          <w:sz w:val="28"/>
          <w:szCs w:val="28"/>
        </w:rPr>
        <w:t xml:space="preserve"> органом, регулирующий экономику, используя денежно-кредитные методы (проведение валютно</w:t>
      </w:r>
      <w:r>
        <w:rPr>
          <w:rFonts w:ascii="Times New Roman" w:eastAsia="Calibri" w:hAnsi="Times New Roman" w:cs="Times New Roman"/>
          <w:sz w:val="28"/>
          <w:szCs w:val="28"/>
        </w:rPr>
        <w:t>й и денежно-кредитной политики);</w:t>
      </w:r>
    </w:p>
    <w:p w:rsidR="001A01B3"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о</w:t>
      </w:r>
      <w:r w:rsidRPr="00F23537">
        <w:rPr>
          <w:rFonts w:ascii="Times New Roman" w:eastAsia="Calibri" w:hAnsi="Times New Roman" w:cs="Times New Roman"/>
          <w:sz w:val="28"/>
          <w:szCs w:val="28"/>
        </w:rPr>
        <w:t>сновным расчетным центром страны, выступающим в роли посредника между иными банками страны при выполнении безналичных расчетов.</w:t>
      </w:r>
    </w:p>
    <w:p w:rsidR="00D402FB" w:rsidRDefault="00D402FB" w:rsidP="00D402FB">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D402FB">
        <w:rPr>
          <w:rFonts w:ascii="Times New Roman" w:eastAsia="Calibri" w:hAnsi="Times New Roman" w:cs="Times New Roman"/>
          <w:sz w:val="28"/>
          <w:szCs w:val="28"/>
        </w:rPr>
        <w:t xml:space="preserve">На сегодняшний день, Центральные банки выполняют роль регулирующего банковской системы, на этой основе выделяют основные цели их </w:t>
      </w:r>
      <w:proofErr w:type="gramStart"/>
      <w:r w:rsidRPr="00D402FB">
        <w:rPr>
          <w:rFonts w:ascii="Times New Roman" w:eastAsia="Calibri" w:hAnsi="Times New Roman" w:cs="Times New Roman"/>
          <w:sz w:val="28"/>
          <w:szCs w:val="28"/>
        </w:rPr>
        <w:t xml:space="preserve">деятельности </w:t>
      </w:r>
      <w:r w:rsidRPr="00D402FB">
        <w:rPr>
          <w:rFonts w:ascii="Times New Roman" w:eastAsia="Calibri" w:hAnsi="Times New Roman" w:cs="Times New Roman"/>
          <w:sz w:val="28"/>
          <w:szCs w:val="28"/>
        </w:rPr>
        <w:sym w:font="Symbol" w:char="F02D"/>
      </w:r>
      <w:r w:rsidRPr="00D402FB">
        <w:rPr>
          <w:rFonts w:ascii="Times New Roman" w:eastAsia="Calibri" w:hAnsi="Times New Roman" w:cs="Times New Roman"/>
          <w:sz w:val="28"/>
          <w:szCs w:val="28"/>
        </w:rPr>
        <w:t xml:space="preserve"> укреплять</w:t>
      </w:r>
      <w:proofErr w:type="gramEnd"/>
      <w:r w:rsidRPr="00D402FB">
        <w:rPr>
          <w:rFonts w:ascii="Times New Roman" w:eastAsia="Calibri" w:hAnsi="Times New Roman" w:cs="Times New Roman"/>
          <w:sz w:val="28"/>
          <w:szCs w:val="28"/>
        </w:rPr>
        <w:t xml:space="preserve"> денежное обращение, развивать и укреплять банковскую систем страны, защищать и обеспечивать устойчивость национальной денежной единицы (ее курса по отношению к иностранным валютам), обеспечить бесперебойное, эффективное осуществление расчетов.</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D01A5F">
        <w:rPr>
          <w:rFonts w:ascii="Times New Roman" w:eastAsia="Calibri" w:hAnsi="Times New Roman" w:cs="Times New Roman"/>
          <w:sz w:val="28"/>
          <w:szCs w:val="28"/>
        </w:rPr>
        <w:t>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монопольно осуществляет эмиссию наличных денег и организует их обращение;</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sym w:font="Symbol" w:char="F02D"/>
      </w:r>
      <w:r w:rsidRPr="00D01A5F">
        <w:rPr>
          <w:rFonts w:ascii="Times New Roman" w:eastAsia="Calibri" w:hAnsi="Times New Roman" w:cs="Times New Roman"/>
          <w:sz w:val="28"/>
          <w:szCs w:val="28"/>
        </w:rPr>
        <w:t xml:space="preserve"> является кредитором последней инстанции для кредитных организаций, организует систему рефинансирования;</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D01A5F">
        <w:rPr>
          <w:rFonts w:ascii="Times New Roman" w:eastAsia="Calibri" w:hAnsi="Times New Roman" w:cs="Times New Roman"/>
          <w:sz w:val="28"/>
          <w:szCs w:val="28"/>
        </w:rPr>
        <w:t>устанавливает правила осуществления расчетов в Российской Федерации;</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устанавливает правила проведения банковских операций. бухгалтерского учета и отчетности для банковской системы;</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D01A5F">
        <w:rPr>
          <w:rFonts w:ascii="Times New Roman" w:eastAsia="Calibri" w:hAnsi="Times New Roman" w:cs="Times New Roman"/>
          <w:sz w:val="28"/>
          <w:szCs w:val="28"/>
        </w:rPr>
        <w:t>осуществляет государственную регистрацию кредитных организаций, выдает и отзывает лицензии кредитных организаций и орган</w:t>
      </w:r>
      <w:r>
        <w:rPr>
          <w:rFonts w:ascii="Times New Roman" w:eastAsia="Calibri" w:hAnsi="Times New Roman" w:cs="Times New Roman"/>
          <w:sz w:val="28"/>
          <w:szCs w:val="28"/>
        </w:rPr>
        <w:t>изаций, занимающихся их аудитом;</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осуществляет надзор за деятельностью кредитных организаций;</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регистрирует эмиссию ценных бумаг кредитными организациями в соотв</w:t>
      </w:r>
      <w:r>
        <w:rPr>
          <w:rFonts w:ascii="Times New Roman" w:eastAsia="Calibri" w:hAnsi="Times New Roman" w:cs="Times New Roman"/>
          <w:sz w:val="28"/>
          <w:szCs w:val="28"/>
        </w:rPr>
        <w:t>етствии с федеральными законами;</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организует и осуществляет валютный контроль как непосредственно, так и через уполномоченные банки в соответствии с законод</w:t>
      </w:r>
      <w:r>
        <w:rPr>
          <w:rFonts w:ascii="Times New Roman" w:eastAsia="Calibri" w:hAnsi="Times New Roman" w:cs="Times New Roman"/>
          <w:sz w:val="28"/>
          <w:szCs w:val="28"/>
        </w:rPr>
        <w:t>ательством Российской Федерации;</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принимает участие в разработке прогноза платежного баланса Российской Федерации и организует составление платежно</w:t>
      </w:r>
      <w:r>
        <w:rPr>
          <w:rFonts w:ascii="Times New Roman" w:eastAsia="Calibri" w:hAnsi="Times New Roman" w:cs="Times New Roman"/>
          <w:sz w:val="28"/>
          <w:szCs w:val="28"/>
        </w:rPr>
        <w:t>го баланса Российской Федерации;</w:t>
      </w:r>
    </w:p>
    <w:p w:rsidR="001A01B3" w:rsidRPr="00995D35"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sidRPr="00D01A5F">
        <w:rPr>
          <w:rFonts w:ascii="Times New Roman" w:eastAsia="Calibri" w:hAnsi="Times New Roman" w:cs="Times New Roman"/>
          <w:sz w:val="28"/>
          <w:szCs w:val="28"/>
        </w:rPr>
        <w:t xml:space="preserve">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w:t>
      </w:r>
      <w:r w:rsidR="004374DF">
        <w:rPr>
          <w:rFonts w:ascii="Times New Roman" w:eastAsia="Calibri" w:hAnsi="Times New Roman" w:cs="Times New Roman"/>
          <w:sz w:val="28"/>
          <w:szCs w:val="28"/>
        </w:rPr>
        <w:t xml:space="preserve"> </w:t>
      </w:r>
      <w:r w:rsidR="004374DF" w:rsidRPr="004374DF">
        <w:rPr>
          <w:rFonts w:ascii="Times New Roman" w:eastAsia="Calibri" w:hAnsi="Times New Roman" w:cs="Times New Roman"/>
          <w:sz w:val="28"/>
          <w:szCs w:val="28"/>
        </w:rPr>
        <w:t>[</w:t>
      </w:r>
      <w:r w:rsidR="004374DF" w:rsidRPr="00995D35">
        <w:rPr>
          <w:rFonts w:ascii="Times New Roman" w:eastAsia="Calibri" w:hAnsi="Times New Roman" w:cs="Times New Roman"/>
          <w:sz w:val="28"/>
          <w:szCs w:val="28"/>
        </w:rPr>
        <w:t>3]</w:t>
      </w:r>
    </w:p>
    <w:p w:rsidR="001A01B3" w:rsidRPr="00D01A5F" w:rsidRDefault="001A01B3" w:rsidP="001A01B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D01A5F">
        <w:rPr>
          <w:rFonts w:ascii="Times New Roman" w:eastAsia="Calibri" w:hAnsi="Times New Roman" w:cs="Times New Roman"/>
          <w:sz w:val="28"/>
          <w:szCs w:val="28"/>
        </w:rPr>
        <w:lastRenderedPageBreak/>
        <w:t>Таким образом, 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7C7EFD" w:rsidRDefault="001A01B3" w:rsidP="006357FC">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D01A5F">
        <w:rPr>
          <w:rFonts w:ascii="Times New Roman" w:eastAsia="Calibri" w:hAnsi="Times New Roman" w:cs="Times New Roman"/>
          <w:sz w:val="28"/>
          <w:szCs w:val="28"/>
        </w:rPr>
        <w:t>Он независим от распорядительных и исполнительных органов государственной власти. Он может быть распущен и ликвидирован только специальным законо</w:t>
      </w:r>
      <w:r w:rsidRPr="00D01A5F">
        <w:rPr>
          <w:rFonts w:ascii="Times New Roman" w:eastAsia="Calibri" w:hAnsi="Times New Roman" w:cs="Times New Roman"/>
          <w:sz w:val="28"/>
          <w:szCs w:val="28"/>
        </w:rPr>
        <w:softHyphen/>
        <w:t>дательным актом. Банк России экономически самостоятелен, то есть осуществляет свои расходы за счет собственных доходов. Однако, Банк России в проведении кредитно-денежной политики не руко</w:t>
      </w:r>
      <w:r w:rsidRPr="00D01A5F">
        <w:rPr>
          <w:rFonts w:ascii="Times New Roman" w:eastAsia="Calibri" w:hAnsi="Times New Roman" w:cs="Times New Roman"/>
          <w:sz w:val="28"/>
          <w:szCs w:val="28"/>
        </w:rPr>
        <w:softHyphen/>
        <w:t>водствуется стремлением к прибыли, а проводит политику улучше</w:t>
      </w:r>
      <w:r w:rsidRPr="00D01A5F">
        <w:rPr>
          <w:rFonts w:ascii="Times New Roman" w:eastAsia="Calibri" w:hAnsi="Times New Roman" w:cs="Times New Roman"/>
          <w:sz w:val="28"/>
          <w:szCs w:val="28"/>
        </w:rPr>
        <w:softHyphen/>
        <w:t>ния состояния экономики в целом.</w:t>
      </w:r>
      <w:r w:rsidR="00FA70D2">
        <w:rPr>
          <w:rFonts w:ascii="Times New Roman" w:eastAsia="Calibri" w:hAnsi="Times New Roman" w:cs="Times New Roman"/>
          <w:sz w:val="28"/>
          <w:szCs w:val="28"/>
        </w:rPr>
        <w:t xml:space="preserve"> Являясь</w:t>
      </w:r>
      <w:r w:rsidRPr="00D01A5F">
        <w:rPr>
          <w:rFonts w:ascii="Times New Roman" w:eastAsia="Calibri" w:hAnsi="Times New Roman" w:cs="Times New Roman"/>
          <w:sz w:val="28"/>
          <w:szCs w:val="28"/>
        </w:rPr>
        <w:t xml:space="preserve"> "банком банков", он предоставляет кредиты и принимает вклады только от депозитных учреждений. Он имеет право выпускать в обращение денежные знаки, которые, тем самым, образуют предложение бумаж</w:t>
      </w:r>
      <w:r w:rsidRPr="00D01A5F">
        <w:rPr>
          <w:rFonts w:ascii="Times New Roman" w:eastAsia="Calibri" w:hAnsi="Times New Roman" w:cs="Times New Roman"/>
          <w:sz w:val="28"/>
          <w:szCs w:val="28"/>
        </w:rPr>
        <w:softHyphen/>
        <w:t>ных денег. Такую фун</w:t>
      </w:r>
      <w:r w:rsidR="007C7EFD">
        <w:rPr>
          <w:rFonts w:ascii="Times New Roman" w:eastAsia="Calibri" w:hAnsi="Times New Roman" w:cs="Times New Roman"/>
          <w:sz w:val="28"/>
          <w:szCs w:val="28"/>
        </w:rPr>
        <w:t>кцию другие банки в РФ не имеет.</w:t>
      </w:r>
      <w:r w:rsidR="006357FC">
        <w:rPr>
          <w:rFonts w:ascii="Times New Roman" w:eastAsia="Calibri" w:hAnsi="Times New Roman" w:cs="Times New Roman"/>
          <w:sz w:val="28"/>
          <w:szCs w:val="28"/>
        </w:rPr>
        <w:t xml:space="preserve"> </w:t>
      </w:r>
    </w:p>
    <w:p w:rsidR="008F378E" w:rsidRDefault="008F378E" w:rsidP="001A01B3">
      <w:pPr>
        <w:tabs>
          <w:tab w:val="right" w:leader="dot" w:pos="9639"/>
        </w:tabs>
        <w:spacing w:after="0" w:line="360" w:lineRule="auto"/>
        <w:contextualSpacing/>
        <w:jc w:val="both"/>
        <w:rPr>
          <w:rFonts w:ascii="Times New Roman" w:eastAsia="Calibri" w:hAnsi="Times New Roman" w:cs="Times New Roman"/>
          <w:sz w:val="28"/>
          <w:szCs w:val="28"/>
        </w:rPr>
      </w:pPr>
    </w:p>
    <w:p w:rsidR="001A01B3" w:rsidRDefault="001A01B3" w:rsidP="008F378E">
      <w:pPr>
        <w:tabs>
          <w:tab w:val="right" w:leader="dot" w:pos="9639"/>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B82E69">
        <w:rPr>
          <w:rFonts w:ascii="Times New Roman" w:eastAsia="Calibri" w:hAnsi="Times New Roman" w:cs="Times New Roman"/>
          <w:sz w:val="28"/>
          <w:szCs w:val="28"/>
        </w:rPr>
        <w:t xml:space="preserve"> Система инструментов денежно-кредитной политики</w:t>
      </w:r>
    </w:p>
    <w:p w:rsidR="001A01B3" w:rsidRDefault="001A01B3" w:rsidP="001A01B3">
      <w:pPr>
        <w:tabs>
          <w:tab w:val="right" w:leader="dot" w:pos="9639"/>
        </w:tabs>
        <w:spacing w:after="0" w:line="360" w:lineRule="auto"/>
        <w:contextualSpacing/>
        <w:jc w:val="both"/>
        <w:rPr>
          <w:rFonts w:ascii="Times New Roman" w:eastAsia="Calibri" w:hAnsi="Times New Roman" w:cs="Times New Roman"/>
          <w:sz w:val="28"/>
          <w:szCs w:val="28"/>
        </w:rPr>
      </w:pPr>
    </w:p>
    <w:p w:rsidR="001A01B3" w:rsidRPr="004277F2" w:rsidRDefault="001A01B3" w:rsidP="001A01B3">
      <w:pPr>
        <w:tabs>
          <w:tab w:val="right" w:leader="dot" w:pos="9639"/>
        </w:tabs>
        <w:spacing w:after="0" w:line="360" w:lineRule="auto"/>
        <w:ind w:firstLine="709"/>
        <w:jc w:val="both"/>
        <w:rPr>
          <w:rFonts w:ascii="Times New Roman" w:eastAsia="Calibri" w:hAnsi="Times New Roman" w:cs="Times New Roman"/>
          <w:bCs/>
          <w:sz w:val="28"/>
          <w:szCs w:val="28"/>
        </w:rPr>
      </w:pPr>
      <w:r w:rsidRPr="00F23537">
        <w:rPr>
          <w:rFonts w:ascii="Times New Roman" w:eastAsia="Calibri" w:hAnsi="Times New Roman" w:cs="Times New Roman"/>
          <w:bCs/>
          <w:sz w:val="28"/>
          <w:szCs w:val="28"/>
        </w:rPr>
        <w:t>Денежно-кредитная политика представляет собой целый комплекс мероприятий, которые изменяют объем денежной массы в обращении, уровень процентных ставок, объем кредитов и других показателей денежного обращения. Цель денежно-кредитной политики заключается в регулировании экономики, используя воздействия на общее состояние</w:t>
      </w:r>
      <w:r w:rsidR="005E4F8B">
        <w:rPr>
          <w:rFonts w:ascii="Times New Roman" w:eastAsia="Calibri" w:hAnsi="Times New Roman" w:cs="Times New Roman"/>
          <w:bCs/>
          <w:sz w:val="28"/>
          <w:szCs w:val="28"/>
        </w:rPr>
        <w:t xml:space="preserve"> совокупного денежного оборота, который включает в себя наличную денежную массу</w:t>
      </w:r>
      <w:r w:rsidRPr="00F23537">
        <w:rPr>
          <w:rFonts w:ascii="Times New Roman" w:eastAsia="Calibri" w:hAnsi="Times New Roman" w:cs="Times New Roman"/>
          <w:bCs/>
          <w:sz w:val="28"/>
          <w:szCs w:val="28"/>
        </w:rPr>
        <w:t xml:space="preserve"> в о</w:t>
      </w:r>
      <w:r w:rsidR="005E4F8B">
        <w:rPr>
          <w:rFonts w:ascii="Times New Roman" w:eastAsia="Calibri" w:hAnsi="Times New Roman" w:cs="Times New Roman"/>
          <w:bCs/>
          <w:sz w:val="28"/>
          <w:szCs w:val="28"/>
        </w:rPr>
        <w:t>бращении и безналичные деньги</w:t>
      </w:r>
      <w:r>
        <w:rPr>
          <w:rFonts w:ascii="Times New Roman" w:eastAsia="Calibri" w:hAnsi="Times New Roman" w:cs="Times New Roman"/>
          <w:bCs/>
          <w:sz w:val="28"/>
          <w:szCs w:val="28"/>
        </w:rPr>
        <w:t>.</w:t>
      </w:r>
      <w:r w:rsidR="00112EE9" w:rsidRPr="00112EE9">
        <w:rPr>
          <w:rFonts w:ascii="Times New Roman" w:eastAsia="Calibri" w:hAnsi="Times New Roman" w:cs="Times New Roman"/>
          <w:bCs/>
          <w:sz w:val="28"/>
          <w:szCs w:val="28"/>
        </w:rPr>
        <w:t xml:space="preserve"> </w:t>
      </w:r>
      <w:r w:rsidR="005A78C8" w:rsidRPr="004277F2">
        <w:rPr>
          <w:rFonts w:ascii="Times New Roman" w:eastAsia="Calibri" w:hAnsi="Times New Roman" w:cs="Times New Roman"/>
          <w:bCs/>
          <w:sz w:val="28"/>
          <w:szCs w:val="28"/>
        </w:rPr>
        <w:t>[12]</w:t>
      </w:r>
    </w:p>
    <w:p w:rsidR="007C7EFD" w:rsidRDefault="001A01B3" w:rsidP="008F378E">
      <w:pPr>
        <w:tabs>
          <w:tab w:val="right" w:leader="dot" w:pos="9639"/>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Банк России</w:t>
      </w:r>
      <w:r w:rsidRPr="00F23537">
        <w:rPr>
          <w:rFonts w:ascii="Times New Roman" w:eastAsia="Calibri" w:hAnsi="Times New Roman" w:cs="Times New Roman"/>
          <w:bCs/>
          <w:sz w:val="28"/>
          <w:szCs w:val="28"/>
        </w:rPr>
        <w:t xml:space="preserve"> для проведения денежно-кредитной политики может использовать различные инструменты, различающиеся между собой по характеру параметров, устанавливаемых в ходе регулирования (количественные и качественные); по объектам воздействия (предложение </w:t>
      </w:r>
      <w:r w:rsidRPr="00F23537">
        <w:rPr>
          <w:rFonts w:ascii="Times New Roman" w:eastAsia="Calibri" w:hAnsi="Times New Roman" w:cs="Times New Roman"/>
          <w:bCs/>
          <w:sz w:val="28"/>
          <w:szCs w:val="28"/>
        </w:rPr>
        <w:lastRenderedPageBreak/>
        <w:t>денег и спрос на деньги)</w:t>
      </w:r>
      <w:r>
        <w:rPr>
          <w:rFonts w:ascii="Times New Roman" w:eastAsia="Calibri" w:hAnsi="Times New Roman" w:cs="Times New Roman"/>
          <w:bCs/>
          <w:sz w:val="28"/>
          <w:szCs w:val="28"/>
        </w:rPr>
        <w:t xml:space="preserve">, а также </w:t>
      </w:r>
      <w:r w:rsidRPr="004B37F0">
        <w:rPr>
          <w:rFonts w:ascii="Times New Roman" w:eastAsia="Calibri" w:hAnsi="Times New Roman" w:cs="Times New Roman"/>
          <w:bCs/>
          <w:sz w:val="28"/>
          <w:szCs w:val="28"/>
        </w:rPr>
        <w:t>по форме их в</w:t>
      </w:r>
      <w:r>
        <w:rPr>
          <w:rFonts w:ascii="Times New Roman" w:eastAsia="Calibri" w:hAnsi="Times New Roman" w:cs="Times New Roman"/>
          <w:bCs/>
          <w:sz w:val="28"/>
          <w:szCs w:val="28"/>
        </w:rPr>
        <w:t>оздействия (прямые и косвенные), что представлено на рисунке 2.</w:t>
      </w:r>
    </w:p>
    <w:p w:rsidR="007C7EFD" w:rsidRDefault="007C7EFD" w:rsidP="007C7EFD">
      <w:pPr>
        <w:tabs>
          <w:tab w:val="right" w:leader="dot" w:pos="9639"/>
        </w:tabs>
        <w:spacing w:after="0" w:line="360" w:lineRule="auto"/>
        <w:ind w:firstLine="709"/>
        <w:jc w:val="both"/>
        <w:rPr>
          <w:rFonts w:ascii="Times New Roman" w:eastAsia="Calibri" w:hAnsi="Times New Roman" w:cs="Times New Roman"/>
          <w:bCs/>
          <w:noProof/>
          <w:sz w:val="28"/>
          <w:szCs w:val="28"/>
          <w:lang w:eastAsia="ru-RU"/>
        </w:rPr>
      </w:pPr>
    </w:p>
    <w:p w:rsidR="0051021D" w:rsidRDefault="0051021D" w:rsidP="005E4F8B">
      <w:pPr>
        <w:tabs>
          <w:tab w:val="right" w:leader="dot" w:pos="9639"/>
        </w:tabs>
        <w:spacing w:after="0" w:line="360" w:lineRule="auto"/>
        <w:jc w:val="both"/>
        <w:rPr>
          <w:rFonts w:ascii="Times New Roman" w:eastAsia="Calibri" w:hAnsi="Times New Roman" w:cs="Times New Roman"/>
          <w:bCs/>
          <w:noProof/>
          <w:sz w:val="28"/>
          <w:szCs w:val="28"/>
          <w:lang w:eastAsia="ru-RU"/>
        </w:rPr>
      </w:pPr>
      <w:r>
        <w:rPr>
          <w:rFonts w:ascii="Times New Roman" w:eastAsia="Calibri" w:hAnsi="Times New Roman" w:cs="Times New Roman"/>
          <w:bCs/>
          <w:noProof/>
          <w:sz w:val="28"/>
          <w:szCs w:val="28"/>
          <w:lang w:eastAsia="ru-RU"/>
        </w:rPr>
        <mc:AlternateContent>
          <mc:Choice Requires="wps">
            <w:drawing>
              <wp:anchor distT="0" distB="0" distL="114300" distR="114300" simplePos="0" relativeHeight="251660288" behindDoc="0" locked="0" layoutInCell="1" allowOverlap="1" wp14:anchorId="39D229C2" wp14:editId="4E98C015">
                <wp:simplePos x="0" y="0"/>
                <wp:positionH relativeFrom="column">
                  <wp:posOffset>1282921</wp:posOffset>
                </wp:positionH>
                <wp:positionV relativeFrom="paragraph">
                  <wp:posOffset>-62544</wp:posOffset>
                </wp:positionV>
                <wp:extent cx="3883025" cy="657539"/>
                <wp:effectExtent l="0" t="0" r="22225" b="28575"/>
                <wp:wrapNone/>
                <wp:docPr id="6" name="Прямоугольник 6"/>
                <wp:cNvGraphicFramePr/>
                <a:graphic xmlns:a="http://schemas.openxmlformats.org/drawingml/2006/main">
                  <a:graphicData uri="http://schemas.microsoft.com/office/word/2010/wordprocessingShape">
                    <wps:wsp>
                      <wps:cNvSpPr/>
                      <wps:spPr>
                        <a:xfrm>
                          <a:off x="0" y="0"/>
                          <a:ext cx="3883025" cy="657539"/>
                        </a:xfrm>
                        <a:prstGeom prst="rect">
                          <a:avLst/>
                        </a:prstGeom>
                      </wps:spPr>
                      <wps:style>
                        <a:lnRef idx="2">
                          <a:schemeClr val="accent1"/>
                        </a:lnRef>
                        <a:fillRef idx="1">
                          <a:schemeClr val="lt1"/>
                        </a:fillRef>
                        <a:effectRef idx="0">
                          <a:schemeClr val="accent1"/>
                        </a:effectRef>
                        <a:fontRef idx="minor">
                          <a:schemeClr val="dk1"/>
                        </a:fontRef>
                      </wps:style>
                      <wps:txbx>
                        <w:txbxContent>
                          <w:p w:rsidR="007534BA" w:rsidRPr="005E4F8B" w:rsidRDefault="007534BA" w:rsidP="005E4F8B">
                            <w:pPr>
                              <w:jc w:val="center"/>
                              <w:rPr>
                                <w:rFonts w:ascii="Times New Roman" w:hAnsi="Times New Roman" w:cs="Times New Roman"/>
                                <w:sz w:val="32"/>
                                <w:szCs w:val="32"/>
                              </w:rPr>
                            </w:pPr>
                            <w:r w:rsidRPr="005E4F8B">
                              <w:rPr>
                                <w:rFonts w:ascii="Times New Roman" w:hAnsi="Times New Roman" w:cs="Times New Roman"/>
                                <w:sz w:val="32"/>
                                <w:szCs w:val="32"/>
                              </w:rPr>
                              <w:t>Инструменты денежно-кредитной политики</w:t>
                            </w:r>
                          </w:p>
                          <w:p w:rsidR="007534BA" w:rsidRPr="005E4F8B" w:rsidRDefault="007534BA" w:rsidP="005E4F8B">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29C2" id="Прямоугольник 6" o:spid="_x0000_s1040" style="position:absolute;left:0;text-align:left;margin-left:101pt;margin-top:-4.9pt;width:305.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" fillcolor="white [3201]" strokecolor="#5b9bd5 [3204]" strokeweight="1pt">
                <v:textbox>
                  <w:txbxContent>
                    <w:p w:rsidR="007534BA" w:rsidRPr="005E4F8B" w:rsidRDefault="007534BA" w:rsidP="005E4F8B">
                      <w:pPr>
                        <w:jc w:val="center"/>
                        <w:rPr>
                          <w:rFonts w:ascii="Times New Roman" w:hAnsi="Times New Roman" w:cs="Times New Roman"/>
                          <w:sz w:val="32"/>
                          <w:szCs w:val="32"/>
                        </w:rPr>
                      </w:pPr>
                      <w:r w:rsidRPr="005E4F8B">
                        <w:rPr>
                          <w:rFonts w:ascii="Times New Roman" w:hAnsi="Times New Roman" w:cs="Times New Roman"/>
                          <w:sz w:val="32"/>
                          <w:szCs w:val="32"/>
                        </w:rPr>
                        <w:t>Инструменты денежно-кредитной политики</w:t>
                      </w:r>
                    </w:p>
                    <w:p w:rsidR="007534BA" w:rsidRPr="005E4F8B" w:rsidRDefault="007534BA" w:rsidP="005E4F8B">
                      <w:pPr>
                        <w:jc w:val="center"/>
                        <w:rPr>
                          <w:rFonts w:ascii="Times New Roman" w:hAnsi="Times New Roman" w:cs="Times New Roman"/>
                          <w:sz w:val="32"/>
                          <w:szCs w:val="32"/>
                        </w:rPr>
                      </w:pPr>
                    </w:p>
                  </w:txbxContent>
                </v:textbox>
              </v:rect>
            </w:pict>
          </mc:Fallback>
        </mc:AlternateContent>
      </w:r>
    </w:p>
    <w:p w:rsidR="005E4F8B" w:rsidRDefault="0051021D" w:rsidP="005E4F8B">
      <w:pPr>
        <w:tabs>
          <w:tab w:val="right" w:leader="dot" w:pos="9639"/>
        </w:tabs>
        <w:spacing w:after="0" w:line="360" w:lineRule="auto"/>
        <w:jc w:val="both"/>
        <w:rPr>
          <w:rFonts w:ascii="Times New Roman" w:eastAsia="Calibri" w:hAnsi="Times New Roman" w:cs="Times New Roman"/>
          <w:bCs/>
          <w:noProof/>
          <w:sz w:val="28"/>
          <w:szCs w:val="28"/>
          <w:lang w:eastAsia="ru-RU"/>
        </w:rPr>
      </w:pPr>
      <w:r>
        <w:rPr>
          <w:rFonts w:ascii="Times New Roman" w:eastAsia="Calibri" w:hAnsi="Times New Roman" w:cs="Times New Roman"/>
          <w:b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4005573</wp:posOffset>
                </wp:positionH>
                <wp:positionV relativeFrom="paragraph">
                  <wp:posOffset>288297</wp:posOffset>
                </wp:positionV>
                <wp:extent cx="0" cy="323215"/>
                <wp:effectExtent l="76200" t="0" r="76200" b="57785"/>
                <wp:wrapNone/>
                <wp:docPr id="1" name="Прямая со стрелкой 1"/>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9C731" id="Прямая со стрелкой 1" o:spid="_x0000_s1026" type="#_x0000_t32" style="position:absolute;margin-left:315.4pt;margin-top:22.7pt;width:0;height:25.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" strokecolor="#5b9bd5 [3204]" strokeweight=".5pt">
                <v:stroke endarrow="block" joinstyle="miter"/>
              </v:shape>
            </w:pict>
          </mc:Fallback>
        </mc:AlternateContent>
      </w:r>
      <w:r w:rsidR="005E4F8B">
        <w:rPr>
          <w:rFonts w:ascii="Times New Roman" w:eastAsia="Calibri" w:hAnsi="Times New Roman" w:cs="Times New Roman"/>
          <w:bCs/>
          <w:noProof/>
          <w:sz w:val="28"/>
          <w:szCs w:val="28"/>
          <w:lang w:eastAsia="ru-RU"/>
        </w:rPr>
        <mc:AlternateContent>
          <mc:Choice Requires="wps">
            <w:drawing>
              <wp:anchor distT="0" distB="0" distL="114300" distR="114300" simplePos="0" relativeHeight="251661312" behindDoc="0" locked="0" layoutInCell="1" allowOverlap="1" wp14:anchorId="7E18691F" wp14:editId="0985D09D">
                <wp:simplePos x="0" y="0"/>
                <wp:positionH relativeFrom="column">
                  <wp:posOffset>2186940</wp:posOffset>
                </wp:positionH>
                <wp:positionV relativeFrom="paragraph">
                  <wp:posOffset>290195</wp:posOffset>
                </wp:positionV>
                <wp:extent cx="0" cy="323215"/>
                <wp:effectExtent l="76200" t="0" r="76200" b="57785"/>
                <wp:wrapNone/>
                <wp:docPr id="22" name="Прямая со стрелкой 22"/>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95929" id="Прямая со стрелкой 22" o:spid="_x0000_s1026" type="#_x0000_t32" style="position:absolute;margin-left:172.2pt;margin-top:22.85pt;width:0;height:25.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" strokecolor="#5b9bd5 [3204]" strokeweight=".5pt">
                <v:stroke endarrow="block" joinstyle="miter"/>
              </v:shape>
            </w:pict>
          </mc:Fallback>
        </mc:AlternateContent>
      </w:r>
    </w:p>
    <w:p w:rsidR="007C7EFD" w:rsidRDefault="007C7EFD" w:rsidP="005E4F8B">
      <w:pPr>
        <w:tabs>
          <w:tab w:val="right" w:leader="dot" w:pos="9639"/>
        </w:tabs>
        <w:spacing w:after="0" w:line="360" w:lineRule="auto"/>
        <w:jc w:val="both"/>
        <w:rPr>
          <w:rFonts w:ascii="Times New Roman" w:eastAsia="Calibri" w:hAnsi="Times New Roman" w:cs="Times New Roman"/>
          <w:bCs/>
          <w:noProof/>
          <w:sz w:val="28"/>
          <w:szCs w:val="28"/>
          <w:lang w:eastAsia="ru-RU"/>
        </w:rPr>
      </w:pPr>
    </w:p>
    <w:p w:rsidR="007C7EFD" w:rsidRDefault="005E4F8B" w:rsidP="007C7EFD">
      <w:pPr>
        <w:tabs>
          <w:tab w:val="right" w:leader="dot" w:pos="9639"/>
        </w:tabs>
        <w:spacing w:after="0" w:line="360" w:lineRule="auto"/>
        <w:ind w:firstLine="709"/>
        <w:jc w:val="both"/>
        <w:rPr>
          <w:rFonts w:ascii="Times New Roman" w:eastAsia="Calibri" w:hAnsi="Times New Roman" w:cs="Times New Roman"/>
          <w:bCs/>
          <w:noProof/>
          <w:sz w:val="28"/>
          <w:szCs w:val="28"/>
          <w:lang w:eastAsia="ru-RU"/>
        </w:rPr>
      </w:pPr>
      <w:r w:rsidRPr="004B37F0">
        <w:rPr>
          <w:rFonts w:ascii="Times New Roman" w:eastAsia="Calibri" w:hAnsi="Times New Roman" w:cs="Times New Roman"/>
          <w:bCs/>
          <w:noProof/>
          <w:sz w:val="28"/>
          <w:szCs w:val="28"/>
          <w:lang w:eastAsia="ru-RU"/>
        </w:rPr>
        <w:drawing>
          <wp:inline distT="0" distB="0" distL="0" distR="0" wp14:anchorId="7D3DE579" wp14:editId="4A993E41">
            <wp:extent cx="5524500" cy="3337579"/>
            <wp:effectExtent l="0" t="0" r="0" b="0"/>
            <wp:docPr id="13" name="Рисунок 13" descr="C:\Users\user\Desktop\p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1037" cy="3341528"/>
                    </a:xfrm>
                    <a:prstGeom prst="rect">
                      <a:avLst/>
                    </a:prstGeom>
                    <a:noFill/>
                    <a:ln>
                      <a:noFill/>
                    </a:ln>
                  </pic:spPr>
                </pic:pic>
              </a:graphicData>
            </a:graphic>
          </wp:inline>
        </w:drawing>
      </w:r>
    </w:p>
    <w:p w:rsidR="001A01B3" w:rsidRDefault="001A01B3" w:rsidP="007C7EFD">
      <w:pPr>
        <w:tabs>
          <w:tab w:val="right" w:leader="dot" w:pos="9639"/>
        </w:tabs>
        <w:spacing w:after="0" w:line="360" w:lineRule="auto"/>
        <w:ind w:firstLine="709"/>
        <w:jc w:val="both"/>
        <w:rPr>
          <w:rFonts w:ascii="Times New Roman" w:eastAsia="Calibri" w:hAnsi="Times New Roman" w:cs="Times New Roman"/>
          <w:bCs/>
          <w:sz w:val="28"/>
          <w:szCs w:val="28"/>
        </w:rPr>
      </w:pPr>
    </w:p>
    <w:p w:rsidR="001A01B3" w:rsidRDefault="001A01B3" w:rsidP="002105B8">
      <w:pPr>
        <w:tabs>
          <w:tab w:val="right" w:leader="dot" w:pos="9639"/>
        </w:tabs>
        <w:spacing w:after="0" w:line="36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Рисунок </w:t>
      </w:r>
      <w:proofErr w:type="gramStart"/>
      <w:r>
        <w:rPr>
          <w:rFonts w:ascii="Times New Roman" w:eastAsia="Calibri" w:hAnsi="Times New Roman" w:cs="Times New Roman"/>
          <w:bCs/>
          <w:sz w:val="28"/>
          <w:szCs w:val="28"/>
        </w:rPr>
        <w:t xml:space="preserve">2 </w:t>
      </w:r>
      <w:r w:rsidR="002105B8">
        <w:rPr>
          <w:rFonts w:ascii="Times New Roman" w:eastAsia="Calibri" w:hAnsi="Times New Roman" w:cs="Times New Roman"/>
          <w:bCs/>
          <w:sz w:val="28"/>
          <w:szCs w:val="28"/>
        </w:rPr>
        <w:sym w:font="Symbol" w:char="F02D"/>
      </w:r>
      <w:r w:rsidR="002105B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Классификация</w:t>
      </w:r>
      <w:proofErr w:type="gramEnd"/>
      <w:r>
        <w:rPr>
          <w:rFonts w:ascii="Times New Roman" w:eastAsia="Calibri" w:hAnsi="Times New Roman" w:cs="Times New Roman"/>
          <w:bCs/>
          <w:sz w:val="28"/>
          <w:szCs w:val="28"/>
        </w:rPr>
        <w:t xml:space="preserve"> инструментов по форме их воздействия</w:t>
      </w:r>
    </w:p>
    <w:p w:rsidR="001A01B3" w:rsidRDefault="001A01B3" w:rsidP="001A01B3">
      <w:pPr>
        <w:tabs>
          <w:tab w:val="right" w:leader="dot" w:pos="9639"/>
        </w:tabs>
        <w:spacing w:after="0" w:line="360" w:lineRule="auto"/>
        <w:ind w:firstLine="709"/>
        <w:jc w:val="both"/>
        <w:rPr>
          <w:rFonts w:ascii="Times New Roman" w:eastAsia="Calibri" w:hAnsi="Times New Roman" w:cs="Times New Roman"/>
          <w:bCs/>
          <w:sz w:val="28"/>
          <w:szCs w:val="28"/>
        </w:rPr>
      </w:pP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bCs/>
          <w:sz w:val="28"/>
          <w:szCs w:val="28"/>
        </w:rPr>
      </w:pPr>
      <w:r w:rsidRPr="00E77207">
        <w:rPr>
          <w:rFonts w:ascii="Times New Roman" w:eastAsia="Calibri" w:hAnsi="Times New Roman" w:cs="Times New Roman"/>
          <w:bCs/>
          <w:sz w:val="28"/>
          <w:szCs w:val="28"/>
        </w:rPr>
        <w:t>Основные инструменты и методы, которыми может пользоваться Банк России при разработке и реализации денежно-кредитной политики, определены Законом «О Центральном банке Российской Федерации (Банке России)». К ним относятся:</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ставки процента по операциям Банка России;</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нормативы обязательных резервов, депонируемых в Банке России (резервные требования);</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операции на открытом рынке;</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рефинансирование кредитных организаций;</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валютные интервенции;</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установление ориентиров роста денежной массы;</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прямые количественные ограничения;</w:t>
      </w:r>
    </w:p>
    <w:p w:rsidR="001A01B3" w:rsidRPr="00995D35"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эмиссия облигаций от своего имени.</w:t>
      </w:r>
      <w:r w:rsidR="004374DF">
        <w:rPr>
          <w:rFonts w:ascii="Times New Roman" w:eastAsia="Calibri" w:hAnsi="Times New Roman" w:cs="Times New Roman"/>
          <w:sz w:val="28"/>
          <w:szCs w:val="28"/>
        </w:rPr>
        <w:t xml:space="preserve"> [</w:t>
      </w:r>
      <w:r w:rsidR="004374DF" w:rsidRPr="00995D35">
        <w:rPr>
          <w:rFonts w:ascii="Times New Roman" w:eastAsia="Calibri" w:hAnsi="Times New Roman" w:cs="Times New Roman"/>
          <w:sz w:val="28"/>
          <w:szCs w:val="28"/>
        </w:rPr>
        <w:t>3]</w:t>
      </w:r>
    </w:p>
    <w:p w:rsidR="00A90978" w:rsidRPr="001F37C7" w:rsidRDefault="001A01B3" w:rsidP="00A90978">
      <w:pPr>
        <w:tabs>
          <w:tab w:val="right" w:leader="dot" w:pos="9639"/>
        </w:tabs>
        <w:spacing w:after="0" w:line="360" w:lineRule="auto"/>
        <w:ind w:firstLine="709"/>
        <w:jc w:val="both"/>
        <w:rPr>
          <w:rFonts w:ascii="Times New Roman" w:eastAsia="Calibri" w:hAnsi="Times New Roman" w:cs="Times New Roman"/>
          <w:sz w:val="28"/>
          <w:szCs w:val="28"/>
        </w:rPr>
      </w:pPr>
      <w:r w:rsidRPr="00E77207">
        <w:rPr>
          <w:rFonts w:ascii="Times New Roman" w:eastAsia="Calibri" w:hAnsi="Times New Roman" w:cs="Times New Roman"/>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В статье 40 Федерального закона № 86-ФЗ “О центральном банке Российской Федерации (Банке России)” от 10 июля 2002 г определено, что под рефинансированием понимается кредитование Банком России кредитных организаций. Процентные ставки Банка России представляют собой минимальные ставки, по которым Банк России осуществ</w:t>
      </w:r>
      <w:r w:rsidRPr="00E77207">
        <w:rPr>
          <w:rFonts w:ascii="Times New Roman" w:eastAsia="Calibri" w:hAnsi="Times New Roman" w:cs="Times New Roman"/>
          <w:sz w:val="28"/>
          <w:szCs w:val="28"/>
        </w:rPr>
        <w:softHyphen/>
        <w:t>ляет свои операции. В зависимости от величины учетного процента строится система процентных ставок коммерче</w:t>
      </w:r>
      <w:r w:rsidRPr="00E77207">
        <w:rPr>
          <w:rFonts w:ascii="Times New Roman" w:eastAsia="Calibri" w:hAnsi="Times New Roman" w:cs="Times New Roman"/>
          <w:sz w:val="28"/>
          <w:szCs w:val="28"/>
        </w:rPr>
        <w:softHyphen/>
        <w:t>ских банков, что влияет на удешевление или удорожание кредита. Центральный банк регулирует уровень процентных ста</w:t>
      </w:r>
      <w:r w:rsidRPr="00E77207">
        <w:rPr>
          <w:rFonts w:ascii="Times New Roman" w:eastAsia="Calibri" w:hAnsi="Times New Roman" w:cs="Times New Roman"/>
          <w:sz w:val="28"/>
          <w:szCs w:val="28"/>
        </w:rPr>
        <w:softHyphen/>
        <w:t>вок двояким образом: через фиксацию ставок по предоставлению коммер</w:t>
      </w:r>
      <w:r w:rsidRPr="00E77207">
        <w:rPr>
          <w:rFonts w:ascii="Times New Roman" w:eastAsia="Calibri" w:hAnsi="Times New Roman" w:cs="Times New Roman"/>
          <w:sz w:val="28"/>
          <w:szCs w:val="28"/>
        </w:rPr>
        <w:softHyphen/>
        <w:t>ческим банкам кредитов; через контроль над ставками кредитных учреждений. Банк России использует процентную политику для воз</w:t>
      </w:r>
      <w:r w:rsidRPr="00E77207">
        <w:rPr>
          <w:rFonts w:ascii="Times New Roman" w:eastAsia="Calibri" w:hAnsi="Times New Roman" w:cs="Times New Roman"/>
          <w:sz w:val="28"/>
          <w:szCs w:val="28"/>
        </w:rPr>
        <w:softHyphen/>
        <w:t>действия на рыночные процентные ставки в целях регули</w:t>
      </w:r>
      <w:r w:rsidRPr="00E77207">
        <w:rPr>
          <w:rFonts w:ascii="Times New Roman" w:eastAsia="Calibri" w:hAnsi="Times New Roman" w:cs="Times New Roman"/>
          <w:sz w:val="28"/>
          <w:szCs w:val="28"/>
        </w:rPr>
        <w:softHyphen/>
        <w:t>рования денежной массы в обращении.</w:t>
      </w:r>
      <w:r w:rsidR="00A90978">
        <w:rPr>
          <w:rFonts w:ascii="Times New Roman" w:eastAsia="Calibri" w:hAnsi="Times New Roman" w:cs="Times New Roman"/>
          <w:sz w:val="28"/>
          <w:szCs w:val="28"/>
        </w:rPr>
        <w:t xml:space="preserve"> </w:t>
      </w:r>
      <w:r w:rsidR="00A90978" w:rsidRPr="00A90978">
        <w:rPr>
          <w:rFonts w:ascii="Times New Roman" w:eastAsia="Calibri" w:hAnsi="Times New Roman" w:cs="Times New Roman"/>
          <w:sz w:val="28"/>
          <w:szCs w:val="28"/>
        </w:rPr>
        <w:t>Совет директоров Банка России определяет уровень ключевой ставки восемь раз в год: на четырех опорных заседаниях, которые проводятся один раз в квартал, и на четырех промежуточных, которые проводятся между опорными. По итогам каждого заседания Банк России публикует пресс-релиз о ключевой ставке. После опорных заседаний помимо пресс-релиза публикуется Доклад о денежно-кредитной политике, и Председатель Банка России выступает на пресс-конференции, комментирует принятое решение и о</w:t>
      </w:r>
      <w:r w:rsidR="00A90978">
        <w:rPr>
          <w:rFonts w:ascii="Times New Roman" w:eastAsia="Calibri" w:hAnsi="Times New Roman" w:cs="Times New Roman"/>
          <w:sz w:val="28"/>
          <w:szCs w:val="28"/>
        </w:rPr>
        <w:t>твечает на вопросы журналистов.</w:t>
      </w:r>
      <w:r w:rsidR="007341DF" w:rsidRPr="007341DF">
        <w:rPr>
          <w:rFonts w:ascii="Times New Roman" w:eastAsia="Calibri" w:hAnsi="Times New Roman" w:cs="Times New Roman"/>
          <w:sz w:val="28"/>
          <w:szCs w:val="28"/>
        </w:rPr>
        <w:t xml:space="preserve"> [</w:t>
      </w:r>
      <w:r w:rsidR="007534BA" w:rsidRPr="001F37C7">
        <w:rPr>
          <w:rFonts w:ascii="Times New Roman" w:eastAsia="Calibri" w:hAnsi="Times New Roman" w:cs="Times New Roman"/>
          <w:sz w:val="28"/>
          <w:szCs w:val="28"/>
        </w:rPr>
        <w:t>25</w:t>
      </w:r>
      <w:r w:rsidR="007341DF" w:rsidRPr="001F37C7">
        <w:rPr>
          <w:rFonts w:ascii="Times New Roman" w:eastAsia="Calibri" w:hAnsi="Times New Roman" w:cs="Times New Roman"/>
          <w:sz w:val="28"/>
          <w:szCs w:val="28"/>
        </w:rPr>
        <w:t>]</w:t>
      </w:r>
    </w:p>
    <w:p w:rsidR="00112EE9" w:rsidRPr="005A78C8" w:rsidRDefault="00E00CA6"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Обязательные </w:t>
      </w:r>
      <w:proofErr w:type="gramStart"/>
      <w:r>
        <w:rPr>
          <w:rFonts w:ascii="Times New Roman" w:eastAsia="Calibri" w:hAnsi="Times New Roman" w:cs="Times New Roman"/>
          <w:sz w:val="28"/>
          <w:szCs w:val="28"/>
        </w:rPr>
        <w:t xml:space="preserve">резервы </w:t>
      </w:r>
      <w:r>
        <w:rPr>
          <w:rFonts w:ascii="Times New Roman" w:eastAsia="Calibri" w:hAnsi="Times New Roman" w:cs="Times New Roman"/>
          <w:sz w:val="28"/>
          <w:szCs w:val="28"/>
        </w:rPr>
        <w:sym w:font="Symbol" w:char="F02D"/>
      </w:r>
      <w:r w:rsidR="001A01B3" w:rsidRPr="00E77207">
        <w:rPr>
          <w:rFonts w:ascii="Times New Roman" w:eastAsia="Calibri" w:hAnsi="Times New Roman" w:cs="Times New Roman"/>
          <w:sz w:val="28"/>
          <w:szCs w:val="28"/>
        </w:rPr>
        <w:t xml:space="preserve"> это</w:t>
      </w:r>
      <w:proofErr w:type="gramEnd"/>
      <w:r w:rsidR="001A01B3" w:rsidRPr="00E77207">
        <w:rPr>
          <w:rFonts w:ascii="Times New Roman" w:eastAsia="Calibri" w:hAnsi="Times New Roman" w:cs="Times New Roman"/>
          <w:sz w:val="28"/>
          <w:szCs w:val="28"/>
        </w:rPr>
        <w:t xml:space="preserve"> часть кредитных ресурсов кредитных операций организаций, содержащаяся по требованию центрального банка на открытом в нем беспроцентном резервном счете. Размер обязательных </w:t>
      </w:r>
      <w:r w:rsidR="001A01B3" w:rsidRPr="00E77207">
        <w:rPr>
          <w:rFonts w:ascii="Times New Roman" w:eastAsia="Calibri" w:hAnsi="Times New Roman" w:cs="Times New Roman"/>
          <w:sz w:val="28"/>
          <w:szCs w:val="28"/>
        </w:rPr>
        <w:lastRenderedPageBreak/>
        <w:t>резервов в процентном отношении к обязательствам кредитной организации, а также порядок их депонирования уста</w:t>
      </w:r>
      <w:r w:rsidR="004277F2">
        <w:rPr>
          <w:rFonts w:ascii="Times New Roman" w:eastAsia="Calibri" w:hAnsi="Times New Roman" w:cs="Times New Roman"/>
          <w:sz w:val="28"/>
          <w:szCs w:val="28"/>
        </w:rPr>
        <w:t xml:space="preserve">навливаются Советом </w:t>
      </w:r>
      <w:proofErr w:type="gramStart"/>
      <w:r w:rsidR="004277F2">
        <w:rPr>
          <w:rFonts w:ascii="Times New Roman" w:eastAsia="Calibri" w:hAnsi="Times New Roman" w:cs="Times New Roman"/>
          <w:sz w:val="28"/>
          <w:szCs w:val="28"/>
        </w:rPr>
        <w:t>директоров.</w:t>
      </w:r>
      <w:r w:rsidR="005A78C8" w:rsidRPr="005A78C8">
        <w:rPr>
          <w:rFonts w:ascii="Times New Roman" w:eastAsia="Calibri" w:hAnsi="Times New Roman" w:cs="Times New Roman"/>
          <w:sz w:val="28"/>
          <w:szCs w:val="28"/>
        </w:rPr>
        <w:t>[</w:t>
      </w:r>
      <w:proofErr w:type="gramEnd"/>
      <w:r w:rsidR="005A78C8" w:rsidRPr="005A78C8">
        <w:rPr>
          <w:rFonts w:ascii="Times New Roman" w:eastAsia="Calibri" w:hAnsi="Times New Roman" w:cs="Times New Roman"/>
          <w:sz w:val="28"/>
          <w:szCs w:val="28"/>
        </w:rPr>
        <w:t>22]</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E77207">
        <w:rPr>
          <w:rFonts w:ascii="Times New Roman" w:eastAsia="Calibri" w:hAnsi="Times New Roman" w:cs="Times New Roman"/>
          <w:sz w:val="28"/>
          <w:szCs w:val="28"/>
        </w:rPr>
        <w:t>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являются инструментом, используемым Центральным Банком для регулирования объема денежной массы в стране. Так, регулируются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w:t>
      </w:r>
    </w:p>
    <w:p w:rsidR="007534BA" w:rsidRDefault="001A01B3" w:rsidP="00B71F23">
      <w:pPr>
        <w:tabs>
          <w:tab w:val="right" w:leader="dot" w:pos="9639"/>
        </w:tabs>
        <w:spacing w:after="0" w:line="360" w:lineRule="auto"/>
        <w:ind w:firstLine="709"/>
        <w:jc w:val="both"/>
        <w:rPr>
          <w:rFonts w:ascii="Times New Roman" w:eastAsia="Calibri" w:hAnsi="Times New Roman" w:cs="Times New Roman"/>
          <w:sz w:val="28"/>
          <w:szCs w:val="28"/>
        </w:rPr>
      </w:pPr>
      <w:r w:rsidRPr="00E77207">
        <w:rPr>
          <w:rFonts w:ascii="Times New Roman" w:eastAsia="Calibri" w:hAnsi="Times New Roman" w:cs="Times New Roman"/>
          <w:sz w:val="28"/>
          <w:szCs w:val="28"/>
        </w:rPr>
        <w:t xml:space="preserve">Операции на открытом </w:t>
      </w:r>
      <w:proofErr w:type="gramStart"/>
      <w:r w:rsidRPr="00E77207">
        <w:rPr>
          <w:rFonts w:ascii="Times New Roman" w:eastAsia="Calibri" w:hAnsi="Times New Roman" w:cs="Times New Roman"/>
          <w:sz w:val="28"/>
          <w:szCs w:val="28"/>
        </w:rPr>
        <w:t xml:space="preserve">рынке </w:t>
      </w:r>
      <w:r w:rsidRPr="00E77207">
        <w:rPr>
          <w:rFonts w:ascii="Times New Roman" w:eastAsia="Calibri" w:hAnsi="Times New Roman" w:cs="Times New Roman"/>
          <w:sz w:val="28"/>
          <w:szCs w:val="28"/>
        </w:rPr>
        <w:sym w:font="Symbol" w:char="F02D"/>
      </w:r>
      <w:r w:rsidRPr="00E77207">
        <w:rPr>
          <w:rFonts w:ascii="Times New Roman" w:eastAsia="Calibri" w:hAnsi="Times New Roman" w:cs="Times New Roman"/>
          <w:sz w:val="28"/>
          <w:szCs w:val="28"/>
        </w:rPr>
        <w:t xml:space="preserve"> один</w:t>
      </w:r>
      <w:proofErr w:type="gramEnd"/>
      <w:r w:rsidRPr="00E77207">
        <w:rPr>
          <w:rFonts w:ascii="Times New Roman" w:eastAsia="Calibri" w:hAnsi="Times New Roman" w:cs="Times New Roman"/>
          <w:sz w:val="28"/>
          <w:szCs w:val="28"/>
        </w:rPr>
        <w:t xml:space="preserve"> из самых мощных и гибких инструментов политики Центрального банка РФ. Он включает в себя куплю-продажу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r w:rsidRPr="00E77207">
        <w:rPr>
          <w:rFonts w:ascii="Arial" w:eastAsia="Calibri" w:hAnsi="Arial" w:cs="Arial"/>
          <w:color w:val="000000"/>
          <w:sz w:val="23"/>
          <w:szCs w:val="23"/>
          <w:shd w:val="clear" w:color="auto" w:fill="FFFFFF"/>
        </w:rPr>
        <w:t xml:space="preserve"> </w:t>
      </w:r>
      <w:r w:rsidRPr="00E77207">
        <w:rPr>
          <w:rFonts w:ascii="Times New Roman" w:eastAsia="Calibri" w:hAnsi="Times New Roman" w:cs="Times New Roman"/>
          <w:sz w:val="28"/>
          <w:szCs w:val="28"/>
        </w:rPr>
        <w:t>Покупая у коммерческих банков ценные бумаги, Центральный банк РФ высвобождает их ликвидность и расширяет возможности для кредитования. При продаже ценных бумаг, наоборот, происходит сокращение свободных резервов банковской системы и уменьшается потенциал для кредитования экономики. ЦБ РФ размещает государственные или корпоративные ценные бумаги среди официальных дилеров на аукционах по поручению Правительства РФ. Правительство, использует полученные денежные средства в целях покрытия дефицита бюджета или для других целей. Продавая или покупая государственные ценные бумаги, ЦБ РФ регулирует их доходность, стимулирует коммерческие банки и население покупать или продавать эти бумаги, тем самым сокращая или увеличивая свои кредитные ресурсы, направляя потоки кредитов на, те или иные рынки.</w:t>
      </w:r>
      <w:r w:rsidR="00B71F23">
        <w:rPr>
          <w:rFonts w:ascii="Times New Roman" w:eastAsia="Calibri" w:hAnsi="Times New Roman" w:cs="Times New Roman"/>
          <w:sz w:val="28"/>
          <w:szCs w:val="28"/>
        </w:rPr>
        <w:t xml:space="preserve">  Достаточно распространены в качестве</w:t>
      </w:r>
      <w:r w:rsidR="00B71F23" w:rsidRPr="00B71F23">
        <w:rPr>
          <w:rFonts w:ascii="Times New Roman" w:eastAsia="Calibri" w:hAnsi="Times New Roman" w:cs="Times New Roman"/>
          <w:sz w:val="28"/>
          <w:szCs w:val="28"/>
        </w:rPr>
        <w:t xml:space="preserve"> инструмент</w:t>
      </w:r>
      <w:r w:rsidR="00B71F23">
        <w:rPr>
          <w:rFonts w:ascii="Times New Roman" w:eastAsia="Calibri" w:hAnsi="Times New Roman" w:cs="Times New Roman"/>
          <w:sz w:val="28"/>
          <w:szCs w:val="28"/>
        </w:rPr>
        <w:t>а</w:t>
      </w:r>
      <w:r w:rsidR="00B71F23" w:rsidRPr="00B71F23">
        <w:rPr>
          <w:rFonts w:ascii="Times New Roman" w:eastAsia="Calibri" w:hAnsi="Times New Roman" w:cs="Times New Roman"/>
          <w:sz w:val="28"/>
          <w:szCs w:val="28"/>
        </w:rPr>
        <w:t xml:space="preserve"> денежно-кредитной политики </w:t>
      </w:r>
      <w:r w:rsidR="00B71F23">
        <w:rPr>
          <w:rFonts w:ascii="Times New Roman" w:eastAsia="Calibri" w:hAnsi="Times New Roman" w:cs="Times New Roman"/>
          <w:sz w:val="28"/>
          <w:szCs w:val="28"/>
        </w:rPr>
        <w:t xml:space="preserve">операции </w:t>
      </w:r>
      <w:proofErr w:type="spellStart"/>
      <w:r w:rsidR="00B71F23">
        <w:rPr>
          <w:rFonts w:ascii="Times New Roman" w:eastAsia="Calibri" w:hAnsi="Times New Roman" w:cs="Times New Roman"/>
          <w:sz w:val="28"/>
          <w:szCs w:val="28"/>
        </w:rPr>
        <w:t>репо</w:t>
      </w:r>
      <w:proofErr w:type="spellEnd"/>
      <w:r w:rsidR="00B71F23">
        <w:rPr>
          <w:rFonts w:ascii="Times New Roman" w:eastAsia="Calibri" w:hAnsi="Times New Roman" w:cs="Times New Roman"/>
          <w:sz w:val="28"/>
          <w:szCs w:val="28"/>
        </w:rPr>
        <w:t xml:space="preserve">. </w:t>
      </w:r>
      <w:r w:rsidR="004F4DF7">
        <w:rPr>
          <w:rFonts w:ascii="Times New Roman" w:eastAsia="Calibri" w:hAnsi="Times New Roman" w:cs="Times New Roman"/>
          <w:sz w:val="28"/>
          <w:szCs w:val="28"/>
        </w:rPr>
        <w:t>Ц</w:t>
      </w:r>
      <w:r w:rsidR="00B71F23" w:rsidRPr="00B71F23">
        <w:rPr>
          <w:rFonts w:ascii="Times New Roman" w:eastAsia="Calibri" w:hAnsi="Times New Roman" w:cs="Times New Roman"/>
          <w:sz w:val="28"/>
          <w:szCs w:val="28"/>
        </w:rPr>
        <w:t>ент</w:t>
      </w:r>
      <w:r w:rsidR="004F4DF7">
        <w:rPr>
          <w:rFonts w:ascii="Times New Roman" w:eastAsia="Calibri" w:hAnsi="Times New Roman" w:cs="Times New Roman"/>
          <w:sz w:val="28"/>
          <w:szCs w:val="28"/>
        </w:rPr>
        <w:t xml:space="preserve">ральные банки </w:t>
      </w:r>
      <w:r w:rsidR="00B71F23" w:rsidRPr="00B71F23">
        <w:rPr>
          <w:rFonts w:ascii="Times New Roman" w:eastAsia="Calibri" w:hAnsi="Times New Roman" w:cs="Times New Roman"/>
          <w:sz w:val="28"/>
          <w:szCs w:val="28"/>
        </w:rPr>
        <w:t xml:space="preserve">могут </w:t>
      </w:r>
      <w:r w:rsidR="00B71F23" w:rsidRPr="00B71F23">
        <w:rPr>
          <w:rFonts w:ascii="Times New Roman" w:eastAsia="Calibri" w:hAnsi="Times New Roman" w:cs="Times New Roman"/>
          <w:sz w:val="28"/>
          <w:szCs w:val="28"/>
        </w:rPr>
        <w:lastRenderedPageBreak/>
        <w:t>проводить их для предоставления ликвидности или для абсорбирования избыточной ликвидности.</w:t>
      </w:r>
      <w:r w:rsidR="00B71F23">
        <w:rPr>
          <w:rFonts w:ascii="Times New Roman" w:eastAsia="Calibri" w:hAnsi="Times New Roman" w:cs="Times New Roman"/>
          <w:sz w:val="28"/>
          <w:szCs w:val="28"/>
        </w:rPr>
        <w:t xml:space="preserve"> </w:t>
      </w:r>
      <w:r w:rsidR="00B71F23" w:rsidRPr="00B71F23">
        <w:rPr>
          <w:rFonts w:ascii="Times New Roman" w:eastAsia="Calibri" w:hAnsi="Times New Roman" w:cs="Times New Roman"/>
          <w:sz w:val="28"/>
          <w:szCs w:val="28"/>
        </w:rPr>
        <w:t xml:space="preserve">Операция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(англ. «</w:t>
      </w:r>
      <w:proofErr w:type="spellStart"/>
      <w:r w:rsidR="00B71F23" w:rsidRPr="00B71F23">
        <w:rPr>
          <w:rFonts w:ascii="Times New Roman" w:eastAsia="Calibri" w:hAnsi="Times New Roman" w:cs="Times New Roman"/>
          <w:sz w:val="28"/>
          <w:szCs w:val="28"/>
        </w:rPr>
        <w:t>repurchase</w:t>
      </w:r>
      <w:proofErr w:type="spellEnd"/>
      <w:r w:rsidR="00B71F23" w:rsidRPr="00B71F23">
        <w:rPr>
          <w:rFonts w:ascii="Times New Roman" w:eastAsia="Calibri" w:hAnsi="Times New Roman" w:cs="Times New Roman"/>
          <w:sz w:val="28"/>
          <w:szCs w:val="28"/>
        </w:rPr>
        <w:t xml:space="preserve"> </w:t>
      </w:r>
      <w:proofErr w:type="spellStart"/>
      <w:r w:rsidR="00B71F23" w:rsidRPr="00B71F23">
        <w:rPr>
          <w:rFonts w:ascii="Times New Roman" w:eastAsia="Calibri" w:hAnsi="Times New Roman" w:cs="Times New Roman"/>
          <w:sz w:val="28"/>
          <w:szCs w:val="28"/>
        </w:rPr>
        <w:t>agreement</w:t>
      </w:r>
      <w:proofErr w:type="spellEnd"/>
      <w:r w:rsidR="00B71F23" w:rsidRPr="00B71F23">
        <w:rPr>
          <w:rFonts w:ascii="Times New Roman" w:eastAsia="Calibri" w:hAnsi="Times New Roman" w:cs="Times New Roman"/>
          <w:sz w:val="28"/>
          <w:szCs w:val="28"/>
        </w:rPr>
        <w:t>», «</w:t>
      </w:r>
      <w:proofErr w:type="spellStart"/>
      <w:r w:rsidR="00B71F23" w:rsidRPr="00B71F23">
        <w:rPr>
          <w:rFonts w:ascii="Times New Roman" w:eastAsia="Calibri" w:hAnsi="Times New Roman" w:cs="Times New Roman"/>
          <w:sz w:val="28"/>
          <w:szCs w:val="28"/>
        </w:rPr>
        <w:t>repo</w:t>
      </w:r>
      <w:proofErr w:type="spellEnd"/>
      <w:r w:rsidR="00B71F23" w:rsidRPr="00B71F23">
        <w:rPr>
          <w:rFonts w:ascii="Times New Roman" w:eastAsia="Calibri" w:hAnsi="Times New Roman" w:cs="Times New Roman"/>
          <w:sz w:val="28"/>
          <w:szCs w:val="28"/>
        </w:rPr>
        <w:t>») представляет собой сделку, состоящую из двух частей: продажи и последующей покупки ценных бумаг через определенный срок</w:t>
      </w:r>
      <w:r w:rsidR="00B71F23">
        <w:rPr>
          <w:rFonts w:ascii="Times New Roman" w:eastAsia="Calibri" w:hAnsi="Times New Roman" w:cs="Times New Roman"/>
          <w:sz w:val="28"/>
          <w:szCs w:val="28"/>
        </w:rPr>
        <w:t xml:space="preserve"> по заранее установленной цене. </w:t>
      </w:r>
      <w:r w:rsidR="00B71F23" w:rsidRPr="00B71F23">
        <w:rPr>
          <w:rFonts w:ascii="Times New Roman" w:eastAsia="Calibri" w:hAnsi="Times New Roman" w:cs="Times New Roman"/>
          <w:sz w:val="28"/>
          <w:szCs w:val="28"/>
        </w:rPr>
        <w:t xml:space="preserve">Механизм операций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подразумевает переход права собственности на ценные бумаги, что снижает кредитный риск по данному виду операций по сравнению с депозитом или обеспеченным кредитом и упрощает разрешение ситуаций при неисполнени</w:t>
      </w:r>
      <w:r w:rsidR="00B71F23">
        <w:rPr>
          <w:rFonts w:ascii="Times New Roman" w:eastAsia="Calibri" w:hAnsi="Times New Roman" w:cs="Times New Roman"/>
          <w:sz w:val="28"/>
          <w:szCs w:val="28"/>
        </w:rPr>
        <w:t xml:space="preserve">и обязательств одной из сторон. </w:t>
      </w:r>
      <w:r w:rsidR="00B71F23" w:rsidRPr="00B71F23">
        <w:rPr>
          <w:rFonts w:ascii="Times New Roman" w:eastAsia="Calibri" w:hAnsi="Times New Roman" w:cs="Times New Roman"/>
          <w:sz w:val="28"/>
          <w:szCs w:val="28"/>
        </w:rPr>
        <w:t xml:space="preserve">Большинство центральных банков используют аукционы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для управления совокупным объемом ликвидности. Многие центральные банки предлагают опер</w:t>
      </w:r>
      <w:r w:rsidR="00B71F23">
        <w:rPr>
          <w:rFonts w:ascii="Times New Roman" w:eastAsia="Calibri" w:hAnsi="Times New Roman" w:cs="Times New Roman"/>
          <w:sz w:val="28"/>
          <w:szCs w:val="28"/>
        </w:rPr>
        <w:t xml:space="preserve">ации </w:t>
      </w:r>
      <w:proofErr w:type="spellStart"/>
      <w:r w:rsidR="00B71F23">
        <w:rPr>
          <w:rFonts w:ascii="Times New Roman" w:eastAsia="Calibri" w:hAnsi="Times New Roman" w:cs="Times New Roman"/>
          <w:sz w:val="28"/>
          <w:szCs w:val="28"/>
        </w:rPr>
        <w:t>репо</w:t>
      </w:r>
      <w:proofErr w:type="spellEnd"/>
      <w:r w:rsidR="00B71F23">
        <w:rPr>
          <w:rFonts w:ascii="Times New Roman" w:eastAsia="Calibri" w:hAnsi="Times New Roman" w:cs="Times New Roman"/>
          <w:sz w:val="28"/>
          <w:szCs w:val="28"/>
        </w:rPr>
        <w:t xml:space="preserve"> постоянного действия. </w:t>
      </w:r>
      <w:r w:rsidR="00B71F23" w:rsidRPr="00B71F23">
        <w:rPr>
          <w:rFonts w:ascii="Times New Roman" w:eastAsia="Calibri" w:hAnsi="Times New Roman" w:cs="Times New Roman"/>
          <w:sz w:val="28"/>
          <w:szCs w:val="28"/>
        </w:rPr>
        <w:t xml:space="preserve">В рамках реализации денежно-кредитной политики операции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Банка России проводятся в целях предоставления рублевой ликвидности. Они представляют собой покупку Банком России у кредитной организации ценных бумаг за рубли с последующей и</w:t>
      </w:r>
      <w:r w:rsidR="00B71F23">
        <w:rPr>
          <w:rFonts w:ascii="Times New Roman" w:eastAsia="Calibri" w:hAnsi="Times New Roman" w:cs="Times New Roman"/>
          <w:sz w:val="28"/>
          <w:szCs w:val="28"/>
        </w:rPr>
        <w:t xml:space="preserve">х продажей в определенную дату. </w:t>
      </w:r>
      <w:r w:rsidR="00B71F23" w:rsidRPr="00B71F23">
        <w:rPr>
          <w:rFonts w:ascii="Times New Roman" w:eastAsia="Calibri" w:hAnsi="Times New Roman" w:cs="Times New Roman"/>
          <w:sz w:val="28"/>
          <w:szCs w:val="28"/>
        </w:rPr>
        <w:t xml:space="preserve">При структурном дефиците ликвидности Банк России использует регулярное проведение еженедельных аукционов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в качестве основного инструмента управления ликвидностью. При структурном профиците ликвидности на регулярной основе аукционы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не проводятся. Как в условиях структурного дефицита ликвидности, так и в условиях структурного профицита ликвидности Банк России может проводить аукционы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«тонкой настройки» на срок от 1 до 6 дней, а также предоставляет банкам возможность использования операций </w:t>
      </w:r>
      <w:proofErr w:type="spellStart"/>
      <w:r w:rsidR="00B71F23" w:rsidRPr="00B71F23">
        <w:rPr>
          <w:rFonts w:ascii="Times New Roman" w:eastAsia="Calibri" w:hAnsi="Times New Roman" w:cs="Times New Roman"/>
          <w:sz w:val="28"/>
          <w:szCs w:val="28"/>
        </w:rPr>
        <w:t>репо</w:t>
      </w:r>
      <w:proofErr w:type="spellEnd"/>
      <w:r w:rsidR="00B71F23" w:rsidRPr="00B71F23">
        <w:rPr>
          <w:rFonts w:ascii="Times New Roman" w:eastAsia="Calibri" w:hAnsi="Times New Roman" w:cs="Times New Roman"/>
          <w:sz w:val="28"/>
          <w:szCs w:val="28"/>
        </w:rPr>
        <w:t xml:space="preserve"> постоянного действия.</w:t>
      </w:r>
      <w:r w:rsidR="004F4DF7">
        <w:rPr>
          <w:rFonts w:ascii="Times New Roman" w:eastAsia="Calibri" w:hAnsi="Times New Roman" w:cs="Times New Roman"/>
          <w:sz w:val="28"/>
          <w:szCs w:val="28"/>
        </w:rPr>
        <w:t xml:space="preserve"> </w:t>
      </w:r>
      <w:r w:rsidR="004F4DF7" w:rsidRPr="004F4DF7">
        <w:rPr>
          <w:rFonts w:ascii="Times New Roman" w:eastAsia="Calibri" w:hAnsi="Times New Roman" w:cs="Times New Roman"/>
          <w:sz w:val="28"/>
          <w:szCs w:val="28"/>
        </w:rPr>
        <w:t> </w:t>
      </w:r>
    </w:p>
    <w:p w:rsidR="00B71F23" w:rsidRPr="004277F2" w:rsidRDefault="004F4DF7" w:rsidP="00B71F23">
      <w:pPr>
        <w:tabs>
          <w:tab w:val="right" w:leader="dot" w:pos="9639"/>
        </w:tabs>
        <w:spacing w:after="0" w:line="360" w:lineRule="auto"/>
        <w:ind w:firstLine="709"/>
        <w:jc w:val="both"/>
        <w:rPr>
          <w:rFonts w:ascii="Times New Roman" w:eastAsia="Calibri" w:hAnsi="Times New Roman" w:cs="Times New Roman"/>
          <w:sz w:val="28"/>
          <w:szCs w:val="28"/>
        </w:rPr>
      </w:pPr>
      <w:r w:rsidRPr="004F4DF7">
        <w:rPr>
          <w:rFonts w:ascii="Times New Roman" w:eastAsia="Calibri" w:hAnsi="Times New Roman" w:cs="Times New Roman"/>
          <w:sz w:val="28"/>
          <w:szCs w:val="28"/>
        </w:rPr>
        <w:t xml:space="preserve">В 2014-2017 годах в рамках функции по поддержанию финансовой стабильности Банк России использовал операции </w:t>
      </w:r>
      <w:proofErr w:type="spellStart"/>
      <w:r w:rsidRPr="004F4DF7">
        <w:rPr>
          <w:rFonts w:ascii="Times New Roman" w:eastAsia="Calibri" w:hAnsi="Times New Roman" w:cs="Times New Roman"/>
          <w:sz w:val="28"/>
          <w:szCs w:val="28"/>
        </w:rPr>
        <w:t>репо</w:t>
      </w:r>
      <w:proofErr w:type="spellEnd"/>
      <w:r w:rsidRPr="004F4DF7">
        <w:rPr>
          <w:rFonts w:ascii="Times New Roman" w:eastAsia="Calibri" w:hAnsi="Times New Roman" w:cs="Times New Roman"/>
          <w:sz w:val="28"/>
          <w:szCs w:val="28"/>
        </w:rPr>
        <w:t xml:space="preserve"> для обеспечения кредитных организаций долларовой ликвидностью в ситуации, когда доступ к ней оказался затруднен по независящим от кредитных организаций причинам. Введенный с 1 сентября 2017 года механизм предоставления кредитным организациям рублевой ликвидности в экстренных случаях (МЭПЛ) также может быть реализован через операции </w:t>
      </w:r>
      <w:proofErr w:type="spellStart"/>
      <w:r w:rsidRPr="004F4DF7">
        <w:rPr>
          <w:rFonts w:ascii="Times New Roman" w:eastAsia="Calibri" w:hAnsi="Times New Roman" w:cs="Times New Roman"/>
          <w:sz w:val="28"/>
          <w:szCs w:val="28"/>
        </w:rPr>
        <w:t>репо</w:t>
      </w:r>
      <w:proofErr w:type="spellEnd"/>
      <w:r w:rsidRPr="004F4DF7">
        <w:rPr>
          <w:rFonts w:ascii="Times New Roman" w:eastAsia="Calibri" w:hAnsi="Times New Roman" w:cs="Times New Roman"/>
          <w:sz w:val="28"/>
          <w:szCs w:val="28"/>
        </w:rPr>
        <w:t>.</w:t>
      </w:r>
      <w:r w:rsidR="007534BA">
        <w:rPr>
          <w:rFonts w:ascii="Times New Roman" w:eastAsia="Calibri" w:hAnsi="Times New Roman" w:cs="Times New Roman"/>
          <w:sz w:val="28"/>
          <w:szCs w:val="28"/>
        </w:rPr>
        <w:t xml:space="preserve"> </w:t>
      </w:r>
      <w:r w:rsidR="007534BA" w:rsidRPr="001F37C7">
        <w:rPr>
          <w:rFonts w:ascii="Times New Roman" w:eastAsia="Calibri" w:hAnsi="Times New Roman" w:cs="Times New Roman"/>
          <w:sz w:val="28"/>
          <w:szCs w:val="28"/>
        </w:rPr>
        <w:t>[24]</w:t>
      </w:r>
    </w:p>
    <w:p w:rsidR="00C210F6" w:rsidRPr="004277F2" w:rsidRDefault="00C210F6"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C210F6">
        <w:rPr>
          <w:rFonts w:ascii="Times New Roman" w:eastAsia="Calibri" w:hAnsi="Times New Roman" w:cs="Times New Roman"/>
          <w:iCs/>
          <w:sz w:val="28"/>
          <w:szCs w:val="28"/>
        </w:rPr>
        <w:lastRenderedPageBreak/>
        <w:t>Рефинансирование</w:t>
      </w:r>
      <w:r>
        <w:rPr>
          <w:rFonts w:ascii="Times New Roman" w:eastAsia="Calibri" w:hAnsi="Times New Roman" w:cs="Times New Roman"/>
          <w:sz w:val="28"/>
          <w:szCs w:val="28"/>
        </w:rPr>
        <w:t> </w:t>
      </w:r>
      <w:proofErr w:type="gramStart"/>
      <w:r>
        <w:rPr>
          <w:rFonts w:ascii="Times New Roman" w:eastAsia="Calibri" w:hAnsi="Times New Roman" w:cs="Times New Roman"/>
          <w:sz w:val="28"/>
          <w:szCs w:val="28"/>
        </w:rPr>
        <w:t xml:space="preserve">– </w:t>
      </w:r>
      <w:r w:rsidRPr="00C210F6">
        <w:rPr>
          <w:rFonts w:ascii="Times New Roman" w:eastAsia="Calibri" w:hAnsi="Times New Roman" w:cs="Times New Roman"/>
          <w:sz w:val="28"/>
          <w:szCs w:val="28"/>
        </w:rPr>
        <w:t xml:space="preserve"> кредитование</w:t>
      </w:r>
      <w:proofErr w:type="gramEnd"/>
      <w:r w:rsidRPr="00C210F6">
        <w:rPr>
          <w:rFonts w:ascii="Times New Roman" w:eastAsia="Calibri" w:hAnsi="Times New Roman" w:cs="Times New Roman"/>
          <w:sz w:val="28"/>
          <w:szCs w:val="28"/>
        </w:rPr>
        <w:t xml:space="preserve"> центральным банком кредитных организаций посредством переучета векселей, соглашений об обратном выкупе, ломбардных операций и других видов кредитных операций. </w:t>
      </w:r>
      <w:r w:rsidR="001F37C7" w:rsidRPr="004277F2">
        <w:rPr>
          <w:rFonts w:ascii="Times New Roman" w:eastAsia="Calibri" w:hAnsi="Times New Roman" w:cs="Times New Roman"/>
          <w:sz w:val="28"/>
          <w:szCs w:val="28"/>
        </w:rPr>
        <w:t>[9]</w:t>
      </w:r>
    </w:p>
    <w:p w:rsidR="00112EE9" w:rsidRPr="004277F2"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E77207">
        <w:rPr>
          <w:rFonts w:ascii="Times New Roman" w:eastAsia="Calibri" w:hAnsi="Times New Roman" w:cs="Times New Roman"/>
          <w:sz w:val="28"/>
          <w:szCs w:val="28"/>
        </w:rPr>
        <w:t xml:space="preserve">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в отношении денег. </w:t>
      </w:r>
      <w:r w:rsidR="005A78C8" w:rsidRPr="004277F2">
        <w:rPr>
          <w:rFonts w:ascii="Times New Roman" w:eastAsia="Calibri" w:hAnsi="Times New Roman" w:cs="Times New Roman"/>
          <w:sz w:val="28"/>
          <w:szCs w:val="28"/>
        </w:rPr>
        <w:t>[19]</w:t>
      </w:r>
    </w:p>
    <w:p w:rsidR="001A01B3" w:rsidRPr="00E77207" w:rsidRDefault="00112EE9"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112EE9">
        <w:rPr>
          <w:rFonts w:ascii="Times New Roman" w:eastAsia="Calibri" w:hAnsi="Times New Roman" w:cs="Times New Roman"/>
          <w:sz w:val="28"/>
          <w:szCs w:val="28"/>
        </w:rPr>
        <w:t xml:space="preserve"> </w:t>
      </w:r>
      <w:r w:rsidR="001A01B3" w:rsidRPr="00E77207">
        <w:rPr>
          <w:rFonts w:ascii="Times New Roman" w:eastAsia="Calibri" w:hAnsi="Times New Roman" w:cs="Times New Roman"/>
          <w:sz w:val="28"/>
          <w:szCs w:val="28"/>
        </w:rPr>
        <w:t xml:space="preserve">Осуществление интервенции может преследовать различные цели: удержание курса на заданном уровне (в заданном диапазоне); сглаживание его резких колебаний; обеспечение требуемой динамики курса; пополнение валютных резервов Банка России; поддержание ликвидности банковской системы. Банк России производит валютные интервенции на биржевом и межбиржевом рынках. С 10 ноября 2014г. Банк России упразднил действовавший механизм курсовой политики, отменив интервал допустимых значений стоимости </w:t>
      </w:r>
      <w:proofErr w:type="spellStart"/>
      <w:r w:rsidR="001A01B3" w:rsidRPr="00E77207">
        <w:rPr>
          <w:rFonts w:ascii="Times New Roman" w:eastAsia="Calibri" w:hAnsi="Times New Roman" w:cs="Times New Roman"/>
          <w:sz w:val="28"/>
          <w:szCs w:val="28"/>
        </w:rPr>
        <w:t>бивалютной</w:t>
      </w:r>
      <w:proofErr w:type="spellEnd"/>
      <w:r w:rsidR="001A01B3" w:rsidRPr="00E77207">
        <w:rPr>
          <w:rFonts w:ascii="Times New Roman" w:eastAsia="Calibri" w:hAnsi="Times New Roman" w:cs="Times New Roman"/>
          <w:sz w:val="28"/>
          <w:szCs w:val="28"/>
        </w:rPr>
        <w:t xml:space="preserve"> корзины и регулярные интервенции на границах указанного интервала и за его пределами. При этом новый подход Банка России к проведению операций на внутреннем рынке не предполагает полного отказа от валютных интервенций, их проведению возможно в случае возникновения угроз для финансовой стабильности.</w:t>
      </w:r>
    </w:p>
    <w:p w:rsidR="001A01B3" w:rsidRPr="005A78C8" w:rsidRDefault="00E00CA6"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1A01B3" w:rsidRPr="00E77207">
        <w:rPr>
          <w:rFonts w:ascii="Times New Roman" w:eastAsia="Calibri" w:hAnsi="Times New Roman" w:cs="Times New Roman"/>
          <w:sz w:val="28"/>
          <w:szCs w:val="28"/>
        </w:rPr>
        <w:t>становление ориентиров роста денежной массы: Банк России может устанавливать ориентиры роста одного или нескольких показателей денежной массы исходя из основных направлений единой государстве</w:t>
      </w:r>
      <w:r w:rsidR="0051021D">
        <w:rPr>
          <w:rFonts w:ascii="Times New Roman" w:eastAsia="Calibri" w:hAnsi="Times New Roman" w:cs="Times New Roman"/>
          <w:sz w:val="28"/>
          <w:szCs w:val="28"/>
        </w:rPr>
        <w:t xml:space="preserve">нной денежно-кредитной </w:t>
      </w:r>
      <w:proofErr w:type="gramStart"/>
      <w:r w:rsidR="0051021D">
        <w:rPr>
          <w:rFonts w:ascii="Times New Roman" w:eastAsia="Calibri" w:hAnsi="Times New Roman" w:cs="Times New Roman"/>
          <w:sz w:val="28"/>
          <w:szCs w:val="28"/>
        </w:rPr>
        <w:t>политики.</w:t>
      </w:r>
      <w:r w:rsidR="005A78C8" w:rsidRPr="005A78C8">
        <w:rPr>
          <w:rFonts w:ascii="Times New Roman" w:eastAsia="Calibri" w:hAnsi="Times New Roman" w:cs="Times New Roman"/>
          <w:sz w:val="28"/>
          <w:szCs w:val="28"/>
        </w:rPr>
        <w:t>[</w:t>
      </w:r>
      <w:proofErr w:type="gramEnd"/>
      <w:r w:rsidR="005A78C8" w:rsidRPr="005A78C8">
        <w:rPr>
          <w:rFonts w:ascii="Times New Roman" w:eastAsia="Calibri" w:hAnsi="Times New Roman" w:cs="Times New Roman"/>
          <w:sz w:val="28"/>
          <w:szCs w:val="28"/>
        </w:rPr>
        <w:t>15]</w:t>
      </w:r>
    </w:p>
    <w:p w:rsidR="001A01B3" w:rsidRPr="004277F2" w:rsidRDefault="00E00CA6"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D21313">
        <w:rPr>
          <w:rFonts w:ascii="Times New Roman" w:eastAsia="Calibri" w:hAnsi="Times New Roman" w:cs="Times New Roman"/>
          <w:sz w:val="28"/>
          <w:szCs w:val="28"/>
        </w:rPr>
        <w:t xml:space="preserve">од прямыми количественными ограничениями понимаются </w:t>
      </w:r>
      <w:r w:rsidR="00D21313" w:rsidRPr="00D21313">
        <w:rPr>
          <w:rFonts w:ascii="Times New Roman" w:eastAsia="Calibri" w:hAnsi="Times New Roman" w:cs="Times New Roman"/>
          <w:sz w:val="28"/>
          <w:szCs w:val="28"/>
        </w:rPr>
        <w:t>административные или законодательные меры, предпринимаемые казначействами и центральными банками по ограничению объемов кредита и используемые в качестве инструмента антиинфляционной политики для стабилизации денежно-кредитной системы и регул</w:t>
      </w:r>
      <w:r w:rsidR="004277F2">
        <w:rPr>
          <w:rFonts w:ascii="Times New Roman" w:eastAsia="Calibri" w:hAnsi="Times New Roman" w:cs="Times New Roman"/>
          <w:sz w:val="28"/>
          <w:szCs w:val="28"/>
        </w:rPr>
        <w:t xml:space="preserve">ирования ликвидности банков. </w:t>
      </w:r>
      <w:r w:rsidR="005A78C8" w:rsidRPr="004277F2">
        <w:rPr>
          <w:rFonts w:ascii="Times New Roman" w:eastAsia="Calibri" w:hAnsi="Times New Roman" w:cs="Times New Roman"/>
          <w:sz w:val="28"/>
          <w:szCs w:val="28"/>
        </w:rPr>
        <w:t>[21]</w:t>
      </w:r>
    </w:p>
    <w:p w:rsidR="0051021D" w:rsidRPr="00E77207" w:rsidRDefault="0051021D"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51021D">
        <w:rPr>
          <w:rFonts w:ascii="Times New Roman" w:eastAsia="Calibri" w:hAnsi="Times New Roman" w:cs="Times New Roman"/>
          <w:sz w:val="28"/>
          <w:szCs w:val="28"/>
        </w:rPr>
        <w:lastRenderedPageBreak/>
        <w:t>Выпуск облигаций позволяет Банку России абсорбировать среднесрочный избыток ликвидности и повысить воздействие основных операций на процентные ставки денежного рынка. Кроме того, в случае, если у кредитной организации потребность в дополнительной ликвидности возникнет раньше, чем наступит срок погашения облигаций, она имеет возможность продать эти облигации на вторичном рынке или использовать их в качестве обеспечения по операциям на денежном рынке и/или для привлечения рефинансирования у Банка России.</w:t>
      </w:r>
    </w:p>
    <w:p w:rsidR="00D574C2" w:rsidRDefault="00D7035C" w:rsidP="00D7035C">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1A01B3" w:rsidRPr="00E77207">
        <w:rPr>
          <w:rFonts w:ascii="Times New Roman" w:eastAsia="Calibri" w:hAnsi="Times New Roman" w:cs="Times New Roman"/>
          <w:sz w:val="28"/>
          <w:szCs w:val="28"/>
        </w:rPr>
        <w:t>миссия Банком России облигаций, размещаемых и обращаем</w:t>
      </w:r>
      <w:r w:rsidR="00D574C2">
        <w:rPr>
          <w:rFonts w:ascii="Times New Roman" w:eastAsia="Calibri" w:hAnsi="Times New Roman" w:cs="Times New Roman"/>
          <w:sz w:val="28"/>
          <w:szCs w:val="28"/>
        </w:rPr>
        <w:t>ы</w:t>
      </w:r>
      <w:r>
        <w:rPr>
          <w:rFonts w:ascii="Times New Roman" w:eastAsia="Calibri" w:hAnsi="Times New Roman" w:cs="Times New Roman"/>
          <w:sz w:val="28"/>
          <w:szCs w:val="28"/>
        </w:rPr>
        <w:t>х среди кредитных организаций. Изменение совокупного</w:t>
      </w:r>
      <w:r w:rsidR="00D574C2">
        <w:rPr>
          <w:rFonts w:ascii="Times New Roman" w:eastAsia="Calibri" w:hAnsi="Times New Roman" w:cs="Times New Roman"/>
          <w:sz w:val="28"/>
          <w:szCs w:val="28"/>
        </w:rPr>
        <w:t xml:space="preserve"> объем</w:t>
      </w:r>
      <w:r>
        <w:rPr>
          <w:rFonts w:ascii="Times New Roman" w:eastAsia="Calibri" w:hAnsi="Times New Roman" w:cs="Times New Roman"/>
          <w:sz w:val="28"/>
          <w:szCs w:val="28"/>
        </w:rPr>
        <w:t>а</w:t>
      </w:r>
      <w:r w:rsidR="00D574C2">
        <w:rPr>
          <w:rFonts w:ascii="Times New Roman" w:eastAsia="Calibri" w:hAnsi="Times New Roman" w:cs="Times New Roman"/>
          <w:sz w:val="28"/>
          <w:szCs w:val="28"/>
        </w:rPr>
        <w:t xml:space="preserve"> облигаций в обращении </w:t>
      </w:r>
      <w:r>
        <w:rPr>
          <w:rFonts w:ascii="Times New Roman" w:eastAsia="Calibri" w:hAnsi="Times New Roman" w:cs="Times New Roman"/>
          <w:sz w:val="28"/>
          <w:szCs w:val="28"/>
        </w:rPr>
        <w:t xml:space="preserve">за последний год представим в таблице 1. </w:t>
      </w:r>
    </w:p>
    <w:p w:rsidR="006357FC" w:rsidRDefault="006357FC" w:rsidP="00D7035C">
      <w:pPr>
        <w:tabs>
          <w:tab w:val="right" w:leader="dot" w:pos="9639"/>
        </w:tabs>
        <w:spacing w:after="0" w:line="360" w:lineRule="auto"/>
        <w:ind w:firstLine="709"/>
        <w:jc w:val="both"/>
        <w:rPr>
          <w:rFonts w:ascii="Times New Roman" w:eastAsia="Calibri" w:hAnsi="Times New Roman" w:cs="Times New Roman"/>
          <w:sz w:val="28"/>
          <w:szCs w:val="28"/>
        </w:rPr>
      </w:pPr>
    </w:p>
    <w:p w:rsidR="008F378E" w:rsidRDefault="00D7035C" w:rsidP="006357FC">
      <w:pPr>
        <w:tabs>
          <w:tab w:val="right" w:leader="dot" w:pos="9639"/>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proofErr w:type="gramStart"/>
      <w:r>
        <w:rPr>
          <w:rFonts w:ascii="Times New Roman" w:eastAsia="Calibri" w:hAnsi="Times New Roman" w:cs="Times New Roman"/>
          <w:sz w:val="28"/>
          <w:szCs w:val="28"/>
        </w:rPr>
        <w:t xml:space="preserve">1 </w:t>
      </w:r>
      <w:r w:rsidR="00844940">
        <w:rPr>
          <w:rFonts w:ascii="Times New Roman" w:eastAsia="Calibri" w:hAnsi="Times New Roman" w:cs="Times New Roman"/>
          <w:sz w:val="28"/>
          <w:szCs w:val="28"/>
        </w:rPr>
        <w:sym w:font="Symbol" w:char="F02D"/>
      </w:r>
      <w:r w:rsidR="00844940">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Совокупный</w:t>
      </w:r>
      <w:proofErr w:type="gramEnd"/>
      <w:r w:rsidRPr="00D7035C">
        <w:rPr>
          <w:rFonts w:ascii="Times New Roman" w:eastAsia="Calibri" w:hAnsi="Times New Roman" w:cs="Times New Roman"/>
          <w:sz w:val="28"/>
          <w:szCs w:val="28"/>
        </w:rPr>
        <w:t xml:space="preserve"> объем облигаций </w:t>
      </w:r>
      <w:r>
        <w:rPr>
          <w:rFonts w:ascii="Times New Roman" w:eastAsia="Calibri" w:hAnsi="Times New Roman" w:cs="Times New Roman"/>
          <w:sz w:val="28"/>
          <w:szCs w:val="28"/>
        </w:rPr>
        <w:t xml:space="preserve">Банка России </w:t>
      </w:r>
      <w:r w:rsidRPr="00D7035C">
        <w:rPr>
          <w:rFonts w:ascii="Times New Roman" w:eastAsia="Calibri" w:hAnsi="Times New Roman" w:cs="Times New Roman"/>
          <w:sz w:val="28"/>
          <w:szCs w:val="28"/>
        </w:rPr>
        <w:t>в обращении (млрд. руб., на начало операционного дня)</w:t>
      </w:r>
    </w:p>
    <w:p w:rsidR="008F378E" w:rsidRPr="008F378E" w:rsidRDefault="008F378E" w:rsidP="006357FC">
      <w:pPr>
        <w:tabs>
          <w:tab w:val="right" w:leader="dot" w:pos="9639"/>
        </w:tabs>
        <w:spacing w:after="0" w:line="360" w:lineRule="auto"/>
        <w:rPr>
          <w:rFonts w:ascii="Times New Roman" w:eastAsia="Calibri" w:hAnsi="Times New Roman" w:cs="Times New Roman"/>
          <w:sz w:val="16"/>
          <w:szCs w:val="16"/>
        </w:rPr>
      </w:pPr>
    </w:p>
    <w:tbl>
      <w:tblPr>
        <w:tblStyle w:val="a6"/>
        <w:tblW w:w="0" w:type="auto"/>
        <w:tblLook w:val="04A0" w:firstRow="1" w:lastRow="0" w:firstColumn="1" w:lastColumn="0" w:noHBand="0" w:noVBand="1"/>
      </w:tblPr>
      <w:tblGrid>
        <w:gridCol w:w="1161"/>
        <w:gridCol w:w="3190"/>
        <w:gridCol w:w="4994"/>
      </w:tblGrid>
      <w:tr w:rsidR="00D574C2" w:rsidRPr="00D574C2" w:rsidTr="00D574C2">
        <w:tc>
          <w:tcPr>
            <w:tcW w:w="0" w:type="auto"/>
            <w:hideMark/>
          </w:tcPr>
          <w:p w:rsidR="00D574C2" w:rsidRPr="0051021D" w:rsidRDefault="00D574C2" w:rsidP="00D574C2">
            <w:pPr>
              <w:rPr>
                <w:rFonts w:ascii="Times New Roman" w:eastAsia="Times New Roman" w:hAnsi="Times New Roman" w:cs="Times New Roman"/>
                <w:b/>
                <w:bCs/>
                <w:color w:val="000000"/>
                <w:sz w:val="21"/>
                <w:szCs w:val="21"/>
                <w:lang w:eastAsia="ru-RU"/>
              </w:rPr>
            </w:pPr>
            <w:r w:rsidRPr="0051021D">
              <w:rPr>
                <w:rFonts w:ascii="Times New Roman" w:eastAsia="Times New Roman" w:hAnsi="Times New Roman" w:cs="Times New Roman"/>
                <w:b/>
                <w:bCs/>
                <w:color w:val="000000"/>
                <w:sz w:val="21"/>
                <w:szCs w:val="21"/>
                <w:lang w:eastAsia="ru-RU"/>
              </w:rPr>
              <w:t>Дата</w:t>
            </w:r>
          </w:p>
        </w:tc>
        <w:tc>
          <w:tcPr>
            <w:tcW w:w="0" w:type="auto"/>
            <w:hideMark/>
          </w:tcPr>
          <w:p w:rsidR="00D574C2" w:rsidRPr="0051021D" w:rsidRDefault="00D574C2" w:rsidP="00D574C2">
            <w:pPr>
              <w:rPr>
                <w:rFonts w:ascii="Times New Roman" w:eastAsia="Times New Roman" w:hAnsi="Times New Roman" w:cs="Times New Roman"/>
                <w:b/>
                <w:bCs/>
                <w:color w:val="000000"/>
                <w:sz w:val="21"/>
                <w:szCs w:val="21"/>
                <w:lang w:eastAsia="ru-RU"/>
              </w:rPr>
            </w:pPr>
            <w:r w:rsidRPr="0051021D">
              <w:rPr>
                <w:rFonts w:ascii="Times New Roman" w:eastAsia="Times New Roman" w:hAnsi="Times New Roman" w:cs="Times New Roman"/>
                <w:b/>
                <w:bCs/>
                <w:color w:val="000000"/>
                <w:sz w:val="21"/>
                <w:szCs w:val="21"/>
                <w:lang w:eastAsia="ru-RU"/>
              </w:rPr>
              <w:t>Объем ОБР в обращении по номинальной стоимости</w:t>
            </w:r>
          </w:p>
        </w:tc>
        <w:tc>
          <w:tcPr>
            <w:tcW w:w="0" w:type="auto"/>
            <w:hideMark/>
          </w:tcPr>
          <w:p w:rsidR="00D574C2" w:rsidRPr="0051021D" w:rsidRDefault="00D574C2" w:rsidP="00D574C2">
            <w:pPr>
              <w:rPr>
                <w:rFonts w:ascii="Times New Roman" w:eastAsia="Times New Roman" w:hAnsi="Times New Roman" w:cs="Times New Roman"/>
                <w:b/>
                <w:bCs/>
                <w:color w:val="000000"/>
                <w:sz w:val="21"/>
                <w:szCs w:val="21"/>
                <w:lang w:eastAsia="ru-RU"/>
              </w:rPr>
            </w:pPr>
            <w:r w:rsidRPr="0051021D">
              <w:rPr>
                <w:rFonts w:ascii="Times New Roman" w:eastAsia="Times New Roman" w:hAnsi="Times New Roman" w:cs="Times New Roman"/>
                <w:b/>
                <w:bCs/>
                <w:color w:val="000000"/>
                <w:sz w:val="21"/>
                <w:szCs w:val="21"/>
                <w:lang w:eastAsia="ru-RU"/>
              </w:rPr>
              <w:t>Объем ОБР в обращении по номинальной стоимости с учетом накопленного купонного дохода</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01.10.2018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1 486,5</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1 502,1</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03.09.2018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1 400,2</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1 416,2</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01.08.2018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1 438,9</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1 456,1</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02.07.2018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1 112,1</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1 123,0</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01.06.2018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1 205,3</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1 216,8</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03.05.2018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1 041,9</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1 053,8</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02.04.2018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1 128,7</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1 139,1</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01.03.2018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700,2</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707,0</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01.02.2018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493,6</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498,1</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03.01.2018</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352,3</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357,0</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01.12.2017</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304,0</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306,2</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02.11.2017</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340,6</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343,8</w:t>
            </w:r>
          </w:p>
        </w:tc>
      </w:tr>
      <w:tr w:rsidR="00D574C2" w:rsidRPr="00D574C2" w:rsidTr="00D574C2">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02.10.2017</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149,5</w:t>
            </w:r>
          </w:p>
        </w:tc>
        <w:tc>
          <w:tcPr>
            <w:tcW w:w="0" w:type="auto"/>
            <w:hideMark/>
          </w:tcPr>
          <w:p w:rsidR="00D574C2" w:rsidRPr="0051021D" w:rsidRDefault="00D574C2" w:rsidP="00D574C2">
            <w:pPr>
              <w:rPr>
                <w:rFonts w:ascii="Times New Roman" w:eastAsia="Times New Roman" w:hAnsi="Times New Roman" w:cs="Times New Roman"/>
                <w:color w:val="000000"/>
                <w:sz w:val="21"/>
                <w:szCs w:val="21"/>
                <w:lang w:eastAsia="ru-RU"/>
              </w:rPr>
            </w:pPr>
            <w:r w:rsidRPr="0051021D">
              <w:rPr>
                <w:rFonts w:ascii="Times New Roman" w:eastAsia="Times New Roman" w:hAnsi="Times New Roman" w:cs="Times New Roman"/>
                <w:color w:val="000000"/>
                <w:sz w:val="21"/>
                <w:szCs w:val="21"/>
                <w:lang w:eastAsia="ru-RU"/>
              </w:rPr>
              <w:t>151,3</w:t>
            </w:r>
          </w:p>
        </w:tc>
      </w:tr>
    </w:tbl>
    <w:p w:rsidR="00D574C2" w:rsidRDefault="00D574C2" w:rsidP="0051021D">
      <w:pPr>
        <w:tabs>
          <w:tab w:val="right" w:leader="dot" w:pos="9639"/>
        </w:tabs>
        <w:spacing w:after="0" w:line="360" w:lineRule="auto"/>
        <w:jc w:val="both"/>
        <w:rPr>
          <w:rFonts w:ascii="Times New Roman" w:eastAsia="Calibri" w:hAnsi="Times New Roman" w:cs="Times New Roman"/>
          <w:sz w:val="28"/>
          <w:szCs w:val="28"/>
        </w:rPr>
      </w:pP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sidRPr="00E77207">
        <w:rPr>
          <w:rFonts w:ascii="Times New Roman" w:eastAsia="Calibri" w:hAnsi="Times New Roman" w:cs="Times New Roman"/>
          <w:sz w:val="28"/>
          <w:szCs w:val="28"/>
        </w:rPr>
        <w:t>В соответствии с Законом о «Центральном банке РФ»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для утверждения. Предварительно этот проект представляется Президенту РФ и Правительству РФ. Основные направления единой государственной денежно-кредитной политики должны включать:</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концептуальные принципы, лежащие в основе денежно-кредитной политики, проводимой Банком России;</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краткую характеристику состояния российской экономики;</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прогноз ожидаемого выполнения основных параметров денежно-кредитной политики в текущем году;</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количественный анализ причин отклонения от целей денежно-кредитной политики, опенку перспектив достижения указанных целей и обоснование их возможной корректировки;</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сценарный (состоящий не менее чем из двух вариантов) прогноз развития экономики России на предстоящий гол с указанием цен на нефть и другие товары российского экспорта, предусматриваемых каждым сценарием;</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прогноз основных показателей платежного баланса Российской Федерации на предстоящий год;</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целевые ориентиры, характеризующие основные цели денежно-кредитной политики на предстоящий год, включая интервальные показатели инфляции, денежной базы, денежной массы, процентных ставок, изменения золотовалютных резервов;</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основные показатели денежной программы на предстоящий год;</w:t>
      </w:r>
    </w:p>
    <w:p w:rsidR="001A01B3" w:rsidRPr="00E77207" w:rsidRDefault="001A01B3" w:rsidP="001A01B3">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варианты применения инструментов и методов денежно-кредитной политики, обеспечивающих достижение целевых ориентиров при различных сценариях экономической конъюнктуры;</w:t>
      </w:r>
    </w:p>
    <w:p w:rsidR="008F378E" w:rsidRPr="004277F2" w:rsidRDefault="001A01B3" w:rsidP="006357FC">
      <w:pPr>
        <w:tabs>
          <w:tab w:val="right" w:leader="do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E77207">
        <w:rPr>
          <w:rFonts w:ascii="Times New Roman" w:eastAsia="Calibri" w:hAnsi="Times New Roman" w:cs="Times New Roman"/>
          <w:sz w:val="28"/>
          <w:szCs w:val="28"/>
        </w:rPr>
        <w:t>план мероприятий Банка России на предстоящий год по совершенствованию банковской системы РФ, банковского надзора, финанс</w:t>
      </w:r>
      <w:r>
        <w:rPr>
          <w:rFonts w:ascii="Times New Roman" w:eastAsia="Calibri" w:hAnsi="Times New Roman" w:cs="Times New Roman"/>
          <w:sz w:val="28"/>
          <w:szCs w:val="28"/>
        </w:rPr>
        <w:t>овых рынков и платежной системы.</w:t>
      </w:r>
      <w:r w:rsidR="006357FC" w:rsidRPr="00397E47">
        <w:rPr>
          <w:rFonts w:ascii="Times New Roman" w:eastAsia="Calibri" w:hAnsi="Times New Roman" w:cs="Times New Roman"/>
          <w:sz w:val="28"/>
          <w:szCs w:val="28"/>
        </w:rPr>
        <w:t xml:space="preserve"> </w:t>
      </w:r>
      <w:r w:rsidR="005A78C8" w:rsidRPr="004277F2">
        <w:rPr>
          <w:rFonts w:ascii="Times New Roman" w:eastAsia="Calibri" w:hAnsi="Times New Roman" w:cs="Times New Roman"/>
          <w:sz w:val="28"/>
          <w:szCs w:val="28"/>
        </w:rPr>
        <w:t>[13]</w:t>
      </w:r>
    </w:p>
    <w:p w:rsidR="008F378E" w:rsidRDefault="008F378E" w:rsidP="006357FC">
      <w:pPr>
        <w:tabs>
          <w:tab w:val="right" w:leader="dot" w:pos="9639"/>
        </w:tabs>
        <w:spacing w:after="0" w:line="360" w:lineRule="auto"/>
        <w:ind w:firstLine="709"/>
        <w:jc w:val="both"/>
        <w:rPr>
          <w:rFonts w:ascii="Times New Roman" w:eastAsia="Calibri" w:hAnsi="Times New Roman" w:cs="Times New Roman"/>
          <w:sz w:val="28"/>
          <w:szCs w:val="28"/>
        </w:rPr>
      </w:pPr>
    </w:p>
    <w:p w:rsidR="008F378E" w:rsidRDefault="008F378E" w:rsidP="006357FC">
      <w:pPr>
        <w:tabs>
          <w:tab w:val="right" w:leader="dot" w:pos="9639"/>
        </w:tabs>
        <w:spacing w:after="0" w:line="360" w:lineRule="auto"/>
        <w:ind w:firstLine="709"/>
        <w:jc w:val="both"/>
        <w:rPr>
          <w:rFonts w:ascii="Times New Roman" w:eastAsia="Calibri" w:hAnsi="Times New Roman" w:cs="Times New Roman"/>
          <w:sz w:val="28"/>
          <w:szCs w:val="28"/>
        </w:rPr>
      </w:pPr>
    </w:p>
    <w:p w:rsidR="008F378E" w:rsidRDefault="008F378E" w:rsidP="006357FC">
      <w:pPr>
        <w:tabs>
          <w:tab w:val="right" w:leader="dot" w:pos="9639"/>
        </w:tabs>
        <w:spacing w:after="0" w:line="360" w:lineRule="auto"/>
        <w:ind w:firstLine="709"/>
        <w:jc w:val="both"/>
        <w:rPr>
          <w:rFonts w:ascii="Times New Roman" w:eastAsia="Calibri" w:hAnsi="Times New Roman" w:cs="Times New Roman"/>
          <w:sz w:val="28"/>
          <w:szCs w:val="28"/>
        </w:rPr>
      </w:pPr>
    </w:p>
    <w:p w:rsidR="008F378E" w:rsidRDefault="008F378E" w:rsidP="006357FC">
      <w:pPr>
        <w:tabs>
          <w:tab w:val="right" w:leader="dot" w:pos="9639"/>
        </w:tabs>
        <w:spacing w:after="0" w:line="360" w:lineRule="auto"/>
        <w:ind w:firstLine="709"/>
        <w:jc w:val="both"/>
        <w:rPr>
          <w:rFonts w:ascii="Times New Roman" w:eastAsia="Calibri" w:hAnsi="Times New Roman" w:cs="Times New Roman"/>
          <w:sz w:val="28"/>
          <w:szCs w:val="28"/>
        </w:rPr>
      </w:pPr>
    </w:p>
    <w:p w:rsidR="008F378E" w:rsidRDefault="008F378E" w:rsidP="006357FC">
      <w:pPr>
        <w:tabs>
          <w:tab w:val="right" w:leader="dot" w:pos="9639"/>
        </w:tabs>
        <w:spacing w:after="0" w:line="360" w:lineRule="auto"/>
        <w:ind w:firstLine="709"/>
        <w:jc w:val="both"/>
        <w:rPr>
          <w:rFonts w:ascii="Times New Roman" w:eastAsia="Calibri" w:hAnsi="Times New Roman" w:cs="Times New Roman"/>
          <w:sz w:val="28"/>
          <w:szCs w:val="28"/>
        </w:rPr>
      </w:pPr>
    </w:p>
    <w:p w:rsidR="001A01B3" w:rsidRPr="00397E47" w:rsidRDefault="008F378E" w:rsidP="007341DF">
      <w:pPr>
        <w:tabs>
          <w:tab w:val="right" w:leader="dot" w:pos="9639"/>
        </w:tabs>
        <w:spacing w:after="0" w:line="36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001A01B3" w:rsidRPr="00397E47">
        <w:rPr>
          <w:rFonts w:ascii="Times New Roman" w:eastAsia="Calibri" w:hAnsi="Times New Roman" w:cs="Times New Roman"/>
          <w:sz w:val="28"/>
          <w:szCs w:val="28"/>
        </w:rPr>
        <w:t>Применение инструментов денежно-кредитной политики Банком России</w:t>
      </w:r>
    </w:p>
    <w:p w:rsidR="006357FC" w:rsidRPr="00397E47" w:rsidRDefault="006357FC" w:rsidP="001A01B3">
      <w:pPr>
        <w:pStyle w:val="a5"/>
        <w:tabs>
          <w:tab w:val="right" w:leader="dot" w:pos="9639"/>
        </w:tabs>
        <w:spacing w:after="0" w:line="360" w:lineRule="auto"/>
        <w:ind w:left="630"/>
        <w:jc w:val="both"/>
        <w:rPr>
          <w:rFonts w:ascii="Times New Roman" w:eastAsia="Calibri" w:hAnsi="Times New Roman" w:cs="Times New Roman"/>
          <w:sz w:val="28"/>
          <w:szCs w:val="28"/>
        </w:rPr>
      </w:pPr>
    </w:p>
    <w:p w:rsidR="001A01B3" w:rsidRPr="008F378E" w:rsidRDefault="008F378E" w:rsidP="007341DF">
      <w:pPr>
        <w:tabs>
          <w:tab w:val="right" w:leader="dot" w:pos="9639"/>
        </w:tabs>
        <w:spacing w:after="0" w:line="36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1A01B3" w:rsidRPr="008F378E">
        <w:rPr>
          <w:rFonts w:ascii="Times New Roman" w:eastAsia="Calibri" w:hAnsi="Times New Roman" w:cs="Times New Roman"/>
          <w:sz w:val="28"/>
          <w:szCs w:val="28"/>
        </w:rPr>
        <w:t>Цели и принципы денежно-кредитной политики на среднесрочную перспективу</w:t>
      </w:r>
    </w:p>
    <w:p w:rsidR="001A01B3" w:rsidRPr="00397E47" w:rsidRDefault="001A01B3" w:rsidP="001A01B3">
      <w:pPr>
        <w:pStyle w:val="a5"/>
        <w:tabs>
          <w:tab w:val="right" w:leader="dot" w:pos="9639"/>
        </w:tabs>
        <w:spacing w:after="0" w:line="360" w:lineRule="auto"/>
        <w:ind w:left="630"/>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D031B">
        <w:rPr>
          <w:rFonts w:ascii="Times New Roman" w:eastAsia="Calibri" w:hAnsi="Times New Roman" w:cs="Times New Roman"/>
          <w:sz w:val="28"/>
          <w:szCs w:val="28"/>
        </w:rPr>
        <w:t>Денежно-кредитная</w:t>
      </w:r>
      <w:r w:rsidR="00FA70D2">
        <w:rPr>
          <w:rFonts w:ascii="Times New Roman" w:eastAsia="Calibri" w:hAnsi="Times New Roman" w:cs="Times New Roman"/>
          <w:sz w:val="28"/>
          <w:szCs w:val="28"/>
        </w:rPr>
        <w:t xml:space="preserve"> политика </w:t>
      </w:r>
      <w:proofErr w:type="gramStart"/>
      <w:r w:rsidR="00FA70D2">
        <w:rPr>
          <w:rFonts w:ascii="Times New Roman" w:eastAsia="Calibri" w:hAnsi="Times New Roman" w:cs="Times New Roman"/>
          <w:sz w:val="28"/>
          <w:szCs w:val="28"/>
        </w:rPr>
        <w:t xml:space="preserve">государства </w:t>
      </w:r>
      <w:r w:rsidR="00FA70D2">
        <w:rPr>
          <w:rFonts w:ascii="Times New Roman" w:eastAsia="Calibri" w:hAnsi="Times New Roman" w:cs="Times New Roman"/>
          <w:sz w:val="28"/>
          <w:szCs w:val="28"/>
        </w:rPr>
        <w:sym w:font="Symbol" w:char="F02D"/>
      </w:r>
      <w:r w:rsidRPr="004D031B">
        <w:rPr>
          <w:rFonts w:ascii="Times New Roman" w:eastAsia="Calibri" w:hAnsi="Times New Roman" w:cs="Times New Roman"/>
          <w:sz w:val="28"/>
          <w:szCs w:val="28"/>
        </w:rPr>
        <w:t xml:space="preserve"> это</w:t>
      </w:r>
      <w:proofErr w:type="gramEnd"/>
      <w:r w:rsidRPr="004D031B">
        <w:rPr>
          <w:rFonts w:ascii="Times New Roman" w:eastAsia="Calibri" w:hAnsi="Times New Roman" w:cs="Times New Roman"/>
          <w:sz w:val="28"/>
          <w:szCs w:val="28"/>
        </w:rPr>
        <w:t xml:space="preserve"> совокупность мер экономического регулирования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 Зад</w:t>
      </w:r>
      <w:r w:rsidR="00C54D49">
        <w:rPr>
          <w:rFonts w:ascii="Times New Roman" w:eastAsia="Calibri" w:hAnsi="Times New Roman" w:cs="Times New Roman"/>
          <w:sz w:val="28"/>
          <w:szCs w:val="28"/>
        </w:rPr>
        <w:t xml:space="preserve">ача денежно-кредитной </w:t>
      </w:r>
      <w:proofErr w:type="gramStart"/>
      <w:r w:rsidR="00C54D49">
        <w:rPr>
          <w:rFonts w:ascii="Times New Roman" w:eastAsia="Calibri" w:hAnsi="Times New Roman" w:cs="Times New Roman"/>
          <w:sz w:val="28"/>
          <w:szCs w:val="28"/>
        </w:rPr>
        <w:t xml:space="preserve">политики </w:t>
      </w:r>
      <w:r w:rsidR="00C54D49">
        <w:rPr>
          <w:rFonts w:ascii="Times New Roman" w:eastAsia="Calibri" w:hAnsi="Times New Roman" w:cs="Times New Roman"/>
          <w:sz w:val="28"/>
          <w:szCs w:val="28"/>
        </w:rPr>
        <w:sym w:font="Symbol" w:char="F02D"/>
      </w:r>
      <w:r w:rsidRPr="004D031B">
        <w:rPr>
          <w:rFonts w:ascii="Times New Roman" w:eastAsia="Calibri" w:hAnsi="Times New Roman" w:cs="Times New Roman"/>
          <w:sz w:val="28"/>
          <w:szCs w:val="28"/>
        </w:rPr>
        <w:t xml:space="preserve"> обеспечить</w:t>
      </w:r>
      <w:proofErr w:type="gramEnd"/>
      <w:r w:rsidRPr="004D031B">
        <w:rPr>
          <w:rFonts w:ascii="Times New Roman" w:eastAsia="Calibri" w:hAnsi="Times New Roman" w:cs="Times New Roman"/>
          <w:sz w:val="28"/>
          <w:szCs w:val="28"/>
        </w:rPr>
        <w:t xml:space="preserve"> рост российской экономики, существенно снизить разбалансированность финансовой системы, сделать ее более оцененной в глобальных финансах с тем, чтобы лучше противостоять негативным внешним издержкам, демонстрировать наибольшую устойчивость в волнах мировой финансовой динамики, постепенно увеличивая свое влияние в глобальных финансах.</w:t>
      </w:r>
    </w:p>
    <w:p w:rsidR="00A86532" w:rsidRPr="004277F2"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Основной целью денежно-кредитной политики является поддержание ценовой стабильности, то есть стабильно низкой инфляции. Ценовая стабильность – важный элемент благоприятной среды для жи</w:t>
      </w:r>
      <w:r w:rsidR="002847D8">
        <w:rPr>
          <w:rFonts w:ascii="Times New Roman" w:eastAsia="Calibri" w:hAnsi="Times New Roman" w:cs="Times New Roman"/>
          <w:sz w:val="28"/>
          <w:szCs w:val="28"/>
        </w:rPr>
        <w:t>зни людей и ведения бизнеса. В </w:t>
      </w:r>
      <w:r w:rsidRPr="00A043ED">
        <w:rPr>
          <w:rFonts w:ascii="Times New Roman" w:eastAsia="Calibri" w:hAnsi="Times New Roman" w:cs="Times New Roman"/>
          <w:sz w:val="28"/>
          <w:szCs w:val="28"/>
        </w:rPr>
        <w:t>условиях ценовой стабильно</w:t>
      </w:r>
      <w:r w:rsidR="002847D8">
        <w:rPr>
          <w:rFonts w:ascii="Times New Roman" w:eastAsia="Calibri" w:hAnsi="Times New Roman" w:cs="Times New Roman"/>
          <w:sz w:val="28"/>
          <w:szCs w:val="28"/>
        </w:rPr>
        <w:t>сти заработные платы, пенсии и </w:t>
      </w:r>
      <w:r w:rsidRPr="00A043ED">
        <w:rPr>
          <w:rFonts w:ascii="Times New Roman" w:eastAsia="Calibri" w:hAnsi="Times New Roman" w:cs="Times New Roman"/>
          <w:sz w:val="28"/>
          <w:szCs w:val="28"/>
        </w:rPr>
        <w:t>другие доходы, а также сбереж</w:t>
      </w:r>
      <w:r w:rsidR="002847D8">
        <w:rPr>
          <w:rFonts w:ascii="Times New Roman" w:eastAsia="Calibri" w:hAnsi="Times New Roman" w:cs="Times New Roman"/>
          <w:sz w:val="28"/>
          <w:szCs w:val="28"/>
        </w:rPr>
        <w:t>ения населения и предприятий в </w:t>
      </w:r>
      <w:r w:rsidRPr="00A043ED">
        <w:rPr>
          <w:rFonts w:ascii="Times New Roman" w:eastAsia="Calibri" w:hAnsi="Times New Roman" w:cs="Times New Roman"/>
          <w:sz w:val="28"/>
          <w:szCs w:val="28"/>
        </w:rPr>
        <w:t xml:space="preserve">национальной валюте защищены от непредсказуемого </w:t>
      </w:r>
      <w:r w:rsidR="00A86532">
        <w:rPr>
          <w:rFonts w:ascii="Times New Roman" w:eastAsia="Calibri" w:hAnsi="Times New Roman" w:cs="Times New Roman"/>
          <w:sz w:val="28"/>
          <w:szCs w:val="28"/>
        </w:rPr>
        <w:t>обесценения. Это позволяет</w:t>
      </w:r>
      <w:r w:rsidRPr="00A043ED">
        <w:rPr>
          <w:rFonts w:ascii="Times New Roman" w:eastAsia="Calibri" w:hAnsi="Times New Roman" w:cs="Times New Roman"/>
          <w:sz w:val="28"/>
          <w:szCs w:val="28"/>
        </w:rPr>
        <w:t xml:space="preserve"> </w:t>
      </w:r>
      <w:r w:rsidR="00A86532">
        <w:rPr>
          <w:rFonts w:ascii="Times New Roman" w:eastAsia="Calibri" w:hAnsi="Times New Roman" w:cs="Times New Roman"/>
          <w:sz w:val="28"/>
          <w:szCs w:val="28"/>
        </w:rPr>
        <w:t>увереннее</w:t>
      </w:r>
      <w:r w:rsidR="002847D8">
        <w:rPr>
          <w:rFonts w:ascii="Times New Roman" w:eastAsia="Calibri" w:hAnsi="Times New Roman" w:cs="Times New Roman"/>
          <w:sz w:val="28"/>
          <w:szCs w:val="28"/>
        </w:rPr>
        <w:t xml:space="preserve"> планировать расходы, в</w:t>
      </w:r>
      <w:r w:rsidRPr="00A043ED">
        <w:rPr>
          <w:rFonts w:ascii="Times New Roman" w:eastAsia="Calibri" w:hAnsi="Times New Roman" w:cs="Times New Roman"/>
          <w:sz w:val="28"/>
          <w:szCs w:val="28"/>
        </w:rPr>
        <w:t xml:space="preserve"> то</w:t>
      </w:r>
      <w:r w:rsidR="004277F2">
        <w:rPr>
          <w:rFonts w:ascii="Times New Roman" w:eastAsia="Calibri" w:hAnsi="Times New Roman" w:cs="Times New Roman"/>
          <w:sz w:val="28"/>
          <w:szCs w:val="28"/>
        </w:rPr>
        <w:t xml:space="preserve">м числе долгосрочные. </w:t>
      </w:r>
      <w:r w:rsidR="005A78C8" w:rsidRPr="004277F2">
        <w:rPr>
          <w:rFonts w:ascii="Times New Roman" w:eastAsia="Calibri" w:hAnsi="Times New Roman" w:cs="Times New Roman"/>
          <w:sz w:val="28"/>
          <w:szCs w:val="28"/>
        </w:rPr>
        <w:t>[6]</w:t>
      </w:r>
    </w:p>
    <w:p w:rsidR="001A01B3" w:rsidRDefault="002847D8"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Низкая и </w:t>
      </w:r>
      <w:r w:rsidR="001A01B3" w:rsidRPr="00A043ED">
        <w:rPr>
          <w:rFonts w:ascii="Times New Roman" w:eastAsia="Calibri" w:hAnsi="Times New Roman" w:cs="Times New Roman"/>
          <w:sz w:val="28"/>
          <w:szCs w:val="28"/>
        </w:rPr>
        <w:t>стабильная инфляция прежде всего защищает граждан с невысоким уровнем дохода. Такие семьи делают выбор в пользу недорогих товаров первой необходимости и не могут при существен</w:t>
      </w:r>
      <w:r>
        <w:rPr>
          <w:rFonts w:ascii="Times New Roman" w:eastAsia="Calibri" w:hAnsi="Times New Roman" w:cs="Times New Roman"/>
          <w:sz w:val="28"/>
          <w:szCs w:val="28"/>
        </w:rPr>
        <w:t>ном росте цен переключиться на </w:t>
      </w:r>
      <w:r w:rsidR="001A01B3" w:rsidRPr="00A043ED">
        <w:rPr>
          <w:rFonts w:ascii="Times New Roman" w:eastAsia="Calibri" w:hAnsi="Times New Roman" w:cs="Times New Roman"/>
          <w:sz w:val="28"/>
          <w:szCs w:val="28"/>
        </w:rPr>
        <w:t xml:space="preserve">более дешевые аналоги. При высокой инфляции они вынуждены сокращать потребление, что ухудшает качество их жизни. При прочих равных условиях высокая инфляция способствует росту </w:t>
      </w:r>
      <w:r w:rsidR="001A01B3" w:rsidRPr="00A043ED">
        <w:rPr>
          <w:rFonts w:ascii="Times New Roman" w:eastAsia="Calibri" w:hAnsi="Times New Roman" w:cs="Times New Roman"/>
          <w:sz w:val="28"/>
          <w:szCs w:val="28"/>
        </w:rPr>
        <w:lastRenderedPageBreak/>
        <w:t xml:space="preserve">дифференциации доходов и усиливает социальное неравенство. Поэтому низкая инфляция – важное </w:t>
      </w:r>
      <w:r w:rsidR="001A01B3">
        <w:rPr>
          <w:rFonts w:ascii="Times New Roman" w:eastAsia="Calibri" w:hAnsi="Times New Roman" w:cs="Times New Roman"/>
          <w:sz w:val="28"/>
          <w:szCs w:val="28"/>
        </w:rPr>
        <w:t>условие социальной стабильности</w:t>
      </w:r>
      <w:r w:rsidR="001A01B3" w:rsidRPr="00A043ED">
        <w:rPr>
          <w:rFonts w:ascii="Times New Roman" w:eastAsia="Calibri" w:hAnsi="Times New Roman" w:cs="Times New Roman"/>
          <w:sz w:val="28"/>
          <w:szCs w:val="28"/>
        </w:rPr>
        <w:t>.</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Ценов</w:t>
      </w:r>
      <w:r w:rsidR="002847D8">
        <w:rPr>
          <w:rFonts w:ascii="Times New Roman" w:eastAsia="Calibri" w:hAnsi="Times New Roman" w:cs="Times New Roman"/>
          <w:sz w:val="28"/>
          <w:szCs w:val="28"/>
        </w:rPr>
        <w:t>ая стабильность благоприятна и </w:t>
      </w:r>
      <w:r w:rsidRPr="00A043ED">
        <w:rPr>
          <w:rFonts w:ascii="Times New Roman" w:eastAsia="Calibri" w:hAnsi="Times New Roman" w:cs="Times New Roman"/>
          <w:sz w:val="28"/>
          <w:szCs w:val="28"/>
        </w:rPr>
        <w:t>для ведения бизнеса. Она способствует повышению доступности заемного финансирования для компаний. Высокая и </w:t>
      </w:r>
      <w:proofErr w:type="spellStart"/>
      <w:r w:rsidRPr="00A043ED">
        <w:rPr>
          <w:rFonts w:ascii="Times New Roman" w:eastAsia="Calibri" w:hAnsi="Times New Roman" w:cs="Times New Roman"/>
          <w:sz w:val="28"/>
          <w:szCs w:val="28"/>
        </w:rPr>
        <w:t>волатильная</w:t>
      </w:r>
      <w:proofErr w:type="spellEnd"/>
      <w:r w:rsidRPr="00A043ED">
        <w:rPr>
          <w:rFonts w:ascii="Times New Roman" w:eastAsia="Calibri" w:hAnsi="Times New Roman" w:cs="Times New Roman"/>
          <w:sz w:val="28"/>
          <w:szCs w:val="28"/>
        </w:rPr>
        <w:t xml:space="preserve"> инфляция является и</w:t>
      </w:r>
      <w:r w:rsidR="002847D8">
        <w:rPr>
          <w:rFonts w:ascii="Times New Roman" w:eastAsia="Calibri" w:hAnsi="Times New Roman" w:cs="Times New Roman"/>
          <w:sz w:val="28"/>
          <w:szCs w:val="28"/>
        </w:rPr>
        <w:t>сточником рисков для банков. В </w:t>
      </w:r>
      <w:r w:rsidRPr="00A043ED">
        <w:rPr>
          <w:rFonts w:ascii="Times New Roman" w:eastAsia="Calibri" w:hAnsi="Times New Roman" w:cs="Times New Roman"/>
          <w:sz w:val="28"/>
          <w:szCs w:val="28"/>
        </w:rPr>
        <w:t>случае увеличения инфляции стоимость банковских пассивов растет быстрее, чем доходность банковских активов. В этих условиях ба</w:t>
      </w:r>
      <w:r w:rsidR="002847D8">
        <w:rPr>
          <w:rFonts w:ascii="Times New Roman" w:eastAsia="Calibri" w:hAnsi="Times New Roman" w:cs="Times New Roman"/>
          <w:sz w:val="28"/>
          <w:szCs w:val="28"/>
        </w:rPr>
        <w:t>нки предпочитают кредитовать по</w:t>
      </w:r>
      <w:r w:rsidRPr="00A043ED">
        <w:rPr>
          <w:rFonts w:ascii="Times New Roman" w:eastAsia="Calibri" w:hAnsi="Times New Roman" w:cs="Times New Roman"/>
          <w:sz w:val="28"/>
          <w:szCs w:val="28"/>
        </w:rPr>
        <w:t xml:space="preserve"> высоким ставкам, предоставляя средства </w:t>
      </w:r>
      <w:proofErr w:type="gramStart"/>
      <w:r w:rsidRPr="00A043ED">
        <w:rPr>
          <w:rFonts w:ascii="Times New Roman" w:eastAsia="Calibri" w:hAnsi="Times New Roman" w:cs="Times New Roman"/>
          <w:sz w:val="28"/>
          <w:szCs w:val="28"/>
        </w:rPr>
        <w:t>на  короткий</w:t>
      </w:r>
      <w:proofErr w:type="gramEnd"/>
      <w:r w:rsidRPr="00A043ED">
        <w:rPr>
          <w:rFonts w:ascii="Times New Roman" w:eastAsia="Calibri" w:hAnsi="Times New Roman" w:cs="Times New Roman"/>
          <w:sz w:val="28"/>
          <w:szCs w:val="28"/>
        </w:rPr>
        <w:t xml:space="preserve"> срок, чтобы снизить риски2 . Низкая и стабильная инфляция, напротив, способствует снижению инфляционной п</w:t>
      </w:r>
      <w:r w:rsidR="002847D8">
        <w:rPr>
          <w:rFonts w:ascii="Times New Roman" w:eastAsia="Calibri" w:hAnsi="Times New Roman" w:cs="Times New Roman"/>
          <w:sz w:val="28"/>
          <w:szCs w:val="28"/>
        </w:rPr>
        <w:t>ремии, закладываемой банками в </w:t>
      </w:r>
      <w:r w:rsidRPr="00A043ED">
        <w:rPr>
          <w:rFonts w:ascii="Times New Roman" w:eastAsia="Calibri" w:hAnsi="Times New Roman" w:cs="Times New Roman"/>
          <w:sz w:val="28"/>
          <w:szCs w:val="28"/>
        </w:rPr>
        <w:t xml:space="preserve">процентные ставки, и повышению предложения ими долгосрочных кредитов. Таким образом, формируются благоприятные условия </w:t>
      </w:r>
      <w:r w:rsidR="002847D8">
        <w:rPr>
          <w:rFonts w:ascii="Times New Roman" w:eastAsia="Calibri" w:hAnsi="Times New Roman" w:cs="Times New Roman"/>
          <w:sz w:val="28"/>
          <w:szCs w:val="28"/>
        </w:rPr>
        <w:t>заимствования для компаний. Не </w:t>
      </w:r>
      <w:r w:rsidRPr="00A043ED">
        <w:rPr>
          <w:rFonts w:ascii="Times New Roman" w:eastAsia="Calibri" w:hAnsi="Times New Roman" w:cs="Times New Roman"/>
          <w:sz w:val="28"/>
          <w:szCs w:val="28"/>
        </w:rPr>
        <w:t xml:space="preserve">только российские банки, </w:t>
      </w:r>
      <w:proofErr w:type="gramStart"/>
      <w:r w:rsidRPr="00A043ED">
        <w:rPr>
          <w:rFonts w:ascii="Times New Roman" w:eastAsia="Calibri" w:hAnsi="Times New Roman" w:cs="Times New Roman"/>
          <w:sz w:val="28"/>
          <w:szCs w:val="28"/>
        </w:rPr>
        <w:t>но  и</w:t>
      </w:r>
      <w:proofErr w:type="gramEnd"/>
      <w:r w:rsidRPr="00A043ED">
        <w:rPr>
          <w:rFonts w:ascii="Times New Roman" w:eastAsia="Calibri" w:hAnsi="Times New Roman" w:cs="Times New Roman"/>
          <w:sz w:val="28"/>
          <w:szCs w:val="28"/>
        </w:rPr>
        <w:t xml:space="preserve">  внутренние инвесторы  – физические лица и  компании, а  также иностранные инвесторы с  большей готовностью будут предоставлять заемные средства в  стране с  предсказуемой экономической средой, неотъемлемый элемент которой  – стабильно низкая инфляция. При ценовой стабильности компаниям также проще осуществлять финансовое </w:t>
      </w:r>
      <w:r w:rsidR="002847D8">
        <w:rPr>
          <w:rFonts w:ascii="Times New Roman" w:eastAsia="Calibri" w:hAnsi="Times New Roman" w:cs="Times New Roman"/>
          <w:sz w:val="28"/>
          <w:szCs w:val="28"/>
        </w:rPr>
        <w:t>и </w:t>
      </w:r>
      <w:r>
        <w:rPr>
          <w:rFonts w:ascii="Times New Roman" w:eastAsia="Calibri" w:hAnsi="Times New Roman" w:cs="Times New Roman"/>
          <w:sz w:val="28"/>
          <w:szCs w:val="28"/>
        </w:rPr>
        <w:t>инвестиционное планирование.</w:t>
      </w:r>
    </w:p>
    <w:p w:rsidR="001A01B3" w:rsidRDefault="002847D8"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w:t>
      </w:r>
      <w:r w:rsidR="001A01B3" w:rsidRPr="00A043ED">
        <w:rPr>
          <w:rFonts w:ascii="Times New Roman" w:eastAsia="Calibri" w:hAnsi="Times New Roman" w:cs="Times New Roman"/>
          <w:sz w:val="28"/>
          <w:szCs w:val="28"/>
        </w:rPr>
        <w:t>результате низкая инфляция формирует условия для роста инвестиций и, как следствие, устойчивого и сбалансированного роста экономики.</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043ED">
        <w:rPr>
          <w:rFonts w:ascii="Times New Roman" w:eastAsia="Calibri" w:hAnsi="Times New Roman" w:cs="Times New Roman"/>
          <w:sz w:val="28"/>
          <w:szCs w:val="28"/>
        </w:rPr>
        <w:t>енежно-кредитная политика вносит вклад в решение общей з</w:t>
      </w:r>
      <w:r w:rsidR="002847D8">
        <w:rPr>
          <w:rFonts w:ascii="Times New Roman" w:eastAsia="Calibri" w:hAnsi="Times New Roman" w:cs="Times New Roman"/>
          <w:sz w:val="28"/>
          <w:szCs w:val="28"/>
        </w:rPr>
        <w:t>адачи экономической политики на</w:t>
      </w:r>
      <w:r w:rsidRPr="00A043ED">
        <w:rPr>
          <w:rFonts w:ascii="Times New Roman" w:eastAsia="Calibri" w:hAnsi="Times New Roman" w:cs="Times New Roman"/>
          <w:sz w:val="28"/>
          <w:szCs w:val="28"/>
        </w:rPr>
        <w:t xml:space="preserve"> текущем этапе – в ускорение роста инвестиций и повышение их доли в валовом внутреннем продукте (</w:t>
      </w:r>
      <w:r w:rsidR="002847D8">
        <w:rPr>
          <w:rFonts w:ascii="Times New Roman" w:eastAsia="Calibri" w:hAnsi="Times New Roman" w:cs="Times New Roman"/>
          <w:sz w:val="28"/>
          <w:szCs w:val="28"/>
        </w:rPr>
        <w:t xml:space="preserve">ВВП) до 25%. Опросы населения и компаний также </w:t>
      </w:r>
      <w:r w:rsidRPr="00A043ED">
        <w:rPr>
          <w:rFonts w:ascii="Times New Roman" w:eastAsia="Calibri" w:hAnsi="Times New Roman" w:cs="Times New Roman"/>
          <w:sz w:val="28"/>
          <w:szCs w:val="28"/>
        </w:rPr>
        <w:t xml:space="preserve">указывают на важность низкой и стабильной инфляции как условия благоприятной среды для жизни </w:t>
      </w:r>
      <w:proofErr w:type="gramStart"/>
      <w:r w:rsidRPr="00A043ED">
        <w:rPr>
          <w:rFonts w:ascii="Times New Roman" w:eastAsia="Calibri" w:hAnsi="Times New Roman" w:cs="Times New Roman"/>
          <w:sz w:val="28"/>
          <w:szCs w:val="28"/>
        </w:rPr>
        <w:t>и  ведения</w:t>
      </w:r>
      <w:proofErr w:type="gramEnd"/>
      <w:r w:rsidRPr="00A043ED">
        <w:rPr>
          <w:rFonts w:ascii="Times New Roman" w:eastAsia="Calibri" w:hAnsi="Times New Roman" w:cs="Times New Roman"/>
          <w:sz w:val="28"/>
          <w:szCs w:val="28"/>
        </w:rPr>
        <w:t xml:space="preserve"> бизнеса. Согласно опросам, домашние хозяйства </w:t>
      </w:r>
      <w:proofErr w:type="gramStart"/>
      <w:r w:rsidRPr="00A043ED">
        <w:rPr>
          <w:rFonts w:ascii="Times New Roman" w:eastAsia="Calibri" w:hAnsi="Times New Roman" w:cs="Times New Roman"/>
          <w:sz w:val="28"/>
          <w:szCs w:val="28"/>
        </w:rPr>
        <w:t>и  предприятия</w:t>
      </w:r>
      <w:proofErr w:type="gramEnd"/>
      <w:r w:rsidRPr="00A043ED">
        <w:rPr>
          <w:rFonts w:ascii="Times New Roman" w:eastAsia="Calibri" w:hAnsi="Times New Roman" w:cs="Times New Roman"/>
          <w:sz w:val="28"/>
          <w:szCs w:val="28"/>
        </w:rPr>
        <w:t xml:space="preserve"> называют высокую инфляцию одной из проблем, ухудшающих условия жизни и  деловой климат, снижающих конкурентоспособность росси</w:t>
      </w:r>
      <w:r>
        <w:rPr>
          <w:rFonts w:ascii="Times New Roman" w:eastAsia="Calibri" w:hAnsi="Times New Roman" w:cs="Times New Roman"/>
          <w:sz w:val="28"/>
          <w:szCs w:val="28"/>
        </w:rPr>
        <w:t>йских товаров</w:t>
      </w:r>
      <w:r w:rsidRPr="00A043ED">
        <w:rPr>
          <w:rFonts w:ascii="Times New Roman" w:eastAsia="Calibri" w:hAnsi="Times New Roman" w:cs="Times New Roman"/>
          <w:sz w:val="28"/>
          <w:szCs w:val="28"/>
        </w:rPr>
        <w:t xml:space="preserve">. Денежно-кредитная политика создает важные условия для развития экономики, но сама по себе </w:t>
      </w:r>
      <w:r w:rsidRPr="00A043ED">
        <w:rPr>
          <w:rFonts w:ascii="Times New Roman" w:eastAsia="Calibri" w:hAnsi="Times New Roman" w:cs="Times New Roman"/>
          <w:sz w:val="28"/>
          <w:szCs w:val="28"/>
        </w:rPr>
        <w:lastRenderedPageBreak/>
        <w:t xml:space="preserve">не может быть основным источником устойчивого повышения экономического потенциала.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 xml:space="preserve">В долгосрочной перспективе основными факторами, определяющими потенциал роста экономики, являются изменение производительности труда </w:t>
      </w:r>
      <w:proofErr w:type="gramStart"/>
      <w:r w:rsidRPr="00A043ED">
        <w:rPr>
          <w:rFonts w:ascii="Times New Roman" w:eastAsia="Calibri" w:hAnsi="Times New Roman" w:cs="Times New Roman"/>
          <w:sz w:val="28"/>
          <w:szCs w:val="28"/>
        </w:rPr>
        <w:t>и  капитала</w:t>
      </w:r>
      <w:proofErr w:type="gramEnd"/>
      <w:r w:rsidRPr="00A043ED">
        <w:rPr>
          <w:rFonts w:ascii="Times New Roman" w:eastAsia="Calibri" w:hAnsi="Times New Roman" w:cs="Times New Roman"/>
          <w:sz w:val="28"/>
          <w:szCs w:val="28"/>
        </w:rPr>
        <w:t xml:space="preserve">, а  также скорость внедрения новых технологий. Центральный банк </w:t>
      </w:r>
      <w:proofErr w:type="gramStart"/>
      <w:r w:rsidRPr="00A043ED">
        <w:rPr>
          <w:rFonts w:ascii="Times New Roman" w:eastAsia="Calibri" w:hAnsi="Times New Roman" w:cs="Times New Roman"/>
          <w:sz w:val="28"/>
          <w:szCs w:val="28"/>
        </w:rPr>
        <w:t>не  может</w:t>
      </w:r>
      <w:proofErr w:type="gramEnd"/>
      <w:r w:rsidRPr="00A043ED">
        <w:rPr>
          <w:rFonts w:ascii="Times New Roman" w:eastAsia="Calibri" w:hAnsi="Times New Roman" w:cs="Times New Roman"/>
          <w:sz w:val="28"/>
          <w:szCs w:val="28"/>
        </w:rPr>
        <w:t xml:space="preserve"> воздействовать на производительность факторов производства и внедрение технологий инструментами денежно-кредитной политики. Стремясь поддерживать ценовую стабильность, центральный банк влияет </w:t>
      </w:r>
      <w:proofErr w:type="gramStart"/>
      <w:r w:rsidRPr="00A043ED">
        <w:rPr>
          <w:rFonts w:ascii="Times New Roman" w:eastAsia="Calibri" w:hAnsi="Times New Roman" w:cs="Times New Roman"/>
          <w:sz w:val="28"/>
          <w:szCs w:val="28"/>
        </w:rPr>
        <w:t>на  динамику</w:t>
      </w:r>
      <w:proofErr w:type="gramEnd"/>
      <w:r w:rsidRPr="00A043ED">
        <w:rPr>
          <w:rFonts w:ascii="Times New Roman" w:eastAsia="Calibri" w:hAnsi="Times New Roman" w:cs="Times New Roman"/>
          <w:sz w:val="28"/>
          <w:szCs w:val="28"/>
        </w:rPr>
        <w:t xml:space="preserve"> внутреннего спроса и, как следствие, на  интенсивность использования факторов производства. Таким образом, денежно-кредитная политика воздействует </w:t>
      </w:r>
      <w:proofErr w:type="gramStart"/>
      <w:r w:rsidRPr="00A043ED">
        <w:rPr>
          <w:rFonts w:ascii="Times New Roman" w:eastAsia="Calibri" w:hAnsi="Times New Roman" w:cs="Times New Roman"/>
          <w:sz w:val="28"/>
          <w:szCs w:val="28"/>
        </w:rPr>
        <w:t>на  отклонения</w:t>
      </w:r>
      <w:proofErr w:type="gramEnd"/>
      <w:r w:rsidRPr="00A043ED">
        <w:rPr>
          <w:rFonts w:ascii="Times New Roman" w:eastAsia="Calibri" w:hAnsi="Times New Roman" w:cs="Times New Roman"/>
          <w:sz w:val="28"/>
          <w:szCs w:val="28"/>
        </w:rPr>
        <w:t xml:space="preserve"> темпа роста экономики от потенциального, но не на сам экономический потенциал. С учетом данного фактора попытки стимулировать экономический рост мерами денежно-кредитной политики в текущих условиях через необоснованное снижение ключевой ставки могут иметь мас</w:t>
      </w:r>
      <w:r>
        <w:rPr>
          <w:rFonts w:ascii="Times New Roman" w:eastAsia="Calibri" w:hAnsi="Times New Roman" w:cs="Times New Roman"/>
          <w:sz w:val="28"/>
          <w:szCs w:val="28"/>
        </w:rPr>
        <w:t>штабные негативные последствия.</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В краткосрочном периоде снижение</w:t>
      </w:r>
      <w:r>
        <w:rPr>
          <w:rFonts w:ascii="Times New Roman" w:eastAsia="Calibri" w:hAnsi="Times New Roman" w:cs="Times New Roman"/>
          <w:sz w:val="28"/>
          <w:szCs w:val="28"/>
        </w:rPr>
        <w:t xml:space="preserve"> </w:t>
      </w:r>
      <w:r w:rsidRPr="00A043ED">
        <w:rPr>
          <w:rFonts w:ascii="Times New Roman" w:eastAsia="Calibri" w:hAnsi="Times New Roman" w:cs="Times New Roman"/>
          <w:sz w:val="28"/>
          <w:szCs w:val="28"/>
        </w:rPr>
        <w:t xml:space="preserve">ключевой ставки создаст стимулы для роста кредитования и повышения инвестиционного </w:t>
      </w:r>
      <w:proofErr w:type="gramStart"/>
      <w:r w:rsidRPr="00A043ED">
        <w:rPr>
          <w:rFonts w:ascii="Times New Roman" w:eastAsia="Calibri" w:hAnsi="Times New Roman" w:cs="Times New Roman"/>
          <w:sz w:val="28"/>
          <w:szCs w:val="28"/>
        </w:rPr>
        <w:t>и  потребительского</w:t>
      </w:r>
      <w:proofErr w:type="gramEnd"/>
      <w:r w:rsidRPr="00A043ED">
        <w:rPr>
          <w:rFonts w:ascii="Times New Roman" w:eastAsia="Calibri" w:hAnsi="Times New Roman" w:cs="Times New Roman"/>
          <w:sz w:val="28"/>
          <w:szCs w:val="28"/>
        </w:rPr>
        <w:t xml:space="preserve"> спроса. Чтобы данный рост </w:t>
      </w:r>
      <w:proofErr w:type="gramStart"/>
      <w:r w:rsidRPr="00A043ED">
        <w:rPr>
          <w:rFonts w:ascii="Times New Roman" w:eastAsia="Calibri" w:hAnsi="Times New Roman" w:cs="Times New Roman"/>
          <w:sz w:val="28"/>
          <w:szCs w:val="28"/>
        </w:rPr>
        <w:t>не  имел</w:t>
      </w:r>
      <w:proofErr w:type="gramEnd"/>
      <w:r w:rsidRPr="00A043ED">
        <w:rPr>
          <w:rFonts w:ascii="Times New Roman" w:eastAsia="Calibri" w:hAnsi="Times New Roman" w:cs="Times New Roman"/>
          <w:sz w:val="28"/>
          <w:szCs w:val="28"/>
        </w:rPr>
        <w:t xml:space="preserve"> инфляционных последствий, он не  должен опережать возможности расширения производства. Значительно увеличить производство </w:t>
      </w:r>
      <w:proofErr w:type="gramStart"/>
      <w:r w:rsidRPr="00A043ED">
        <w:rPr>
          <w:rFonts w:ascii="Times New Roman" w:eastAsia="Calibri" w:hAnsi="Times New Roman" w:cs="Times New Roman"/>
          <w:sz w:val="28"/>
          <w:szCs w:val="28"/>
        </w:rPr>
        <w:t>за  счет</w:t>
      </w:r>
      <w:proofErr w:type="gramEnd"/>
      <w:r w:rsidRPr="00A043ED">
        <w:rPr>
          <w:rFonts w:ascii="Times New Roman" w:eastAsia="Calibri" w:hAnsi="Times New Roman" w:cs="Times New Roman"/>
          <w:sz w:val="28"/>
          <w:szCs w:val="28"/>
        </w:rPr>
        <w:t xml:space="preserve"> имеющихся мощностей в настоящее время невозможно, поскольку экономика функционирует на уровне, близком к потенциальному. Столкнувшись с увеличением спроса, компании будут конкурировать за трудовые ресурсы, повышая заработную плату. Это будет также способствовать расширению потребительского спроса. При этом для увеличения основных фондов во многих отраслях за счет реализации инвестиционных проектов потребуется время. </w:t>
      </w:r>
      <w:proofErr w:type="gramStart"/>
      <w:r w:rsidRPr="00A043ED">
        <w:rPr>
          <w:rFonts w:ascii="Times New Roman" w:eastAsia="Calibri" w:hAnsi="Times New Roman" w:cs="Times New Roman"/>
          <w:sz w:val="28"/>
          <w:szCs w:val="28"/>
        </w:rPr>
        <w:t>В  результате</w:t>
      </w:r>
      <w:proofErr w:type="gramEnd"/>
      <w:r w:rsidRPr="00A043ED">
        <w:rPr>
          <w:rFonts w:ascii="Times New Roman" w:eastAsia="Calibri" w:hAnsi="Times New Roman" w:cs="Times New Roman"/>
          <w:sz w:val="28"/>
          <w:szCs w:val="28"/>
        </w:rPr>
        <w:t xml:space="preserve"> увеличение внутреннего спроса при отсутствии внутренних возможностей для его удовлетворения приведет к  существенному ускорению инфляции по двум каналам. Во-первых, </w:t>
      </w:r>
      <w:proofErr w:type="gramStart"/>
      <w:r w:rsidRPr="00A043ED">
        <w:rPr>
          <w:rFonts w:ascii="Times New Roman" w:eastAsia="Calibri" w:hAnsi="Times New Roman" w:cs="Times New Roman"/>
          <w:sz w:val="28"/>
          <w:szCs w:val="28"/>
        </w:rPr>
        <w:t>в  условиях</w:t>
      </w:r>
      <w:proofErr w:type="gramEnd"/>
      <w:r w:rsidRPr="00A043ED">
        <w:rPr>
          <w:rFonts w:ascii="Times New Roman" w:eastAsia="Calibri" w:hAnsi="Times New Roman" w:cs="Times New Roman"/>
          <w:sz w:val="28"/>
          <w:szCs w:val="28"/>
        </w:rPr>
        <w:t xml:space="preserve"> повышения спроса (за счет зарплат и кредитов) при недостатке предложения отечественных товаров цены на них </w:t>
      </w:r>
      <w:r w:rsidRPr="00A043ED">
        <w:rPr>
          <w:rFonts w:ascii="Times New Roman" w:eastAsia="Calibri" w:hAnsi="Times New Roman" w:cs="Times New Roman"/>
          <w:sz w:val="28"/>
          <w:szCs w:val="28"/>
        </w:rPr>
        <w:lastRenderedPageBreak/>
        <w:t xml:space="preserve">возрастут. Во-вторых, увеличится спрос </w:t>
      </w:r>
      <w:proofErr w:type="gramStart"/>
      <w:r w:rsidRPr="00A043ED">
        <w:rPr>
          <w:rFonts w:ascii="Times New Roman" w:eastAsia="Calibri" w:hAnsi="Times New Roman" w:cs="Times New Roman"/>
          <w:sz w:val="28"/>
          <w:szCs w:val="28"/>
        </w:rPr>
        <w:t>на  импортные</w:t>
      </w:r>
      <w:proofErr w:type="gramEnd"/>
      <w:r w:rsidRPr="00A043ED">
        <w:rPr>
          <w:rFonts w:ascii="Times New Roman" w:eastAsia="Calibri" w:hAnsi="Times New Roman" w:cs="Times New Roman"/>
          <w:sz w:val="28"/>
          <w:szCs w:val="28"/>
        </w:rPr>
        <w:t xml:space="preserve"> товары из-за  отсутствия достаточного количества отечественных, что приведет к ослаблению рубля и росту инфляции. Высокая инфляция будет обесценивать доходы, вносить существенную неопределенность, затрудняя бизнес</w:t>
      </w:r>
      <w:r w:rsidR="00E00CA6">
        <w:rPr>
          <w:rFonts w:ascii="Times New Roman" w:eastAsia="Calibri" w:hAnsi="Times New Roman" w:cs="Times New Roman"/>
          <w:sz w:val="28"/>
          <w:szCs w:val="28"/>
        </w:rPr>
        <w:t>-</w:t>
      </w:r>
      <w:r w:rsidRPr="00A043ED">
        <w:rPr>
          <w:rFonts w:ascii="Times New Roman" w:eastAsia="Calibri" w:hAnsi="Times New Roman" w:cs="Times New Roman"/>
          <w:sz w:val="28"/>
          <w:szCs w:val="28"/>
        </w:rPr>
        <w:t xml:space="preserve">планирование. В условиях роста инфляции вкладчики не захотят размещать средства </w:t>
      </w:r>
      <w:proofErr w:type="gramStart"/>
      <w:r w:rsidRPr="00A043ED">
        <w:rPr>
          <w:rFonts w:ascii="Times New Roman" w:eastAsia="Calibri" w:hAnsi="Times New Roman" w:cs="Times New Roman"/>
          <w:sz w:val="28"/>
          <w:szCs w:val="28"/>
        </w:rPr>
        <w:t>по  низким</w:t>
      </w:r>
      <w:proofErr w:type="gramEnd"/>
      <w:r w:rsidRPr="00A043ED">
        <w:rPr>
          <w:rFonts w:ascii="Times New Roman" w:eastAsia="Calibri" w:hAnsi="Times New Roman" w:cs="Times New Roman"/>
          <w:sz w:val="28"/>
          <w:szCs w:val="28"/>
        </w:rPr>
        <w:t xml:space="preserve"> ставкам, и  банки будут вынуждены их повысить. Для того чтобы окупить потери от роста затрат на привлечение депозитов, банки будут повышать кредитные ставки, что ограничит дальнейшие инвестиции и негативно скажется на росте экономики. Таким образом, попытки необоснованного смягчения денежно-кредитной политики не обеспечат устойчивого ускорения экономического роста и при этом приведут к повышению инфляции.</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Среди принципов, заявленных ЦБ РФ в документе об основных</w:t>
      </w:r>
      <w:r w:rsidRPr="00486C87">
        <w:rPr>
          <w:rFonts w:ascii="Times New Roman" w:eastAsia="Calibri" w:hAnsi="Times New Roman" w:cs="Times New Roman"/>
          <w:sz w:val="28"/>
          <w:szCs w:val="28"/>
        </w:rPr>
        <w:t xml:space="preserve"> направления</w:t>
      </w:r>
      <w:r>
        <w:rPr>
          <w:rFonts w:ascii="Times New Roman" w:eastAsia="Calibri" w:hAnsi="Times New Roman" w:cs="Times New Roman"/>
          <w:sz w:val="28"/>
          <w:szCs w:val="28"/>
        </w:rPr>
        <w:t>х</w:t>
      </w:r>
      <w:r w:rsidRPr="00486C87">
        <w:rPr>
          <w:rFonts w:ascii="Times New Roman" w:eastAsia="Calibri" w:hAnsi="Times New Roman" w:cs="Times New Roman"/>
          <w:sz w:val="28"/>
          <w:szCs w:val="28"/>
        </w:rPr>
        <w:t xml:space="preserve"> единой государственной денежно-кредитной политики на 2019 год и период 2020 и 2021 годов </w:t>
      </w:r>
      <w:r>
        <w:rPr>
          <w:rFonts w:ascii="Times New Roman" w:eastAsia="Calibri" w:hAnsi="Times New Roman" w:cs="Times New Roman"/>
          <w:sz w:val="28"/>
          <w:szCs w:val="28"/>
        </w:rPr>
        <w:t>можно выделить:</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у</w:t>
      </w:r>
      <w:r w:rsidRPr="00A043ED">
        <w:rPr>
          <w:rFonts w:ascii="Times New Roman" w:eastAsia="Calibri" w:hAnsi="Times New Roman" w:cs="Times New Roman"/>
          <w:sz w:val="28"/>
          <w:szCs w:val="28"/>
        </w:rPr>
        <w:t>становление постоянно действующей публичной количественной цели по инфляции</w:t>
      </w:r>
      <w:r>
        <w:rPr>
          <w:rFonts w:ascii="Times New Roman" w:eastAsia="Calibri" w:hAnsi="Times New Roman" w:cs="Times New Roman"/>
          <w:sz w:val="28"/>
          <w:szCs w:val="28"/>
        </w:rPr>
        <w:t>;</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п</w:t>
      </w:r>
      <w:r w:rsidRPr="00A043ED">
        <w:rPr>
          <w:rFonts w:ascii="Times New Roman" w:eastAsia="Calibri" w:hAnsi="Times New Roman" w:cs="Times New Roman"/>
          <w:sz w:val="28"/>
          <w:szCs w:val="28"/>
        </w:rPr>
        <w:t>ринятие решений по денежно</w:t>
      </w:r>
      <w:r w:rsidR="00E00CA6">
        <w:rPr>
          <w:rFonts w:ascii="Times New Roman" w:eastAsia="Calibri" w:hAnsi="Times New Roman" w:cs="Times New Roman"/>
          <w:sz w:val="28"/>
          <w:szCs w:val="28"/>
        </w:rPr>
        <w:t>-</w:t>
      </w:r>
      <w:r w:rsidRPr="00A043ED">
        <w:rPr>
          <w:rFonts w:ascii="Times New Roman" w:eastAsia="Calibri" w:hAnsi="Times New Roman" w:cs="Times New Roman"/>
          <w:sz w:val="28"/>
          <w:szCs w:val="28"/>
        </w:rPr>
        <w:t>кредитной политике на основе макроэкономического прогноза с учетом анализа широкого круга информации</w:t>
      </w:r>
      <w:r>
        <w:rPr>
          <w:rFonts w:ascii="Times New Roman" w:eastAsia="Calibri" w:hAnsi="Times New Roman" w:cs="Times New Roman"/>
          <w:sz w:val="28"/>
          <w:szCs w:val="28"/>
        </w:rPr>
        <w:t>;</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информационная открытость.</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каждый принцип подробнее.</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 xml:space="preserve">Установление постоянно действующей публичной количественной цели по инфляции В рамках стратегии </w:t>
      </w:r>
      <w:proofErr w:type="spellStart"/>
      <w:r w:rsidRPr="00A043ED">
        <w:rPr>
          <w:rFonts w:ascii="Times New Roman" w:eastAsia="Calibri" w:hAnsi="Times New Roman" w:cs="Times New Roman"/>
          <w:sz w:val="28"/>
          <w:szCs w:val="28"/>
        </w:rPr>
        <w:t>таргетирования</w:t>
      </w:r>
      <w:proofErr w:type="spellEnd"/>
      <w:r w:rsidRPr="00A043ED">
        <w:rPr>
          <w:rFonts w:ascii="Times New Roman" w:eastAsia="Calibri" w:hAnsi="Times New Roman" w:cs="Times New Roman"/>
          <w:sz w:val="28"/>
          <w:szCs w:val="28"/>
        </w:rPr>
        <w:t xml:space="preserve"> инфляции Банк России задает количественную цель по инфляции и публично ее объявляет, чтобы население, бизнес, участники финансового рынка могли учитывать ее при планировании своей деятельности и принятии решений. Для достижения цели по инфляции Банк России реализует денежно</w:t>
      </w:r>
      <w:r w:rsidR="00E00CA6">
        <w:rPr>
          <w:rFonts w:ascii="Times New Roman" w:eastAsia="Calibri" w:hAnsi="Times New Roman" w:cs="Times New Roman"/>
          <w:sz w:val="28"/>
          <w:szCs w:val="28"/>
        </w:rPr>
        <w:t>-</w:t>
      </w:r>
      <w:r w:rsidRPr="00A043ED">
        <w:rPr>
          <w:rFonts w:ascii="Times New Roman" w:eastAsia="Calibri" w:hAnsi="Times New Roman" w:cs="Times New Roman"/>
          <w:sz w:val="28"/>
          <w:szCs w:val="28"/>
        </w:rPr>
        <w:t xml:space="preserve">кредитную политику. Целью денежно-кредитной политики является поддержание годовой инфляции вблизи 4% постоянно. «Вблизи 4%» отражает возможность небольших </w:t>
      </w:r>
      <w:r>
        <w:rPr>
          <w:rFonts w:ascii="Times New Roman" w:eastAsia="Calibri" w:hAnsi="Times New Roman" w:cs="Times New Roman"/>
          <w:sz w:val="28"/>
          <w:szCs w:val="28"/>
        </w:rPr>
        <w:lastRenderedPageBreak/>
        <w:t>колебаний инфляции вокруг цели, ожидаемые колебания представлены на рисунке 3.</w:t>
      </w:r>
    </w:p>
    <w:p w:rsidR="001A01B3" w:rsidRDefault="0051021D" w:rsidP="001A01B3">
      <w:pPr>
        <w:spacing w:after="25"/>
        <w:ind w:left="53"/>
        <w:rPr>
          <w:rFonts w:ascii="Calibri" w:eastAsia="Calibri" w:hAnsi="Calibri" w:cs="Calibri"/>
          <w:color w:val="181717"/>
          <w:lang w:eastAsia="ru-RU"/>
        </w:rPr>
      </w:pPr>
      <w:r>
        <w:rPr>
          <w:rFonts w:ascii="Calibri" w:eastAsia="Calibri" w:hAnsi="Calibri" w:cs="Calibri"/>
          <w:noProof/>
          <w:color w:val="181717"/>
          <w:lang w:eastAsia="ru-RU"/>
        </w:rPr>
        <mc:AlternateContent>
          <mc:Choice Requires="wpg">
            <w:drawing>
              <wp:anchor distT="0" distB="0" distL="114300" distR="114300" simplePos="0" relativeHeight="251665408" behindDoc="0" locked="0" layoutInCell="1" allowOverlap="1">
                <wp:simplePos x="0" y="0"/>
                <wp:positionH relativeFrom="column">
                  <wp:posOffset>214409</wp:posOffset>
                </wp:positionH>
                <wp:positionV relativeFrom="paragraph">
                  <wp:posOffset>2067246</wp:posOffset>
                </wp:positionV>
                <wp:extent cx="5681195" cy="523982"/>
                <wp:effectExtent l="0" t="0" r="15240" b="28575"/>
                <wp:wrapNone/>
                <wp:docPr id="25" name="Группа 25"/>
                <wp:cNvGraphicFramePr/>
                <a:graphic xmlns:a="http://schemas.openxmlformats.org/drawingml/2006/main">
                  <a:graphicData uri="http://schemas.microsoft.com/office/word/2010/wordprocessingGroup">
                    <wpg:wgp>
                      <wpg:cNvGrpSpPr/>
                      <wpg:grpSpPr>
                        <a:xfrm>
                          <a:off x="0" y="0"/>
                          <a:ext cx="5681195" cy="523982"/>
                          <a:chOff x="0" y="0"/>
                          <a:chExt cx="5825447" cy="554804"/>
                        </a:xfrm>
                      </wpg:grpSpPr>
                      <wps:wsp>
                        <wps:cNvPr id="21" name="Прямоугольник 21"/>
                        <wps:cNvSpPr/>
                        <wps:spPr>
                          <a:xfrm>
                            <a:off x="0" y="0"/>
                            <a:ext cx="5825447" cy="277402"/>
                          </a:xfrm>
                          <a:prstGeom prst="rect">
                            <a:avLst/>
                          </a:prstGeom>
                        </wps:spPr>
                        <wps:style>
                          <a:lnRef idx="2">
                            <a:schemeClr val="dk1"/>
                          </a:lnRef>
                          <a:fillRef idx="1">
                            <a:schemeClr val="lt1"/>
                          </a:fillRef>
                          <a:effectRef idx="0">
                            <a:schemeClr val="dk1"/>
                          </a:effectRef>
                          <a:fontRef idx="minor">
                            <a:schemeClr val="dk1"/>
                          </a:fontRef>
                        </wps:style>
                        <wps:txbx>
                          <w:txbxContent>
                            <w:p w:rsidR="007534BA" w:rsidRDefault="007534BA" w:rsidP="0051021D">
                              <w:pPr>
                                <w:rPr>
                                  <w:lang w:val="en-US"/>
                                </w:rPr>
                              </w:pPr>
                              <w:r w:rsidRPr="0051021D">
                                <w:rPr>
                                  <w:lang w:val="en-US"/>
                                </w:rPr>
                                <w:t xml:space="preserve">I    II   </w:t>
                              </w:r>
                              <w:proofErr w:type="gramStart"/>
                              <w:r w:rsidRPr="0051021D">
                                <w:rPr>
                                  <w:lang w:val="en-US"/>
                                </w:rPr>
                                <w:t>III  IV</w:t>
                              </w:r>
                              <w:proofErr w:type="gramEnd"/>
                              <w:r w:rsidRPr="0051021D">
                                <w:rPr>
                                  <w:lang w:val="en-US"/>
                                </w:rPr>
                                <w:t xml:space="preserve">   I    II   III  IV    I    II   III   IV   I    II   III   IV  I    II    III  IV   I    II   III  IV   I    II   III   IV</w:t>
                              </w:r>
                              <w:r>
                                <w:rPr>
                                  <w:lang w:val="en-US"/>
                                </w:rPr>
                                <w:t xml:space="preserve">  </w:t>
                              </w:r>
                              <w:r w:rsidRPr="0051021D">
                                <w:rPr>
                                  <w:lang w:val="en-US"/>
                                </w:rPr>
                                <w:t xml:space="preserve"> I   II  III  </w:t>
                              </w:r>
                              <w:r w:rsidRPr="0051021D">
                                <w:rPr>
                                  <w:sz w:val="20"/>
                                  <w:szCs w:val="20"/>
                                  <w:lang w:val="en-US"/>
                                </w:rPr>
                                <w:t>IV</w:t>
                              </w:r>
                            </w:p>
                            <w:p w:rsidR="007534BA" w:rsidRPr="0051021D" w:rsidRDefault="007534BA" w:rsidP="0051021D">
                              <w:pPr>
                                <w:jc w:val="center"/>
                                <w:rPr>
                                  <w:lang w:val="en-US"/>
                                </w:rPr>
                              </w:pPr>
                              <w:r w:rsidRPr="0051021D">
                                <w:rPr>
                                  <w:lang w:val="en-US"/>
                                </w:rPr>
                                <w:tab/>
                              </w:r>
                            </w:p>
                            <w:p w:rsidR="007534BA" w:rsidRPr="0051021D" w:rsidRDefault="007534BA" w:rsidP="0051021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0" y="277402"/>
                            <a:ext cx="5824855" cy="277402"/>
                          </a:xfrm>
                          <a:prstGeom prst="rect">
                            <a:avLst/>
                          </a:prstGeom>
                        </wps:spPr>
                        <wps:style>
                          <a:lnRef idx="2">
                            <a:schemeClr val="dk1"/>
                          </a:lnRef>
                          <a:fillRef idx="1">
                            <a:schemeClr val="lt1"/>
                          </a:fillRef>
                          <a:effectRef idx="0">
                            <a:schemeClr val="dk1"/>
                          </a:effectRef>
                          <a:fontRef idx="minor">
                            <a:schemeClr val="dk1"/>
                          </a:fontRef>
                        </wps:style>
                        <wps:txbx>
                          <w:txbxContent>
                            <w:p w:rsidR="007534BA" w:rsidRPr="0051021D" w:rsidRDefault="007534BA" w:rsidP="0051021D">
                              <w:pPr>
                                <w:rPr>
                                  <w:rFonts w:ascii="Times New Roman" w:hAnsi="Times New Roman" w:cs="Times New Roman"/>
                                  <w:sz w:val="20"/>
                                  <w:szCs w:val="20"/>
                                  <w:lang w:val="en-US"/>
                                </w:rPr>
                              </w:pPr>
                              <w:r>
                                <w:rPr>
                                  <w:rFonts w:ascii="Times New Roman" w:hAnsi="Times New Roman" w:cs="Times New Roman"/>
                                  <w:sz w:val="20"/>
                                  <w:szCs w:val="20"/>
                                </w:rPr>
                                <w:t xml:space="preserve">    </w:t>
                              </w:r>
                              <w:r w:rsidRPr="0051021D">
                                <w:rPr>
                                  <w:rFonts w:ascii="Times New Roman" w:hAnsi="Times New Roman" w:cs="Times New Roman"/>
                                  <w:sz w:val="20"/>
                                  <w:szCs w:val="20"/>
                                </w:rPr>
                                <w:t>2014</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2015</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2016</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2017</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2018</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2019</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2020</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2021</w:t>
                              </w:r>
                            </w:p>
                            <w:p w:rsidR="007534BA" w:rsidRDefault="007534BA" w:rsidP="00510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5" o:spid="_x0000_s1041" style="position:absolute;left:0;text-align:left;margin-left:16.9pt;margin-top:162.8pt;width:447.35pt;height:41.25pt;z-index:251665408;mso-width-relative:margin;mso-height-relative:margin" coordsize="5825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">
                <v:rect id="Прямоугольник 21" o:spid="_x0000_s1042" style="position:absolute;width:58254;height:2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7534BA" w:rsidRDefault="007534BA" w:rsidP="0051021D">
                        <w:pPr>
                          <w:rPr>
                            <w:lang w:val="en-US"/>
                          </w:rPr>
                        </w:pPr>
                        <w:r w:rsidRPr="0051021D">
                          <w:rPr>
                            <w:lang w:val="en-US"/>
                          </w:rPr>
                          <w:t xml:space="preserve">I    II   </w:t>
                        </w:r>
                        <w:proofErr w:type="gramStart"/>
                        <w:r w:rsidRPr="0051021D">
                          <w:rPr>
                            <w:lang w:val="en-US"/>
                          </w:rPr>
                          <w:t>III  IV</w:t>
                        </w:r>
                        <w:proofErr w:type="gramEnd"/>
                        <w:r w:rsidRPr="0051021D">
                          <w:rPr>
                            <w:lang w:val="en-US"/>
                          </w:rPr>
                          <w:t xml:space="preserve">   I    II   III  IV    I    II   III   IV   I    II   III   IV  I    II    III  IV   I    II   III  IV   I    II   III   IV</w:t>
                        </w:r>
                        <w:r>
                          <w:rPr>
                            <w:lang w:val="en-US"/>
                          </w:rPr>
                          <w:t xml:space="preserve">  </w:t>
                        </w:r>
                        <w:r w:rsidRPr="0051021D">
                          <w:rPr>
                            <w:lang w:val="en-US"/>
                          </w:rPr>
                          <w:t xml:space="preserve"> I   II  III  </w:t>
                        </w:r>
                        <w:r w:rsidRPr="0051021D">
                          <w:rPr>
                            <w:sz w:val="20"/>
                            <w:szCs w:val="20"/>
                            <w:lang w:val="en-US"/>
                          </w:rPr>
                          <w:t>IV</w:t>
                        </w:r>
                      </w:p>
                      <w:p w:rsidR="007534BA" w:rsidRPr="0051021D" w:rsidRDefault="007534BA" w:rsidP="0051021D">
                        <w:pPr>
                          <w:jc w:val="center"/>
                          <w:rPr>
                            <w:lang w:val="en-US"/>
                          </w:rPr>
                        </w:pPr>
                        <w:r w:rsidRPr="0051021D">
                          <w:rPr>
                            <w:lang w:val="en-US"/>
                          </w:rPr>
                          <w:tab/>
                        </w:r>
                      </w:p>
                      <w:p w:rsidR="007534BA" w:rsidRPr="0051021D" w:rsidRDefault="007534BA" w:rsidP="0051021D">
                        <w:pPr>
                          <w:jc w:val="center"/>
                          <w:rPr>
                            <w:lang w:val="en-US"/>
                          </w:rPr>
                        </w:pPr>
                      </w:p>
                    </w:txbxContent>
                  </v:textbox>
                </v:rect>
                <v:rect id="Прямоугольник 24" o:spid="_x0000_s1043" style="position:absolute;top:2774;width:58248;height:2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sQA&#10;AADbAAAADwAAAGRycy9kb3ducmV2LnhtbESPT2vCQBTE74V+h+UVequbSrE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2LEAAAA2wAAAA8AAAAAAAAAAAAAAAAAmAIAAGRycy9k&#10;b3ducmV2LnhtbFBLBQYAAAAABAAEAPUAAACJAwAAAAA=&#10;" fillcolor="white [3201]" strokecolor="black [3200]" strokeweight="1pt">
                  <v:textbox>
                    <w:txbxContent>
                      <w:p w:rsidR="007534BA" w:rsidRPr="0051021D" w:rsidRDefault="007534BA" w:rsidP="0051021D">
                        <w:pPr>
                          <w:rPr>
                            <w:rFonts w:ascii="Times New Roman" w:hAnsi="Times New Roman" w:cs="Times New Roman"/>
                            <w:sz w:val="20"/>
                            <w:szCs w:val="20"/>
                            <w:lang w:val="en-US"/>
                          </w:rPr>
                        </w:pPr>
                        <w:r>
                          <w:rPr>
                            <w:rFonts w:ascii="Times New Roman" w:hAnsi="Times New Roman" w:cs="Times New Roman"/>
                            <w:sz w:val="20"/>
                            <w:szCs w:val="20"/>
                          </w:rPr>
                          <w:t xml:space="preserve">    </w:t>
                        </w:r>
                        <w:r w:rsidRPr="0051021D">
                          <w:rPr>
                            <w:rFonts w:ascii="Times New Roman" w:hAnsi="Times New Roman" w:cs="Times New Roman"/>
                            <w:sz w:val="20"/>
                            <w:szCs w:val="20"/>
                          </w:rPr>
                          <w:t>2014</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2015</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2016</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2017</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2018</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2019</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2020</w:t>
                        </w:r>
                        <w:r w:rsidRPr="0051021D">
                          <w:rPr>
                            <w:rFonts w:ascii="Times New Roman" w:hAnsi="Times New Roman" w:cs="Times New Roman"/>
                            <w:sz w:val="20"/>
                            <w:szCs w:val="20"/>
                          </w:rPr>
                          <w:tab/>
                        </w:r>
                        <w:r>
                          <w:rPr>
                            <w:rFonts w:ascii="Times New Roman" w:hAnsi="Times New Roman" w:cs="Times New Roman"/>
                            <w:sz w:val="20"/>
                            <w:szCs w:val="20"/>
                          </w:rPr>
                          <w:t xml:space="preserve">        </w:t>
                        </w:r>
                        <w:r w:rsidRPr="0051021D">
                          <w:rPr>
                            <w:rFonts w:ascii="Times New Roman" w:hAnsi="Times New Roman" w:cs="Times New Roman"/>
                            <w:sz w:val="20"/>
                            <w:szCs w:val="20"/>
                          </w:rPr>
                          <w:t>2021</w:t>
                        </w:r>
                      </w:p>
                      <w:p w:rsidR="007534BA" w:rsidRDefault="007534BA" w:rsidP="0051021D">
                        <w:pPr>
                          <w:jc w:val="center"/>
                        </w:pPr>
                      </w:p>
                    </w:txbxContent>
                  </v:textbox>
                </v:rect>
              </v:group>
            </w:pict>
          </mc:Fallback>
        </mc:AlternateContent>
      </w:r>
      <w:r w:rsidR="001A01B3" w:rsidRPr="00F31276">
        <w:rPr>
          <w:rFonts w:ascii="Calibri" w:eastAsia="Calibri" w:hAnsi="Calibri" w:cs="Calibri"/>
          <w:noProof/>
          <w:color w:val="181717"/>
          <w:lang w:eastAsia="ru-RU"/>
        </w:rPr>
        <w:drawing>
          <wp:inline distT="0" distB="0" distL="0" distR="0" wp14:anchorId="37B78B7B" wp14:editId="176EBB50">
            <wp:extent cx="5866544" cy="2056059"/>
            <wp:effectExtent l="0" t="0" r="1270" b="1905"/>
            <wp:docPr id="2" name="Picture 310462"/>
            <wp:cNvGraphicFramePr/>
            <a:graphic xmlns:a="http://schemas.openxmlformats.org/drawingml/2006/main">
              <a:graphicData uri="http://schemas.openxmlformats.org/drawingml/2006/picture">
                <pic:pic xmlns:pic="http://schemas.openxmlformats.org/drawingml/2006/picture">
                  <pic:nvPicPr>
                    <pic:cNvPr id="310462" name="Picture 310462"/>
                    <pic:cNvPicPr/>
                  </pic:nvPicPr>
                  <pic:blipFill>
                    <a:blip r:embed="rId9"/>
                    <a:stretch>
                      <a:fillRect/>
                    </a:stretch>
                  </pic:blipFill>
                  <pic:spPr>
                    <a:xfrm>
                      <a:off x="0" y="0"/>
                      <a:ext cx="5931954" cy="2078983"/>
                    </a:xfrm>
                    <a:prstGeom prst="rect">
                      <a:avLst/>
                    </a:prstGeom>
                  </pic:spPr>
                </pic:pic>
              </a:graphicData>
            </a:graphic>
          </wp:inline>
        </w:drawing>
      </w:r>
    </w:p>
    <w:p w:rsidR="0051021D" w:rsidRDefault="0051021D" w:rsidP="001A01B3">
      <w:pPr>
        <w:spacing w:after="25"/>
        <w:ind w:left="53"/>
        <w:rPr>
          <w:rFonts w:ascii="Calibri" w:eastAsia="Calibri" w:hAnsi="Calibri" w:cs="Calibri"/>
          <w:color w:val="181717"/>
          <w:lang w:eastAsia="ru-RU"/>
        </w:rPr>
      </w:pPr>
    </w:p>
    <w:p w:rsidR="0051021D" w:rsidRDefault="0051021D" w:rsidP="001A01B3">
      <w:pPr>
        <w:spacing w:after="25"/>
        <w:ind w:left="53"/>
        <w:rPr>
          <w:rFonts w:ascii="Calibri" w:eastAsia="Calibri" w:hAnsi="Calibri" w:cs="Calibri"/>
          <w:color w:val="181717"/>
          <w:lang w:eastAsia="ru-RU"/>
        </w:rPr>
      </w:pPr>
    </w:p>
    <w:p w:rsidR="0051021D" w:rsidRDefault="0051021D" w:rsidP="001A01B3">
      <w:pPr>
        <w:spacing w:after="25"/>
        <w:ind w:left="53"/>
        <w:rPr>
          <w:rFonts w:ascii="Calibri" w:eastAsia="Calibri" w:hAnsi="Calibri" w:cs="Calibri"/>
          <w:color w:val="181717"/>
          <w:lang w:eastAsia="ru-RU"/>
        </w:rPr>
      </w:pPr>
    </w:p>
    <w:p w:rsidR="001A01B3" w:rsidRPr="00F31276" w:rsidRDefault="001A01B3" w:rsidP="001A01B3">
      <w:pPr>
        <w:tabs>
          <w:tab w:val="center" w:pos="1372"/>
          <w:tab w:val="center" w:pos="2935"/>
        </w:tabs>
        <w:spacing w:after="73"/>
        <w:rPr>
          <w:rFonts w:ascii="Calibri" w:eastAsia="Calibri" w:hAnsi="Calibri" w:cs="Calibri"/>
          <w:color w:val="181717"/>
          <w:lang w:eastAsia="ru-RU"/>
        </w:rPr>
      </w:pPr>
      <w:r w:rsidRPr="00F31276">
        <w:rPr>
          <w:rFonts w:ascii="Calibri" w:eastAsia="Calibri" w:hAnsi="Calibri" w:cs="Calibri"/>
          <w:color w:val="000000"/>
          <w:lang w:eastAsia="ru-RU"/>
        </w:rPr>
        <w:tab/>
      </w:r>
      <w:r w:rsidRPr="00F31276">
        <w:rPr>
          <w:rFonts w:ascii="Calibri" w:eastAsia="Calibri" w:hAnsi="Calibri" w:cs="Calibri"/>
          <w:noProof/>
          <w:color w:val="000000"/>
          <w:lang w:eastAsia="ru-RU"/>
        </w:rPr>
        <mc:AlternateContent>
          <mc:Choice Requires="wpg">
            <w:drawing>
              <wp:inline distT="0" distB="0" distL="0" distR="0" wp14:anchorId="64EB62D6" wp14:editId="353BA26E">
                <wp:extent cx="381000" cy="38100"/>
                <wp:effectExtent l="0" t="0" r="0" b="0"/>
                <wp:docPr id="254904" name="Group 254904"/>
                <wp:cNvGraphicFramePr/>
                <a:graphic xmlns:a="http://schemas.openxmlformats.org/drawingml/2006/main">
                  <a:graphicData uri="http://schemas.microsoft.com/office/word/2010/wordprocessingGroup">
                    <wpg:wgp>
                      <wpg:cNvGrpSpPr/>
                      <wpg:grpSpPr>
                        <a:xfrm>
                          <a:off x="0" y="0"/>
                          <a:ext cx="381000" cy="38100"/>
                          <a:chOff x="0" y="0"/>
                          <a:chExt cx="381000" cy="38100"/>
                        </a:xfrm>
                      </wpg:grpSpPr>
                      <wps:wsp>
                        <wps:cNvPr id="21351" name="Shape 21351"/>
                        <wps:cNvSpPr/>
                        <wps:spPr>
                          <a:xfrm>
                            <a:off x="0" y="0"/>
                            <a:ext cx="381000" cy="0"/>
                          </a:xfrm>
                          <a:custGeom>
                            <a:avLst/>
                            <a:gdLst/>
                            <a:ahLst/>
                            <a:cxnLst/>
                            <a:rect l="0" t="0" r="0" b="0"/>
                            <a:pathLst>
                              <a:path w="381000">
                                <a:moveTo>
                                  <a:pt x="0" y="0"/>
                                </a:moveTo>
                                <a:lnTo>
                                  <a:pt x="381000" y="0"/>
                                </a:lnTo>
                              </a:path>
                            </a:pathLst>
                          </a:custGeom>
                          <a:noFill/>
                          <a:ln w="38100" cap="flat" cmpd="sng" algn="ctr">
                            <a:solidFill>
                              <a:srgbClr val="A5531A"/>
                            </a:solidFill>
                            <a:prstDash val="solid"/>
                            <a:round/>
                          </a:ln>
                          <a:effectLst/>
                        </wps:spPr>
                        <wps:bodyPr/>
                      </wps:wsp>
                    </wpg:wgp>
                  </a:graphicData>
                </a:graphic>
              </wp:inline>
            </w:drawing>
          </mc:Choice>
          <mc:Fallback>
            <w:pict>
              <v:group w14:anchorId="4FD50477" id="Group 254904" o:spid="_x0000_s1026" style="width:30pt;height:3pt;mso-position-horizontal-relative:char;mso-position-vertical-relative:line" coordsize="3810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">
                <v:shape id="Shape 21351" o:spid="_x0000_s1027" style="position:absolute;width:381000;height:0;visibility:visible;mso-wrap-style:square;v-text-anchor:top" coordsize="38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8S8YA&#10;AADeAAAADwAAAGRycy9kb3ducmV2LnhtbESP3WrCQBSE74W+w3IKvdNNLAabukqpPyje2NQHOGSP&#10;Sdrs2ZBdY3x7VxC8HGbmG2a26E0tOmpdZVlBPIpAEOdWV1woOP6uh1MQziNrrC2Tgis5WMxfBjNM&#10;tb3wD3WZL0SAsEtRQel9k0rp8pIMupFtiIN3sq1BH2RbSN3iJcBNLcdRlEiDFYeFEhv6Lin/z85G&#10;wWF59Ju//cnuXNJ9JLt82mcrp9Tba//1CcJT75/hR3urFYzj90kM9zvh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n8S8YAAADeAAAADwAAAAAAAAAAAAAAAACYAgAAZHJz&#10;L2Rvd25yZXYueG1sUEsFBgAAAAAEAAQA9QAAAIsDAAAAAA==&#10;" path="m,l381000,e" filled="f" strokecolor="#a5531a" strokeweight="3pt">
                  <v:path arrowok="t" textboxrect="0,0,381000,0"/>
                </v:shape>
                <w10:anchorlock/>
              </v:group>
            </w:pict>
          </mc:Fallback>
        </mc:AlternateContent>
      </w:r>
      <w:r>
        <w:rPr>
          <w:rFonts w:ascii="Calibri" w:eastAsia="Calibri" w:hAnsi="Calibri" w:cs="Calibri"/>
          <w:color w:val="000000"/>
          <w:sz w:val="16"/>
          <w:lang w:eastAsia="ru-RU"/>
        </w:rPr>
        <w:t xml:space="preserve"> </w:t>
      </w:r>
      <w:proofErr w:type="gramStart"/>
      <w:r>
        <w:rPr>
          <w:rFonts w:ascii="Calibri" w:eastAsia="Calibri" w:hAnsi="Calibri" w:cs="Calibri"/>
          <w:color w:val="000000"/>
          <w:sz w:val="16"/>
          <w:lang w:eastAsia="ru-RU"/>
        </w:rPr>
        <w:t xml:space="preserve">Базовый </w:t>
      </w:r>
      <w:r w:rsidRPr="00F31276">
        <w:rPr>
          <w:rFonts w:ascii="Calibri" w:eastAsia="Calibri" w:hAnsi="Calibri" w:cs="Calibri"/>
          <w:noProof/>
          <w:color w:val="000000"/>
          <w:lang w:eastAsia="ru-RU"/>
        </w:rPr>
        <mc:AlternateContent>
          <mc:Choice Requires="wpg">
            <w:drawing>
              <wp:inline distT="0" distB="0" distL="0" distR="0" wp14:anchorId="4BD32503" wp14:editId="7E3FAFC4">
                <wp:extent cx="381000" cy="38100"/>
                <wp:effectExtent l="0" t="0" r="0" b="0"/>
                <wp:docPr id="254905" name="Group 254905"/>
                <wp:cNvGraphicFramePr/>
                <a:graphic xmlns:a="http://schemas.openxmlformats.org/drawingml/2006/main">
                  <a:graphicData uri="http://schemas.microsoft.com/office/word/2010/wordprocessingGroup">
                    <wpg:wgp>
                      <wpg:cNvGrpSpPr/>
                      <wpg:grpSpPr>
                        <a:xfrm>
                          <a:off x="0" y="0"/>
                          <a:ext cx="381000" cy="38100"/>
                          <a:chOff x="0" y="0"/>
                          <a:chExt cx="381000" cy="38100"/>
                        </a:xfrm>
                      </wpg:grpSpPr>
                      <wps:wsp>
                        <wps:cNvPr id="21353" name="Shape 21353"/>
                        <wps:cNvSpPr/>
                        <wps:spPr>
                          <a:xfrm>
                            <a:off x="0" y="0"/>
                            <a:ext cx="381000" cy="0"/>
                          </a:xfrm>
                          <a:custGeom>
                            <a:avLst/>
                            <a:gdLst/>
                            <a:ahLst/>
                            <a:cxnLst/>
                            <a:rect l="0" t="0" r="0" b="0"/>
                            <a:pathLst>
                              <a:path w="381000">
                                <a:moveTo>
                                  <a:pt x="0" y="0"/>
                                </a:moveTo>
                                <a:lnTo>
                                  <a:pt x="381000" y="0"/>
                                </a:lnTo>
                              </a:path>
                            </a:pathLst>
                          </a:custGeom>
                          <a:noFill/>
                          <a:ln w="38100" cap="flat" cmpd="sng" algn="ctr">
                            <a:solidFill>
                              <a:srgbClr val="545233"/>
                            </a:solidFill>
                            <a:custDash>
                              <a:ds d="900000" sp="300000"/>
                            </a:custDash>
                            <a:round/>
                          </a:ln>
                          <a:effectLst/>
                        </wps:spPr>
                        <wps:bodyPr/>
                      </wps:wsp>
                    </wpg:wgp>
                  </a:graphicData>
                </a:graphic>
              </wp:inline>
            </w:drawing>
          </mc:Choice>
          <mc:Fallback>
            <w:pict>
              <v:group w14:anchorId="10959C48" id="Group 254905" o:spid="_x0000_s1026" style="width:30pt;height:3pt;mso-position-horizontal-relative:char;mso-position-vertical-relative:line" coordsize="3810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">
                <v:shape id="Shape 21353" o:spid="_x0000_s1027" style="position:absolute;width:381000;height:0;visibility:visible;mso-wrap-style:square;v-text-anchor:top" coordsize="38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9sMcA&#10;AADeAAAADwAAAGRycy9kb3ducmV2LnhtbESPQWvCQBSE7wX/w/IK3upGxaLRVSQgerDUpl68PbPP&#10;JDT7NuyuJv333UKhx2FmvmFWm9404kHO15YVjEcJCOLC6ppLBefP3cschA/IGhvLpOCbPGzWg6cV&#10;ptp2/EGPPJQiQtinqKAKoU2l9EVFBv3ItsTRu1lnMETpSqkddhFuGjlJkldpsOa4UGFLWUXFV343&#10;ClxxXWQHvT2e3jp9fw/zfH/xmVLD5367BBGoD//hv/ZBK5iMp7Mp/N6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vbDHAAAA3gAAAA8AAAAAAAAAAAAAAAAAmAIAAGRy&#10;cy9kb3ducmV2LnhtbFBLBQYAAAAABAAEAPUAAACMAwAAAAA=&#10;" path="m,l381000,e" filled="f" strokecolor="#545233" strokeweight="3pt">
                  <v:path arrowok="t" textboxrect="0,0,381000,0"/>
                </v:shape>
                <w10:anchorlock/>
              </v:group>
            </w:pict>
          </mc:Fallback>
        </mc:AlternateContent>
      </w:r>
      <w:r>
        <w:rPr>
          <w:rFonts w:ascii="Calibri" w:eastAsia="Calibri" w:hAnsi="Calibri" w:cs="Calibri"/>
          <w:color w:val="000000"/>
          <w:sz w:val="16"/>
          <w:lang w:eastAsia="ru-RU"/>
        </w:rPr>
        <w:t xml:space="preserve"> Среднесрочная</w:t>
      </w:r>
      <w:proofErr w:type="gramEnd"/>
      <w:r>
        <w:rPr>
          <w:rFonts w:ascii="Calibri" w:eastAsia="Calibri" w:hAnsi="Calibri" w:cs="Calibri"/>
          <w:color w:val="000000"/>
          <w:sz w:val="16"/>
          <w:lang w:eastAsia="ru-RU"/>
        </w:rPr>
        <w:t xml:space="preserve"> цель</w:t>
      </w:r>
    </w:p>
    <w:p w:rsidR="001A01B3" w:rsidRPr="00F31276" w:rsidRDefault="001A01B3" w:rsidP="001A01B3">
      <w:pPr>
        <w:tabs>
          <w:tab w:val="left" w:pos="1134"/>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proofErr w:type="gramStart"/>
      <w:r>
        <w:rPr>
          <w:rFonts w:ascii="Times New Roman" w:eastAsia="Calibri" w:hAnsi="Times New Roman" w:cs="Times New Roman"/>
          <w:sz w:val="28"/>
          <w:szCs w:val="28"/>
        </w:rPr>
        <w:t>3</w:t>
      </w:r>
      <w:r w:rsidR="008F378E">
        <w:rPr>
          <w:rFonts w:ascii="Times New Roman" w:eastAsia="Calibri" w:hAnsi="Times New Roman" w:cs="Times New Roman"/>
          <w:sz w:val="28"/>
          <w:szCs w:val="28"/>
        </w:rPr>
        <w:t xml:space="preserve"> </w:t>
      </w:r>
      <w:r w:rsidR="008F378E">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Ожидаемые</w:t>
      </w:r>
      <w:proofErr w:type="gramEnd"/>
      <w:r>
        <w:rPr>
          <w:rFonts w:ascii="Times New Roman" w:eastAsia="Calibri" w:hAnsi="Times New Roman" w:cs="Times New Roman"/>
          <w:sz w:val="28"/>
          <w:szCs w:val="28"/>
        </w:rPr>
        <w:t xml:space="preserve"> темпы инфляции </w:t>
      </w:r>
      <w:r w:rsidRPr="00F31276">
        <w:rPr>
          <w:rFonts w:ascii="Times New Roman" w:eastAsia="Calibri" w:hAnsi="Times New Roman" w:cs="Times New Roman"/>
          <w:sz w:val="28"/>
          <w:szCs w:val="28"/>
        </w:rPr>
        <w:t>(% к соответствующему периоду предыдущего года)</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 xml:space="preserve"> Данные колебания естественны, учитывая, что цены формируются под влиянием множества факторов и в экономике действует сложная цепочка взаимосвязей.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При этом денежно-кре</w:t>
      </w:r>
      <w:r w:rsidR="00E00CA6">
        <w:rPr>
          <w:rFonts w:ascii="Times New Roman" w:eastAsia="Calibri" w:hAnsi="Times New Roman" w:cs="Times New Roman"/>
          <w:sz w:val="28"/>
          <w:szCs w:val="28"/>
        </w:rPr>
        <w:t>дитная политика воздействует на</w:t>
      </w:r>
      <w:r w:rsidRPr="00A043ED">
        <w:rPr>
          <w:rFonts w:ascii="Times New Roman" w:eastAsia="Calibri" w:hAnsi="Times New Roman" w:cs="Times New Roman"/>
          <w:sz w:val="28"/>
          <w:szCs w:val="28"/>
        </w:rPr>
        <w:t xml:space="preserve"> динамику цен не напрямую, а опосредованно и в течение определенного времени, </w:t>
      </w:r>
      <w:proofErr w:type="gramStart"/>
      <w:r w:rsidRPr="00A043ED">
        <w:rPr>
          <w:rFonts w:ascii="Times New Roman" w:eastAsia="Calibri" w:hAnsi="Times New Roman" w:cs="Times New Roman"/>
          <w:sz w:val="28"/>
          <w:szCs w:val="28"/>
        </w:rPr>
        <w:t>то  есть</w:t>
      </w:r>
      <w:proofErr w:type="gramEnd"/>
      <w:r w:rsidRPr="00A043ED">
        <w:rPr>
          <w:rFonts w:ascii="Times New Roman" w:eastAsia="Calibri" w:hAnsi="Times New Roman" w:cs="Times New Roman"/>
          <w:sz w:val="28"/>
          <w:szCs w:val="28"/>
        </w:rPr>
        <w:t xml:space="preserve"> ее мерами невозможно обеспечить достижение це</w:t>
      </w:r>
      <w:r w:rsidR="00E00CA6">
        <w:rPr>
          <w:rFonts w:ascii="Times New Roman" w:eastAsia="Calibri" w:hAnsi="Times New Roman" w:cs="Times New Roman"/>
          <w:sz w:val="28"/>
          <w:szCs w:val="28"/>
        </w:rPr>
        <w:t>ли с высокой точностью. Цель по</w:t>
      </w:r>
      <w:r w:rsidRPr="00A043ED">
        <w:rPr>
          <w:rFonts w:ascii="Times New Roman" w:eastAsia="Calibri" w:hAnsi="Times New Roman" w:cs="Times New Roman"/>
          <w:sz w:val="28"/>
          <w:szCs w:val="28"/>
        </w:rPr>
        <w:t xml:space="preserve"> инфляции установлена для годового темпа прироста потребительских цен, то есть изменения за год общего уровня цен на товары и услуги, приобретаемые населением. Темп прироста потре</w:t>
      </w:r>
      <w:r w:rsidR="00E00CA6">
        <w:rPr>
          <w:rFonts w:ascii="Times New Roman" w:eastAsia="Calibri" w:hAnsi="Times New Roman" w:cs="Times New Roman"/>
          <w:sz w:val="28"/>
          <w:szCs w:val="28"/>
        </w:rPr>
        <w:t>бительских цен определяется на </w:t>
      </w:r>
      <w:r w:rsidRPr="00A043ED">
        <w:rPr>
          <w:rFonts w:ascii="Times New Roman" w:eastAsia="Calibri" w:hAnsi="Times New Roman" w:cs="Times New Roman"/>
          <w:sz w:val="28"/>
          <w:szCs w:val="28"/>
        </w:rPr>
        <w:t>основе индекса потребительских цен (ИПЦ), рассчитываемого Росстатом по России. Таким образом, денежно-кр</w:t>
      </w:r>
      <w:r w:rsidR="00E00CA6">
        <w:rPr>
          <w:rFonts w:ascii="Times New Roman" w:eastAsia="Calibri" w:hAnsi="Times New Roman" w:cs="Times New Roman"/>
          <w:sz w:val="28"/>
          <w:szCs w:val="28"/>
        </w:rPr>
        <w:t>едитная политика направлена на </w:t>
      </w:r>
      <w:r w:rsidRPr="00A043ED">
        <w:rPr>
          <w:rFonts w:ascii="Times New Roman" w:eastAsia="Calibri" w:hAnsi="Times New Roman" w:cs="Times New Roman"/>
          <w:sz w:val="28"/>
          <w:szCs w:val="28"/>
        </w:rPr>
        <w:t xml:space="preserve">поддержание общей инфляции вблизи 4%. Это означает, что на рынках разных товаров и услуг в различных регионах может наблюдаться некоторый разброс в динамике темпов роста цен </w:t>
      </w:r>
      <w:r>
        <w:rPr>
          <w:rFonts w:ascii="Times New Roman" w:eastAsia="Calibri" w:hAnsi="Times New Roman" w:cs="Times New Roman"/>
          <w:sz w:val="28"/>
          <w:szCs w:val="28"/>
        </w:rPr>
        <w:t>около 4% из-за </w:t>
      </w:r>
      <w:r w:rsidRPr="00A043ED">
        <w:rPr>
          <w:rFonts w:ascii="Times New Roman" w:eastAsia="Calibri" w:hAnsi="Times New Roman" w:cs="Times New Roman"/>
          <w:sz w:val="28"/>
          <w:szCs w:val="28"/>
        </w:rPr>
        <w:t>действия специфических, лока</w:t>
      </w:r>
      <w:r w:rsidR="00E00CA6">
        <w:rPr>
          <w:rFonts w:ascii="Times New Roman" w:eastAsia="Calibri" w:hAnsi="Times New Roman" w:cs="Times New Roman"/>
          <w:sz w:val="28"/>
          <w:szCs w:val="28"/>
        </w:rPr>
        <w:t xml:space="preserve">льных факторов. Банк России </w:t>
      </w:r>
      <w:r w:rsidR="00E00CA6">
        <w:rPr>
          <w:rFonts w:ascii="Times New Roman" w:eastAsia="Calibri" w:hAnsi="Times New Roman" w:cs="Times New Roman"/>
          <w:sz w:val="28"/>
          <w:szCs w:val="28"/>
        </w:rPr>
        <w:lastRenderedPageBreak/>
        <w:t>не </w:t>
      </w:r>
      <w:r w:rsidRPr="00A043ED">
        <w:rPr>
          <w:rFonts w:ascii="Times New Roman" w:eastAsia="Calibri" w:hAnsi="Times New Roman" w:cs="Times New Roman"/>
          <w:sz w:val="28"/>
          <w:szCs w:val="28"/>
        </w:rPr>
        <w:t xml:space="preserve">устанавливает дату или период времени для достижения цели </w:t>
      </w:r>
      <w:proofErr w:type="gramStart"/>
      <w:r w:rsidRPr="00A043ED">
        <w:rPr>
          <w:rFonts w:ascii="Times New Roman" w:eastAsia="Calibri" w:hAnsi="Times New Roman" w:cs="Times New Roman"/>
          <w:sz w:val="28"/>
          <w:szCs w:val="28"/>
        </w:rPr>
        <w:t>по  инфляции</w:t>
      </w:r>
      <w:proofErr w:type="gramEnd"/>
      <w:r w:rsidRPr="00A043ED">
        <w:rPr>
          <w:rFonts w:ascii="Times New Roman" w:eastAsia="Calibri" w:hAnsi="Times New Roman" w:cs="Times New Roman"/>
          <w:sz w:val="28"/>
          <w:szCs w:val="28"/>
        </w:rPr>
        <w:t xml:space="preserve"> и  стремится поддерживать инфляцию вблизи 4% постоянно. Таким образом, Банк России подчеркивает максимальную направленность денежно</w:t>
      </w:r>
      <w:r w:rsidR="002847D8">
        <w:rPr>
          <w:rFonts w:ascii="Times New Roman" w:eastAsia="Calibri" w:hAnsi="Times New Roman" w:cs="Times New Roman"/>
          <w:sz w:val="28"/>
          <w:szCs w:val="28"/>
        </w:rPr>
        <w:t>-кредитной политики на </w:t>
      </w:r>
      <w:r w:rsidRPr="00A043ED">
        <w:rPr>
          <w:rFonts w:ascii="Times New Roman" w:eastAsia="Calibri" w:hAnsi="Times New Roman" w:cs="Times New Roman"/>
          <w:sz w:val="28"/>
          <w:szCs w:val="28"/>
        </w:rPr>
        <w:t>поддержание ценовой стабильности, предполагающей постоянное сохранение инфляции на низком уровне. В случае появления факторов, которые приведут к отклонению от цели, или непредв</w:t>
      </w:r>
      <w:r w:rsidR="002847D8">
        <w:rPr>
          <w:rFonts w:ascii="Times New Roman" w:eastAsia="Calibri" w:hAnsi="Times New Roman" w:cs="Times New Roman"/>
          <w:sz w:val="28"/>
          <w:szCs w:val="28"/>
        </w:rPr>
        <w:t xml:space="preserve">иденного отклонения инфляции от </w:t>
      </w:r>
      <w:r w:rsidRPr="00A043ED">
        <w:rPr>
          <w:rFonts w:ascii="Times New Roman" w:eastAsia="Calibri" w:hAnsi="Times New Roman" w:cs="Times New Roman"/>
          <w:sz w:val="28"/>
          <w:szCs w:val="28"/>
        </w:rPr>
        <w:t>цели Банк России будет оценивать его продолжительность и исход</w:t>
      </w:r>
      <w:r w:rsidR="002847D8">
        <w:rPr>
          <w:rFonts w:ascii="Times New Roman" w:eastAsia="Calibri" w:hAnsi="Times New Roman" w:cs="Times New Roman"/>
          <w:sz w:val="28"/>
          <w:szCs w:val="28"/>
        </w:rPr>
        <w:t>я из этого принимать решения о </w:t>
      </w:r>
      <w:r w:rsidRPr="00A043ED">
        <w:rPr>
          <w:rFonts w:ascii="Times New Roman" w:eastAsia="Calibri" w:hAnsi="Times New Roman" w:cs="Times New Roman"/>
          <w:sz w:val="28"/>
          <w:szCs w:val="28"/>
        </w:rPr>
        <w:t>необходимости использования мер денежно-кредитной полит</w:t>
      </w:r>
      <w:r w:rsidR="00E00CA6">
        <w:rPr>
          <w:rFonts w:ascii="Times New Roman" w:eastAsia="Calibri" w:hAnsi="Times New Roman" w:cs="Times New Roman"/>
          <w:sz w:val="28"/>
          <w:szCs w:val="28"/>
        </w:rPr>
        <w:t>ики для возвращения инфляции к </w:t>
      </w:r>
      <w:r w:rsidRPr="00A043ED">
        <w:rPr>
          <w:rFonts w:ascii="Times New Roman" w:eastAsia="Calibri" w:hAnsi="Times New Roman" w:cs="Times New Roman"/>
          <w:sz w:val="28"/>
          <w:szCs w:val="28"/>
        </w:rPr>
        <w:t>цели. С</w:t>
      </w:r>
      <w:r w:rsidR="002847D8">
        <w:rPr>
          <w:rFonts w:ascii="Times New Roman" w:eastAsia="Calibri" w:hAnsi="Times New Roman" w:cs="Times New Roman"/>
          <w:sz w:val="28"/>
          <w:szCs w:val="28"/>
        </w:rPr>
        <w:t>корость возвращения инфляции к </w:t>
      </w:r>
      <w:r w:rsidRPr="00A043ED">
        <w:rPr>
          <w:rFonts w:ascii="Times New Roman" w:eastAsia="Calibri" w:hAnsi="Times New Roman" w:cs="Times New Roman"/>
          <w:sz w:val="28"/>
          <w:szCs w:val="28"/>
        </w:rPr>
        <w:t>цели будет выбираться с учетом влияния решений по ключевой ставке на финансовый сектор и экономическую активность.</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Банк России принимает решения по денежно-кредитной политике н</w:t>
      </w:r>
      <w:r w:rsidR="002847D8">
        <w:rPr>
          <w:rFonts w:ascii="Times New Roman" w:eastAsia="Calibri" w:hAnsi="Times New Roman" w:cs="Times New Roman"/>
          <w:sz w:val="28"/>
          <w:szCs w:val="28"/>
        </w:rPr>
        <w:t>а </w:t>
      </w:r>
      <w:r w:rsidRPr="00A043ED">
        <w:rPr>
          <w:rFonts w:ascii="Times New Roman" w:eastAsia="Calibri" w:hAnsi="Times New Roman" w:cs="Times New Roman"/>
          <w:sz w:val="28"/>
          <w:szCs w:val="28"/>
        </w:rPr>
        <w:t>основе макроэкономического прогноза. Дене</w:t>
      </w:r>
      <w:r w:rsidR="002847D8">
        <w:rPr>
          <w:rFonts w:ascii="Times New Roman" w:eastAsia="Calibri" w:hAnsi="Times New Roman" w:cs="Times New Roman"/>
          <w:sz w:val="28"/>
          <w:szCs w:val="28"/>
        </w:rPr>
        <w:t>жно</w:t>
      </w:r>
      <w:r w:rsidR="00E00CA6">
        <w:rPr>
          <w:rFonts w:ascii="Times New Roman" w:eastAsia="Calibri" w:hAnsi="Times New Roman" w:cs="Times New Roman"/>
          <w:sz w:val="28"/>
          <w:szCs w:val="28"/>
        </w:rPr>
        <w:t>-</w:t>
      </w:r>
      <w:r w:rsidR="002847D8">
        <w:rPr>
          <w:rFonts w:ascii="Times New Roman" w:eastAsia="Calibri" w:hAnsi="Times New Roman" w:cs="Times New Roman"/>
          <w:sz w:val="28"/>
          <w:szCs w:val="28"/>
        </w:rPr>
        <w:t>кредитная политика влияет на динамику цен не </w:t>
      </w:r>
      <w:r w:rsidR="00E00CA6">
        <w:rPr>
          <w:rFonts w:ascii="Times New Roman" w:eastAsia="Calibri" w:hAnsi="Times New Roman" w:cs="Times New Roman"/>
          <w:sz w:val="28"/>
          <w:szCs w:val="28"/>
        </w:rPr>
        <w:t>сразу, а</w:t>
      </w:r>
      <w:r w:rsidRPr="00A043ED">
        <w:rPr>
          <w:rFonts w:ascii="Times New Roman" w:eastAsia="Calibri" w:hAnsi="Times New Roman" w:cs="Times New Roman"/>
          <w:sz w:val="28"/>
          <w:szCs w:val="28"/>
        </w:rPr>
        <w:t xml:space="preserve"> </w:t>
      </w:r>
      <w:proofErr w:type="gramStart"/>
      <w:r w:rsidRPr="00A043ED">
        <w:rPr>
          <w:rFonts w:ascii="Times New Roman" w:eastAsia="Calibri" w:hAnsi="Times New Roman" w:cs="Times New Roman"/>
          <w:sz w:val="28"/>
          <w:szCs w:val="28"/>
        </w:rPr>
        <w:t>со  временем</w:t>
      </w:r>
      <w:proofErr w:type="gramEnd"/>
      <w:r w:rsidRPr="00A043ED">
        <w:rPr>
          <w:rFonts w:ascii="Times New Roman" w:eastAsia="Calibri" w:hAnsi="Times New Roman" w:cs="Times New Roman"/>
          <w:sz w:val="28"/>
          <w:szCs w:val="28"/>
        </w:rPr>
        <w:t>, через длинную цепочку взаимосвязей  – трансми</w:t>
      </w:r>
      <w:r w:rsidR="00E00CA6">
        <w:rPr>
          <w:rFonts w:ascii="Times New Roman" w:eastAsia="Calibri" w:hAnsi="Times New Roman" w:cs="Times New Roman"/>
          <w:sz w:val="28"/>
          <w:szCs w:val="28"/>
        </w:rPr>
        <w:t>ссионный механизм</w:t>
      </w:r>
      <w:r w:rsidRPr="00A043ED">
        <w:rPr>
          <w:rFonts w:ascii="Times New Roman" w:eastAsia="Calibri" w:hAnsi="Times New Roman" w:cs="Times New Roman"/>
          <w:sz w:val="28"/>
          <w:szCs w:val="28"/>
        </w:rPr>
        <w:t>. Основным каналом влияния являются процентные ставки. Изменение ключевой ставки Банка России воздействует на</w:t>
      </w:r>
      <w:r>
        <w:rPr>
          <w:rFonts w:ascii="Times New Roman" w:eastAsia="Calibri" w:hAnsi="Times New Roman" w:cs="Times New Roman"/>
          <w:sz w:val="28"/>
          <w:szCs w:val="28"/>
        </w:rPr>
        <w:t> рыночные процентные ставки, от</w:t>
      </w:r>
      <w:r w:rsidR="002847D8">
        <w:rPr>
          <w:rFonts w:ascii="Times New Roman" w:eastAsia="Calibri" w:hAnsi="Times New Roman" w:cs="Times New Roman"/>
          <w:sz w:val="28"/>
          <w:szCs w:val="28"/>
        </w:rPr>
        <w:t xml:space="preserve"> которых, в </w:t>
      </w:r>
      <w:r w:rsidRPr="00A043ED">
        <w:rPr>
          <w:rFonts w:ascii="Times New Roman" w:eastAsia="Calibri" w:hAnsi="Times New Roman" w:cs="Times New Roman"/>
          <w:sz w:val="28"/>
          <w:szCs w:val="28"/>
        </w:rPr>
        <w:t>свою очередь, зависит сберегател</w:t>
      </w:r>
      <w:r>
        <w:rPr>
          <w:rFonts w:ascii="Times New Roman" w:eastAsia="Calibri" w:hAnsi="Times New Roman" w:cs="Times New Roman"/>
          <w:sz w:val="28"/>
          <w:szCs w:val="28"/>
        </w:rPr>
        <w:t>ьная и кредитная активность. В </w:t>
      </w:r>
      <w:r w:rsidRPr="00A043ED">
        <w:rPr>
          <w:rFonts w:ascii="Times New Roman" w:eastAsia="Calibri" w:hAnsi="Times New Roman" w:cs="Times New Roman"/>
          <w:sz w:val="28"/>
          <w:szCs w:val="28"/>
        </w:rPr>
        <w:t>зависимости от</w:t>
      </w:r>
      <w:r w:rsidR="002847D8">
        <w:rPr>
          <w:rFonts w:ascii="Times New Roman" w:eastAsia="Calibri" w:hAnsi="Times New Roman" w:cs="Times New Roman"/>
          <w:sz w:val="28"/>
          <w:szCs w:val="28"/>
        </w:rPr>
        <w:t> </w:t>
      </w:r>
      <w:r w:rsidRPr="00A043ED">
        <w:rPr>
          <w:rFonts w:ascii="Times New Roman" w:eastAsia="Calibri" w:hAnsi="Times New Roman" w:cs="Times New Roman"/>
          <w:sz w:val="28"/>
          <w:szCs w:val="28"/>
        </w:rPr>
        <w:t>склонности к сбережению или расходованию средств (потреблению) формируется внутренний спрос в </w:t>
      </w:r>
      <w:r>
        <w:rPr>
          <w:rFonts w:ascii="Times New Roman" w:eastAsia="Calibri" w:hAnsi="Times New Roman" w:cs="Times New Roman"/>
          <w:sz w:val="28"/>
          <w:szCs w:val="28"/>
        </w:rPr>
        <w:t>экономике, который влияет на ди</w:t>
      </w:r>
      <w:r w:rsidRPr="00A043ED">
        <w:rPr>
          <w:rFonts w:ascii="Times New Roman" w:eastAsia="Calibri" w:hAnsi="Times New Roman" w:cs="Times New Roman"/>
          <w:sz w:val="28"/>
          <w:szCs w:val="28"/>
        </w:rPr>
        <w:t>намику цен. Для того чтобы изменени</w:t>
      </w:r>
      <w:r>
        <w:rPr>
          <w:rFonts w:ascii="Times New Roman" w:eastAsia="Calibri" w:hAnsi="Times New Roman" w:cs="Times New Roman"/>
          <w:sz w:val="28"/>
          <w:szCs w:val="28"/>
        </w:rPr>
        <w:t>е ключевой ставки отразилось на</w:t>
      </w:r>
      <w:r w:rsidR="00E00CA6">
        <w:rPr>
          <w:rFonts w:ascii="Times New Roman" w:eastAsia="Calibri" w:hAnsi="Times New Roman" w:cs="Times New Roman"/>
          <w:sz w:val="28"/>
          <w:szCs w:val="28"/>
        </w:rPr>
        <w:t xml:space="preserve"> динамике спроса и цен, требуется от трех до</w:t>
      </w:r>
      <w:r w:rsidRPr="00A043ED">
        <w:rPr>
          <w:rFonts w:ascii="Times New Roman" w:eastAsia="Calibri" w:hAnsi="Times New Roman" w:cs="Times New Roman"/>
          <w:sz w:val="28"/>
          <w:szCs w:val="28"/>
        </w:rPr>
        <w:t xml:space="preserve"> шести кварталов. Поэтом</w:t>
      </w:r>
      <w:r w:rsidR="00E00CA6">
        <w:rPr>
          <w:rFonts w:ascii="Times New Roman" w:eastAsia="Calibri" w:hAnsi="Times New Roman" w:cs="Times New Roman"/>
          <w:sz w:val="28"/>
          <w:szCs w:val="28"/>
        </w:rPr>
        <w:t>у для оценки влияния решения по ключевой ставке на экономику и </w:t>
      </w:r>
      <w:r w:rsidRPr="00A043ED">
        <w:rPr>
          <w:rFonts w:ascii="Times New Roman" w:eastAsia="Calibri" w:hAnsi="Times New Roman" w:cs="Times New Roman"/>
          <w:sz w:val="28"/>
          <w:szCs w:val="28"/>
        </w:rPr>
        <w:t>инфляцию необходим макроэкономический прогноз. Для разработки прогноза Банк России использует современные макроэкономич</w:t>
      </w:r>
      <w:r w:rsidR="00E00CA6">
        <w:rPr>
          <w:rFonts w:ascii="Times New Roman" w:eastAsia="Calibri" w:hAnsi="Times New Roman" w:cs="Times New Roman"/>
          <w:sz w:val="28"/>
          <w:szCs w:val="28"/>
        </w:rPr>
        <w:t>еские модели. В</w:t>
      </w:r>
      <w:r w:rsidRPr="00A043ED">
        <w:rPr>
          <w:rFonts w:ascii="Times New Roman" w:eastAsia="Calibri" w:hAnsi="Times New Roman" w:cs="Times New Roman"/>
          <w:sz w:val="28"/>
          <w:szCs w:val="28"/>
        </w:rPr>
        <w:t xml:space="preserve"> рамках подготовки макроэкономического прогноза Банк России оценивает продолжительность</w:t>
      </w:r>
      <w:r w:rsidR="00E00CA6">
        <w:rPr>
          <w:rFonts w:ascii="Times New Roman" w:eastAsia="Calibri" w:hAnsi="Times New Roman" w:cs="Times New Roman"/>
          <w:sz w:val="28"/>
          <w:szCs w:val="28"/>
        </w:rPr>
        <w:t xml:space="preserve"> действия факторов, влияющих на экономику и </w:t>
      </w:r>
      <w:r w:rsidRPr="00A043ED">
        <w:rPr>
          <w:rFonts w:ascii="Times New Roman" w:eastAsia="Calibri" w:hAnsi="Times New Roman" w:cs="Times New Roman"/>
          <w:sz w:val="28"/>
          <w:szCs w:val="28"/>
        </w:rPr>
        <w:t>динамику цен, и устойчивость сформировавшихся экономических тенденций. Учитывая длительный характер влияния мер</w:t>
      </w:r>
      <w:r w:rsidR="00E00CA6">
        <w:rPr>
          <w:rFonts w:ascii="Times New Roman" w:eastAsia="Calibri" w:hAnsi="Times New Roman" w:cs="Times New Roman"/>
          <w:sz w:val="28"/>
          <w:szCs w:val="28"/>
        </w:rPr>
        <w:t xml:space="preserve"> денежно-кредитной политики на </w:t>
      </w:r>
      <w:r w:rsidRPr="00A043ED">
        <w:rPr>
          <w:rFonts w:ascii="Times New Roman" w:eastAsia="Calibri" w:hAnsi="Times New Roman" w:cs="Times New Roman"/>
          <w:sz w:val="28"/>
          <w:szCs w:val="28"/>
        </w:rPr>
        <w:t xml:space="preserve">экономику, Банк </w:t>
      </w:r>
      <w:r w:rsidRPr="00A043ED">
        <w:rPr>
          <w:rFonts w:ascii="Times New Roman" w:eastAsia="Calibri" w:hAnsi="Times New Roman" w:cs="Times New Roman"/>
          <w:sz w:val="28"/>
          <w:szCs w:val="28"/>
        </w:rPr>
        <w:lastRenderedPageBreak/>
        <w:t xml:space="preserve">России принимает решения по ключевой ставке на основе устойчивых </w:t>
      </w:r>
      <w:r w:rsidR="00E00CA6">
        <w:rPr>
          <w:rFonts w:ascii="Times New Roman" w:eastAsia="Calibri" w:hAnsi="Times New Roman" w:cs="Times New Roman"/>
          <w:sz w:val="28"/>
          <w:szCs w:val="28"/>
        </w:rPr>
        <w:t>тенденций в экономике и </w:t>
      </w:r>
      <w:r w:rsidRPr="00A043ED">
        <w:rPr>
          <w:rFonts w:ascii="Times New Roman" w:eastAsia="Calibri" w:hAnsi="Times New Roman" w:cs="Times New Roman"/>
          <w:sz w:val="28"/>
          <w:szCs w:val="28"/>
        </w:rPr>
        <w:t>факторов длительного действия. Банк России изменяет ключевую ставку, если текущие тенденции указывают на продолжительное отклонение инфляции от цели на прогнозном горизонте или имеются факторы длительного действия, которые с в</w:t>
      </w:r>
      <w:r w:rsidR="00E00CA6">
        <w:rPr>
          <w:rFonts w:ascii="Times New Roman" w:eastAsia="Calibri" w:hAnsi="Times New Roman" w:cs="Times New Roman"/>
          <w:sz w:val="28"/>
          <w:szCs w:val="28"/>
        </w:rPr>
        <w:t>ысокой вероятностью приведут к </w:t>
      </w:r>
      <w:r w:rsidRPr="00A043ED">
        <w:rPr>
          <w:rFonts w:ascii="Times New Roman" w:eastAsia="Calibri" w:hAnsi="Times New Roman" w:cs="Times New Roman"/>
          <w:sz w:val="28"/>
          <w:szCs w:val="28"/>
        </w:rPr>
        <w:t>такому продолжительному отклонению. В том случае если, несмотря на текущее отклонение инфляции от цели, ожидаетс</w:t>
      </w:r>
      <w:r w:rsidR="00E00CA6">
        <w:rPr>
          <w:rFonts w:ascii="Times New Roman" w:eastAsia="Calibri" w:hAnsi="Times New Roman" w:cs="Times New Roman"/>
          <w:sz w:val="28"/>
          <w:szCs w:val="28"/>
        </w:rPr>
        <w:t>я ее возвращение к </w:t>
      </w:r>
      <w:r w:rsidRPr="00A043ED">
        <w:rPr>
          <w:rFonts w:ascii="Times New Roman" w:eastAsia="Calibri" w:hAnsi="Times New Roman" w:cs="Times New Roman"/>
          <w:sz w:val="28"/>
          <w:szCs w:val="28"/>
        </w:rPr>
        <w:t xml:space="preserve">целевому уровню </w:t>
      </w:r>
      <w:proofErr w:type="gramStart"/>
      <w:r w:rsidRPr="00A043ED">
        <w:rPr>
          <w:rFonts w:ascii="Times New Roman" w:eastAsia="Calibri" w:hAnsi="Times New Roman" w:cs="Times New Roman"/>
          <w:sz w:val="28"/>
          <w:szCs w:val="28"/>
        </w:rPr>
        <w:t>на  краткосрочном</w:t>
      </w:r>
      <w:proofErr w:type="gramEnd"/>
      <w:r w:rsidRPr="00A043ED">
        <w:rPr>
          <w:rFonts w:ascii="Times New Roman" w:eastAsia="Calibri" w:hAnsi="Times New Roman" w:cs="Times New Roman"/>
          <w:sz w:val="28"/>
          <w:szCs w:val="28"/>
        </w:rPr>
        <w:t xml:space="preserve"> горизонте, Банк России не применяет меры денежно-кредитной политики. Если Банк России примет меры в ответ на такое краткосрочное отклонение, то они продолжат оказывать влияние на динамику цен после возв</w:t>
      </w:r>
      <w:r w:rsidR="00E00CA6">
        <w:rPr>
          <w:rFonts w:ascii="Times New Roman" w:eastAsia="Calibri" w:hAnsi="Times New Roman" w:cs="Times New Roman"/>
          <w:sz w:val="28"/>
          <w:szCs w:val="28"/>
        </w:rPr>
        <w:t>ращения инфляции к</w:t>
      </w:r>
      <w:r w:rsidRPr="00A043ED">
        <w:rPr>
          <w:rFonts w:ascii="Times New Roman" w:eastAsia="Calibri" w:hAnsi="Times New Roman" w:cs="Times New Roman"/>
          <w:sz w:val="28"/>
          <w:szCs w:val="28"/>
        </w:rPr>
        <w:t xml:space="preserve"> цели и возможно отклонение инфляции от цели в противоположную сторону, что не отвечает задаче сохранения инфляции вблизи 4%. В то же время краткосрочные по своей природе факторы могут иметь более продолжительное действие, если они окажу</w:t>
      </w:r>
      <w:r w:rsidR="00E00CA6">
        <w:rPr>
          <w:rFonts w:ascii="Times New Roman" w:eastAsia="Calibri" w:hAnsi="Times New Roman" w:cs="Times New Roman"/>
          <w:sz w:val="28"/>
          <w:szCs w:val="28"/>
        </w:rPr>
        <w:t>т влияние на</w:t>
      </w:r>
      <w:r w:rsidRPr="00A043ED">
        <w:rPr>
          <w:rFonts w:ascii="Times New Roman" w:eastAsia="Calibri" w:hAnsi="Times New Roman" w:cs="Times New Roman"/>
          <w:sz w:val="28"/>
          <w:szCs w:val="28"/>
        </w:rPr>
        <w:t xml:space="preserve"> инфляционные ожидания. Динамика инфляции в значительной степени определяется инфляционными ожиданиями, поскольку исходя из них экономические</w:t>
      </w:r>
      <w:r>
        <w:rPr>
          <w:rFonts w:ascii="Times New Roman" w:eastAsia="Calibri" w:hAnsi="Times New Roman" w:cs="Times New Roman"/>
          <w:sz w:val="28"/>
          <w:szCs w:val="28"/>
        </w:rPr>
        <w:t xml:space="preserve"> </w:t>
      </w:r>
      <w:r w:rsidR="00E00CA6">
        <w:rPr>
          <w:rFonts w:ascii="Times New Roman" w:eastAsia="Calibri" w:hAnsi="Times New Roman" w:cs="Times New Roman"/>
          <w:sz w:val="28"/>
          <w:szCs w:val="28"/>
        </w:rPr>
        <w:t>агенты принимают решения о</w:t>
      </w:r>
      <w:r w:rsidRPr="00A043ED">
        <w:rPr>
          <w:rFonts w:ascii="Times New Roman" w:eastAsia="Calibri" w:hAnsi="Times New Roman" w:cs="Times New Roman"/>
          <w:sz w:val="28"/>
          <w:szCs w:val="28"/>
        </w:rPr>
        <w:t xml:space="preserve"> покупках, устанавливают заработ</w:t>
      </w:r>
      <w:r w:rsidR="00E00CA6">
        <w:rPr>
          <w:rFonts w:ascii="Times New Roman" w:eastAsia="Calibri" w:hAnsi="Times New Roman" w:cs="Times New Roman"/>
          <w:sz w:val="28"/>
          <w:szCs w:val="28"/>
        </w:rPr>
        <w:t xml:space="preserve">ные платы </w:t>
      </w:r>
      <w:proofErr w:type="gramStart"/>
      <w:r w:rsidR="00E00CA6">
        <w:rPr>
          <w:rFonts w:ascii="Times New Roman" w:eastAsia="Calibri" w:hAnsi="Times New Roman" w:cs="Times New Roman"/>
          <w:sz w:val="28"/>
          <w:szCs w:val="28"/>
        </w:rPr>
        <w:t>и  цены</w:t>
      </w:r>
      <w:proofErr w:type="gramEnd"/>
      <w:r w:rsidR="00E00CA6">
        <w:rPr>
          <w:rFonts w:ascii="Times New Roman" w:eastAsia="Calibri" w:hAnsi="Times New Roman" w:cs="Times New Roman"/>
          <w:sz w:val="28"/>
          <w:szCs w:val="28"/>
        </w:rPr>
        <w:t>. Например, в </w:t>
      </w:r>
      <w:r w:rsidRPr="00A043ED">
        <w:rPr>
          <w:rFonts w:ascii="Times New Roman" w:eastAsia="Calibri" w:hAnsi="Times New Roman" w:cs="Times New Roman"/>
          <w:sz w:val="28"/>
          <w:szCs w:val="28"/>
        </w:rPr>
        <w:t xml:space="preserve">ответ </w:t>
      </w:r>
      <w:proofErr w:type="gramStart"/>
      <w:r w:rsidRPr="00A043ED">
        <w:rPr>
          <w:rFonts w:ascii="Times New Roman" w:eastAsia="Calibri" w:hAnsi="Times New Roman" w:cs="Times New Roman"/>
          <w:sz w:val="28"/>
          <w:szCs w:val="28"/>
        </w:rPr>
        <w:t>на  ускорение</w:t>
      </w:r>
      <w:proofErr w:type="gramEnd"/>
      <w:r w:rsidRPr="00A043ED">
        <w:rPr>
          <w:rFonts w:ascii="Times New Roman" w:eastAsia="Calibri" w:hAnsi="Times New Roman" w:cs="Times New Roman"/>
          <w:sz w:val="28"/>
          <w:szCs w:val="28"/>
        </w:rPr>
        <w:t xml:space="preserve"> инфляции под влиянием краткосрочных факторов население может начать предъявлять повышенный спрос на товары, ожидая, что </w:t>
      </w:r>
      <w:r w:rsidR="00677E30">
        <w:rPr>
          <w:rFonts w:ascii="Times New Roman" w:eastAsia="Calibri" w:hAnsi="Times New Roman" w:cs="Times New Roman"/>
          <w:sz w:val="28"/>
          <w:szCs w:val="28"/>
        </w:rPr>
        <w:t xml:space="preserve">в </w:t>
      </w:r>
      <w:r w:rsidRPr="00A043ED">
        <w:rPr>
          <w:rFonts w:ascii="Times New Roman" w:eastAsia="Calibri" w:hAnsi="Times New Roman" w:cs="Times New Roman"/>
          <w:sz w:val="28"/>
          <w:szCs w:val="28"/>
        </w:rPr>
        <w:t>скоро</w:t>
      </w:r>
      <w:r w:rsidR="00677E30">
        <w:rPr>
          <w:rFonts w:ascii="Times New Roman" w:eastAsia="Calibri" w:hAnsi="Times New Roman" w:cs="Times New Roman"/>
          <w:sz w:val="28"/>
          <w:szCs w:val="28"/>
        </w:rPr>
        <w:t>м времени</w:t>
      </w:r>
      <w:r w:rsidRPr="00A043ED">
        <w:rPr>
          <w:rFonts w:ascii="Times New Roman" w:eastAsia="Calibri" w:hAnsi="Times New Roman" w:cs="Times New Roman"/>
          <w:sz w:val="28"/>
          <w:szCs w:val="28"/>
        </w:rPr>
        <w:t xml:space="preserve"> они будут стоить дороже. Этот процесс может затронуть как изначал</w:t>
      </w:r>
      <w:r w:rsidR="00E00CA6">
        <w:rPr>
          <w:rFonts w:ascii="Times New Roman" w:eastAsia="Calibri" w:hAnsi="Times New Roman" w:cs="Times New Roman"/>
          <w:sz w:val="28"/>
          <w:szCs w:val="28"/>
        </w:rPr>
        <w:t>ьно подорожавшие товары, так и другие, в </w:t>
      </w:r>
      <w:r w:rsidRPr="00A043ED">
        <w:rPr>
          <w:rFonts w:ascii="Times New Roman" w:eastAsia="Calibri" w:hAnsi="Times New Roman" w:cs="Times New Roman"/>
          <w:sz w:val="28"/>
          <w:szCs w:val="28"/>
        </w:rPr>
        <w:t xml:space="preserve">особенности </w:t>
      </w:r>
      <w:r w:rsidR="00E00CA6">
        <w:rPr>
          <w:rFonts w:ascii="Times New Roman" w:eastAsia="Calibri" w:hAnsi="Times New Roman" w:cs="Times New Roman"/>
          <w:sz w:val="28"/>
          <w:szCs w:val="28"/>
        </w:rPr>
        <w:t>наиболее необходимые. В</w:t>
      </w:r>
      <w:r w:rsidRPr="00A043ED">
        <w:rPr>
          <w:rFonts w:ascii="Times New Roman" w:eastAsia="Calibri" w:hAnsi="Times New Roman" w:cs="Times New Roman"/>
          <w:sz w:val="28"/>
          <w:szCs w:val="28"/>
        </w:rPr>
        <w:t xml:space="preserve"> этих условиях производители могут решиться на существенное повышение цен на более широкий круг товаров и услуг. Инф</w:t>
      </w:r>
      <w:r w:rsidR="00677E30">
        <w:rPr>
          <w:rFonts w:ascii="Times New Roman" w:eastAsia="Calibri" w:hAnsi="Times New Roman" w:cs="Times New Roman"/>
          <w:sz w:val="28"/>
          <w:szCs w:val="28"/>
        </w:rPr>
        <w:t>ляционное давление увеличится, при этом</w:t>
      </w:r>
      <w:r w:rsidRPr="00A043ED">
        <w:rPr>
          <w:rFonts w:ascii="Times New Roman" w:eastAsia="Calibri" w:hAnsi="Times New Roman" w:cs="Times New Roman"/>
          <w:sz w:val="28"/>
          <w:szCs w:val="28"/>
        </w:rPr>
        <w:t> отклонение инфляции от цели</w:t>
      </w:r>
      <w:r w:rsidR="00677E30">
        <w:rPr>
          <w:rFonts w:ascii="Times New Roman" w:eastAsia="Calibri" w:hAnsi="Times New Roman" w:cs="Times New Roman"/>
          <w:sz w:val="28"/>
          <w:szCs w:val="28"/>
        </w:rPr>
        <w:t xml:space="preserve"> станет более устойчивым. В данной</w:t>
      </w:r>
      <w:r w:rsidRPr="00A043ED">
        <w:rPr>
          <w:rFonts w:ascii="Times New Roman" w:eastAsia="Calibri" w:hAnsi="Times New Roman" w:cs="Times New Roman"/>
          <w:sz w:val="28"/>
          <w:szCs w:val="28"/>
        </w:rPr>
        <w:t xml:space="preserve"> ситуации могут потребоваться меры денежно-кредитной политики. </w:t>
      </w:r>
    </w:p>
    <w:p w:rsidR="00C01C2F" w:rsidRPr="004277F2"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Информационная открыто</w:t>
      </w:r>
      <w:r w:rsidR="00E00CA6">
        <w:rPr>
          <w:rFonts w:ascii="Times New Roman" w:eastAsia="Calibri" w:hAnsi="Times New Roman" w:cs="Times New Roman"/>
          <w:sz w:val="28"/>
          <w:szCs w:val="28"/>
        </w:rPr>
        <w:t>сть в</w:t>
      </w:r>
      <w:r w:rsidRPr="00A043ED">
        <w:rPr>
          <w:rFonts w:ascii="Times New Roman" w:eastAsia="Calibri" w:hAnsi="Times New Roman" w:cs="Times New Roman"/>
          <w:sz w:val="28"/>
          <w:szCs w:val="28"/>
        </w:rPr>
        <w:t xml:space="preserve"> области денежно-кредитной по</w:t>
      </w:r>
      <w:r w:rsidR="00E00CA6">
        <w:rPr>
          <w:rFonts w:ascii="Times New Roman" w:eastAsia="Calibri" w:hAnsi="Times New Roman" w:cs="Times New Roman"/>
          <w:sz w:val="28"/>
          <w:szCs w:val="28"/>
        </w:rPr>
        <w:t>литики Банка России нацелена на</w:t>
      </w:r>
      <w:r w:rsidRPr="00A043ED">
        <w:rPr>
          <w:rFonts w:ascii="Times New Roman" w:eastAsia="Calibri" w:hAnsi="Times New Roman" w:cs="Times New Roman"/>
          <w:sz w:val="28"/>
          <w:szCs w:val="28"/>
        </w:rPr>
        <w:t xml:space="preserve"> повышение понимания и доверия к проводимой денежно-кредитной политике, формирование предсказуемой экономической </w:t>
      </w:r>
      <w:r w:rsidRPr="00A043ED">
        <w:rPr>
          <w:rFonts w:ascii="Times New Roman" w:eastAsia="Calibri" w:hAnsi="Times New Roman" w:cs="Times New Roman"/>
          <w:sz w:val="28"/>
          <w:szCs w:val="28"/>
        </w:rPr>
        <w:lastRenderedPageBreak/>
        <w:t>среды для всех участников экономических отношений.</w:t>
      </w:r>
      <w:r w:rsidR="00E00CA6">
        <w:rPr>
          <w:rFonts w:ascii="Times New Roman" w:eastAsia="Calibri" w:hAnsi="Times New Roman" w:cs="Times New Roman"/>
          <w:sz w:val="28"/>
          <w:szCs w:val="28"/>
        </w:rPr>
        <w:t xml:space="preserve"> Высокое доверие и понимание в </w:t>
      </w:r>
      <w:r w:rsidRPr="00A043ED">
        <w:rPr>
          <w:rFonts w:ascii="Times New Roman" w:eastAsia="Calibri" w:hAnsi="Times New Roman" w:cs="Times New Roman"/>
          <w:sz w:val="28"/>
          <w:szCs w:val="28"/>
        </w:rPr>
        <w:t>обществе проводимой денежно-кредитной политики, в свою очередь, способствуют повышению ее действенности и успешности поддержания ценовой стабильности.</w:t>
      </w:r>
      <w:r w:rsidR="00A86532" w:rsidRPr="00A86532">
        <w:rPr>
          <w:rFonts w:ascii="Times New Roman" w:eastAsia="Calibri" w:hAnsi="Times New Roman" w:cs="Times New Roman"/>
          <w:sz w:val="28"/>
          <w:szCs w:val="28"/>
        </w:rPr>
        <w:t xml:space="preserve"> </w:t>
      </w:r>
      <w:r w:rsidR="005A78C8" w:rsidRPr="004277F2">
        <w:rPr>
          <w:rFonts w:ascii="Times New Roman" w:eastAsia="Calibri" w:hAnsi="Times New Roman" w:cs="Times New Roman"/>
          <w:sz w:val="28"/>
          <w:szCs w:val="28"/>
        </w:rPr>
        <w:t>[17]</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 xml:space="preserve"> Если население и бизнес уверены в сохранении низкой инфляции, в способности центрального банка поддерживать ценовую стабильность, то в ответ на краткосрочные колебания цен или появление </w:t>
      </w:r>
      <w:proofErr w:type="spellStart"/>
      <w:r w:rsidRPr="00A043ED">
        <w:rPr>
          <w:rFonts w:ascii="Times New Roman" w:eastAsia="Calibri" w:hAnsi="Times New Roman" w:cs="Times New Roman"/>
          <w:sz w:val="28"/>
          <w:szCs w:val="28"/>
        </w:rPr>
        <w:t>проинфляционых</w:t>
      </w:r>
      <w:proofErr w:type="spellEnd"/>
      <w:r w:rsidRPr="00A043ED">
        <w:rPr>
          <w:rFonts w:ascii="Times New Roman" w:eastAsia="Calibri" w:hAnsi="Times New Roman" w:cs="Times New Roman"/>
          <w:sz w:val="28"/>
          <w:szCs w:val="28"/>
        </w:rPr>
        <w:t xml:space="preserve"> факторов они существенно не корректируют свои инфляционные ожидания. Кроме того, понимани</w:t>
      </w:r>
      <w:r w:rsidR="00E00CA6">
        <w:rPr>
          <w:rFonts w:ascii="Times New Roman" w:eastAsia="Calibri" w:hAnsi="Times New Roman" w:cs="Times New Roman"/>
          <w:sz w:val="28"/>
          <w:szCs w:val="28"/>
        </w:rPr>
        <w:t>е решений центрального банка и </w:t>
      </w:r>
      <w:r w:rsidRPr="00A043ED">
        <w:rPr>
          <w:rFonts w:ascii="Times New Roman" w:eastAsia="Calibri" w:hAnsi="Times New Roman" w:cs="Times New Roman"/>
          <w:sz w:val="28"/>
          <w:szCs w:val="28"/>
        </w:rPr>
        <w:t>его информационных сигналов ведет к более быстрому и корректному их учету субъектами экономики при принятии решений об уровне процентных ставок, заимствованиях, сбережениях, индексации заработной платы и цен. В результате усиливается эффективность влияния денежно-кредитной политики на э</w:t>
      </w:r>
      <w:r w:rsidR="00E00CA6">
        <w:rPr>
          <w:rFonts w:ascii="Times New Roman" w:eastAsia="Calibri" w:hAnsi="Times New Roman" w:cs="Times New Roman"/>
          <w:sz w:val="28"/>
          <w:szCs w:val="28"/>
        </w:rPr>
        <w:t>кономику и инфляцию, масштаб и </w:t>
      </w:r>
      <w:r w:rsidRPr="00A043ED">
        <w:rPr>
          <w:rFonts w:ascii="Times New Roman" w:eastAsia="Calibri" w:hAnsi="Times New Roman" w:cs="Times New Roman"/>
          <w:sz w:val="28"/>
          <w:szCs w:val="28"/>
        </w:rPr>
        <w:t>продолжит</w:t>
      </w:r>
      <w:r w:rsidR="00E00CA6">
        <w:rPr>
          <w:rFonts w:ascii="Times New Roman" w:eastAsia="Calibri" w:hAnsi="Times New Roman" w:cs="Times New Roman"/>
          <w:sz w:val="28"/>
          <w:szCs w:val="28"/>
        </w:rPr>
        <w:t>ельность отклонения инфляции от</w:t>
      </w:r>
      <w:r w:rsidRPr="00A043ED">
        <w:rPr>
          <w:rFonts w:ascii="Times New Roman" w:eastAsia="Calibri" w:hAnsi="Times New Roman" w:cs="Times New Roman"/>
          <w:sz w:val="28"/>
          <w:szCs w:val="28"/>
        </w:rPr>
        <w:t xml:space="preserve"> цели снижаются и, соответственно, требуется меньшая степень реакции денежно-кредитной политики. </w:t>
      </w:r>
    </w:p>
    <w:p w:rsidR="00D75F67" w:rsidRDefault="001A01B3" w:rsidP="00D402FB">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043ED">
        <w:rPr>
          <w:rFonts w:ascii="Times New Roman" w:eastAsia="Calibri" w:hAnsi="Times New Roman" w:cs="Times New Roman"/>
          <w:sz w:val="28"/>
          <w:szCs w:val="28"/>
        </w:rPr>
        <w:t xml:space="preserve">В рамках политики информационной открытости Банк России прежде всего стремится максимально оперативно и полно раскрывать информацию о целях, принципах, мерах и результатах </w:t>
      </w:r>
      <w:r w:rsidR="00E00CA6">
        <w:rPr>
          <w:rFonts w:ascii="Times New Roman" w:eastAsia="Calibri" w:hAnsi="Times New Roman" w:cs="Times New Roman"/>
          <w:sz w:val="28"/>
          <w:szCs w:val="28"/>
        </w:rPr>
        <w:t>денежно-кредитной политики, об оценке экономической ситуации и</w:t>
      </w:r>
      <w:r w:rsidRPr="00A043ED">
        <w:rPr>
          <w:rFonts w:ascii="Times New Roman" w:eastAsia="Calibri" w:hAnsi="Times New Roman" w:cs="Times New Roman"/>
          <w:sz w:val="28"/>
          <w:szCs w:val="28"/>
        </w:rPr>
        <w:t xml:space="preserve"> перспектив ее раз</w:t>
      </w:r>
      <w:r w:rsidR="00E00CA6">
        <w:rPr>
          <w:rFonts w:ascii="Times New Roman" w:eastAsia="Calibri" w:hAnsi="Times New Roman" w:cs="Times New Roman"/>
          <w:sz w:val="28"/>
          <w:szCs w:val="28"/>
        </w:rPr>
        <w:t>вития. Основные цели и </w:t>
      </w:r>
      <w:r w:rsidRPr="00A043ED">
        <w:rPr>
          <w:rFonts w:ascii="Times New Roman" w:eastAsia="Calibri" w:hAnsi="Times New Roman" w:cs="Times New Roman"/>
          <w:sz w:val="28"/>
          <w:szCs w:val="28"/>
        </w:rPr>
        <w:t>принципы денежно-кредитной политики раскрываются в Основных направлениях единой государственной денежно-кредитной политики. Банк России в день принятия Советом директоров решения по ключевой ставке публикует пресс-релиз о характере и основаниях принятого решения. Четыре раза в год после решений по ключевой ставке также проводится пресс-конференция Председател</w:t>
      </w:r>
      <w:r w:rsidR="00E00CA6">
        <w:rPr>
          <w:rFonts w:ascii="Times New Roman" w:eastAsia="Calibri" w:hAnsi="Times New Roman" w:cs="Times New Roman"/>
          <w:sz w:val="28"/>
          <w:szCs w:val="28"/>
        </w:rPr>
        <w:t>я Банка России, транслируемая в прямом эфире, и публикуется Доклад о</w:t>
      </w:r>
      <w:r w:rsidRPr="00A043ED">
        <w:rPr>
          <w:rFonts w:ascii="Times New Roman" w:eastAsia="Calibri" w:hAnsi="Times New Roman" w:cs="Times New Roman"/>
          <w:sz w:val="28"/>
          <w:szCs w:val="28"/>
        </w:rPr>
        <w:t xml:space="preserve"> денежно-кредитной политике, где подробно раскрываются оценки Банком России текущей экономической ситуации </w:t>
      </w:r>
      <w:proofErr w:type="gramStart"/>
      <w:r w:rsidRPr="00A043ED">
        <w:rPr>
          <w:rFonts w:ascii="Times New Roman" w:eastAsia="Calibri" w:hAnsi="Times New Roman" w:cs="Times New Roman"/>
          <w:sz w:val="28"/>
          <w:szCs w:val="28"/>
        </w:rPr>
        <w:t>и  среднесрочного</w:t>
      </w:r>
      <w:proofErr w:type="gramEnd"/>
      <w:r w:rsidRPr="00A043ED">
        <w:rPr>
          <w:rFonts w:ascii="Times New Roman" w:eastAsia="Calibri" w:hAnsi="Times New Roman" w:cs="Times New Roman"/>
          <w:sz w:val="28"/>
          <w:szCs w:val="28"/>
        </w:rPr>
        <w:t xml:space="preserve"> прогноза, на  основании которых принимаютс</w:t>
      </w:r>
      <w:r w:rsidR="00E00CA6">
        <w:rPr>
          <w:rFonts w:ascii="Times New Roman" w:eastAsia="Calibri" w:hAnsi="Times New Roman" w:cs="Times New Roman"/>
          <w:sz w:val="28"/>
          <w:szCs w:val="28"/>
        </w:rPr>
        <w:t>я решения о ключевой ставке. На</w:t>
      </w:r>
      <w:r w:rsidRPr="00A043ED">
        <w:rPr>
          <w:rFonts w:ascii="Times New Roman" w:eastAsia="Calibri" w:hAnsi="Times New Roman" w:cs="Times New Roman"/>
          <w:sz w:val="28"/>
          <w:szCs w:val="28"/>
        </w:rPr>
        <w:t xml:space="preserve"> ежемесячной основе Банк Р</w:t>
      </w:r>
      <w:r w:rsidR="00E00CA6">
        <w:rPr>
          <w:rFonts w:ascii="Times New Roman" w:eastAsia="Calibri" w:hAnsi="Times New Roman" w:cs="Times New Roman"/>
          <w:sz w:val="28"/>
          <w:szCs w:val="28"/>
        </w:rPr>
        <w:t xml:space="preserve">оссии публикует </w:t>
      </w:r>
      <w:r w:rsidR="00E00CA6">
        <w:rPr>
          <w:rFonts w:ascii="Times New Roman" w:eastAsia="Calibri" w:hAnsi="Times New Roman" w:cs="Times New Roman"/>
          <w:sz w:val="28"/>
          <w:szCs w:val="28"/>
        </w:rPr>
        <w:lastRenderedPageBreak/>
        <w:t>комментарии об </w:t>
      </w:r>
      <w:r w:rsidRPr="00A043ED">
        <w:rPr>
          <w:rFonts w:ascii="Times New Roman" w:eastAsia="Calibri" w:hAnsi="Times New Roman" w:cs="Times New Roman"/>
          <w:sz w:val="28"/>
          <w:szCs w:val="28"/>
        </w:rPr>
        <w:t xml:space="preserve">оценке экономической ситуации, динамике инфляции и инфляционных ожиданий. Банк России также работает над расширением </w:t>
      </w:r>
      <w:r w:rsidR="00E00CA6">
        <w:rPr>
          <w:rFonts w:ascii="Times New Roman" w:eastAsia="Calibri" w:hAnsi="Times New Roman" w:cs="Times New Roman"/>
          <w:sz w:val="28"/>
          <w:szCs w:val="28"/>
        </w:rPr>
        <w:t>охвата коммуникации по денежно-кредитной политике и</w:t>
      </w:r>
      <w:r w:rsidRPr="00A043ED">
        <w:rPr>
          <w:rFonts w:ascii="Times New Roman" w:eastAsia="Calibri" w:hAnsi="Times New Roman" w:cs="Times New Roman"/>
          <w:sz w:val="28"/>
          <w:szCs w:val="28"/>
        </w:rPr>
        <w:t xml:space="preserve"> повышением ее адресности. Ба</w:t>
      </w:r>
      <w:r w:rsidR="00E00CA6">
        <w:rPr>
          <w:rFonts w:ascii="Times New Roman" w:eastAsia="Calibri" w:hAnsi="Times New Roman" w:cs="Times New Roman"/>
          <w:sz w:val="28"/>
          <w:szCs w:val="28"/>
        </w:rPr>
        <w:t>нк России увеличивает частоту и</w:t>
      </w:r>
      <w:r w:rsidRPr="00A043ED">
        <w:rPr>
          <w:rFonts w:ascii="Times New Roman" w:eastAsia="Calibri" w:hAnsi="Times New Roman" w:cs="Times New Roman"/>
          <w:sz w:val="28"/>
          <w:szCs w:val="28"/>
        </w:rPr>
        <w:t xml:space="preserve"> информативность выступлений, интервью </w:t>
      </w:r>
      <w:proofErr w:type="gramStart"/>
      <w:r w:rsidRPr="00A043ED">
        <w:rPr>
          <w:rFonts w:ascii="Times New Roman" w:eastAsia="Calibri" w:hAnsi="Times New Roman" w:cs="Times New Roman"/>
          <w:sz w:val="28"/>
          <w:szCs w:val="28"/>
        </w:rPr>
        <w:t>и  количество</w:t>
      </w:r>
      <w:proofErr w:type="gramEnd"/>
      <w:r w:rsidRPr="00A043ED">
        <w:rPr>
          <w:rFonts w:ascii="Times New Roman" w:eastAsia="Calibri" w:hAnsi="Times New Roman" w:cs="Times New Roman"/>
          <w:sz w:val="28"/>
          <w:szCs w:val="28"/>
        </w:rPr>
        <w:t xml:space="preserve"> публикаций, а  также задействует новые каналы коммуникации. При этом Банк России учитывает степень погруженности аудитории в вопросы денежно-кредитной политики и экономики в целом и для каждой аудитории выбира</w:t>
      </w:r>
      <w:r w:rsidR="00E00CA6">
        <w:rPr>
          <w:rFonts w:ascii="Times New Roman" w:eastAsia="Calibri" w:hAnsi="Times New Roman" w:cs="Times New Roman"/>
          <w:sz w:val="28"/>
          <w:szCs w:val="28"/>
        </w:rPr>
        <w:t>ет наиболее подходящие каналы и</w:t>
      </w:r>
      <w:r w:rsidRPr="00A043ED">
        <w:rPr>
          <w:rFonts w:ascii="Times New Roman" w:eastAsia="Calibri" w:hAnsi="Times New Roman" w:cs="Times New Roman"/>
          <w:sz w:val="28"/>
          <w:szCs w:val="28"/>
        </w:rPr>
        <w:t xml:space="preserve"> инструменты донесения информации, степень сложности </w:t>
      </w:r>
      <w:proofErr w:type="gramStart"/>
      <w:r w:rsidRPr="00A043ED">
        <w:rPr>
          <w:rFonts w:ascii="Times New Roman" w:eastAsia="Calibri" w:hAnsi="Times New Roman" w:cs="Times New Roman"/>
          <w:sz w:val="28"/>
          <w:szCs w:val="28"/>
        </w:rPr>
        <w:t>и  подробности</w:t>
      </w:r>
      <w:proofErr w:type="gramEnd"/>
      <w:r w:rsidRPr="00A043ED">
        <w:rPr>
          <w:rFonts w:ascii="Times New Roman" w:eastAsia="Calibri" w:hAnsi="Times New Roman" w:cs="Times New Roman"/>
          <w:sz w:val="28"/>
          <w:szCs w:val="28"/>
        </w:rPr>
        <w:t xml:space="preserve"> ее раскрытия, формат подачи. В целях ра</w:t>
      </w:r>
      <w:r w:rsidR="00E00CA6">
        <w:rPr>
          <w:rFonts w:ascii="Times New Roman" w:eastAsia="Calibri" w:hAnsi="Times New Roman" w:cs="Times New Roman"/>
          <w:sz w:val="28"/>
          <w:szCs w:val="28"/>
        </w:rPr>
        <w:t>сширения охвата коммуникации и </w:t>
      </w:r>
      <w:r w:rsidRPr="00A043ED">
        <w:rPr>
          <w:rFonts w:ascii="Times New Roman" w:eastAsia="Calibri" w:hAnsi="Times New Roman" w:cs="Times New Roman"/>
          <w:sz w:val="28"/>
          <w:szCs w:val="28"/>
        </w:rPr>
        <w:t>повышения его адресности Банк России в том числе развивает информационную политику на региональном уровне.</w:t>
      </w:r>
    </w:p>
    <w:p w:rsidR="00D75F67" w:rsidRDefault="00D75F67" w:rsidP="00677E30">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Default="001A01B3" w:rsidP="007341DF">
      <w:pPr>
        <w:tabs>
          <w:tab w:val="right" w:leader="dot" w:pos="9639"/>
        </w:tabs>
        <w:spacing w:after="0" w:line="360" w:lineRule="auto"/>
        <w:ind w:left="709"/>
        <w:contextualSpacing/>
        <w:jc w:val="both"/>
        <w:rPr>
          <w:rFonts w:ascii="Times New Roman" w:eastAsia="Calibri" w:hAnsi="Times New Roman" w:cs="Times New Roman"/>
          <w:sz w:val="28"/>
          <w:szCs w:val="28"/>
        </w:rPr>
      </w:pPr>
      <w:r w:rsidRPr="00B82E69">
        <w:rPr>
          <w:rFonts w:ascii="Times New Roman" w:eastAsia="Calibri" w:hAnsi="Times New Roman" w:cs="Times New Roman"/>
          <w:sz w:val="28"/>
          <w:szCs w:val="28"/>
        </w:rPr>
        <w:t xml:space="preserve">2.2 </w:t>
      </w:r>
      <w:r>
        <w:rPr>
          <w:rFonts w:ascii="Times New Roman" w:eastAsia="Calibri" w:hAnsi="Times New Roman" w:cs="Times New Roman"/>
          <w:sz w:val="28"/>
          <w:szCs w:val="28"/>
        </w:rPr>
        <w:t>Применение</w:t>
      </w:r>
      <w:r w:rsidR="00D75F67">
        <w:rPr>
          <w:rFonts w:ascii="Times New Roman" w:eastAsia="Calibri" w:hAnsi="Times New Roman" w:cs="Times New Roman"/>
          <w:sz w:val="28"/>
          <w:szCs w:val="28"/>
        </w:rPr>
        <w:t xml:space="preserve"> </w:t>
      </w:r>
      <w:r w:rsidR="00D75F67" w:rsidRPr="00D75F67">
        <w:rPr>
          <w:rFonts w:ascii="Times New Roman" w:eastAsia="Calibri" w:hAnsi="Times New Roman" w:cs="Times New Roman"/>
          <w:sz w:val="28"/>
          <w:szCs w:val="28"/>
        </w:rPr>
        <w:t>в 2016-2017 годах</w:t>
      </w:r>
      <w:r>
        <w:rPr>
          <w:rFonts w:ascii="Times New Roman" w:eastAsia="Calibri" w:hAnsi="Times New Roman" w:cs="Times New Roman"/>
          <w:sz w:val="28"/>
          <w:szCs w:val="28"/>
        </w:rPr>
        <w:t xml:space="preserve"> инструментов денежно-кредитной политики </w:t>
      </w:r>
    </w:p>
    <w:p w:rsidR="001A01B3" w:rsidRDefault="001A01B3" w:rsidP="001A01B3">
      <w:pPr>
        <w:tabs>
          <w:tab w:val="right" w:leader="dot" w:pos="9639"/>
        </w:tabs>
        <w:spacing w:after="0" w:line="360" w:lineRule="auto"/>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86C87">
        <w:rPr>
          <w:rFonts w:ascii="Times New Roman" w:eastAsia="Calibri" w:hAnsi="Times New Roman" w:cs="Times New Roman"/>
          <w:sz w:val="28"/>
          <w:szCs w:val="28"/>
        </w:rPr>
        <w:t xml:space="preserve">В 2017 г. происходила достаточно четкая передача сигнала от ключевой ставки к ставкам денежного рынка, что является операционной целью денежно-кредитной политики. </w:t>
      </w:r>
      <w:r>
        <w:rPr>
          <w:rFonts w:ascii="Times New Roman" w:eastAsia="Calibri" w:hAnsi="Times New Roman" w:cs="Times New Roman"/>
          <w:sz w:val="28"/>
          <w:szCs w:val="28"/>
        </w:rPr>
        <w:t xml:space="preserve">Наблюдался </w:t>
      </w:r>
      <w:r w:rsidRPr="00486C87">
        <w:rPr>
          <w:rFonts w:ascii="Times New Roman" w:eastAsia="Calibri" w:hAnsi="Times New Roman" w:cs="Times New Roman"/>
          <w:sz w:val="28"/>
          <w:szCs w:val="28"/>
        </w:rPr>
        <w:t xml:space="preserve">существенный объем операций на денежном рынке по ставкам, близким к ключевой, </w:t>
      </w:r>
      <w:r>
        <w:rPr>
          <w:rFonts w:ascii="Times New Roman" w:eastAsia="Calibri" w:hAnsi="Times New Roman" w:cs="Times New Roman"/>
          <w:sz w:val="28"/>
          <w:szCs w:val="28"/>
        </w:rPr>
        <w:t xml:space="preserve">что </w:t>
      </w:r>
      <w:r w:rsidRPr="00486C87">
        <w:rPr>
          <w:rFonts w:ascii="Times New Roman" w:eastAsia="Calibri" w:hAnsi="Times New Roman" w:cs="Times New Roman"/>
          <w:sz w:val="28"/>
          <w:szCs w:val="28"/>
        </w:rPr>
        <w:t>свидетельствует</w:t>
      </w:r>
      <w:r>
        <w:rPr>
          <w:rFonts w:ascii="Times New Roman" w:eastAsia="Calibri" w:hAnsi="Times New Roman" w:cs="Times New Roman"/>
          <w:sz w:val="28"/>
          <w:szCs w:val="28"/>
        </w:rPr>
        <w:t>,</w:t>
      </w:r>
      <w:r w:rsidRPr="00486C87">
        <w:rPr>
          <w:rFonts w:ascii="Times New Roman" w:eastAsia="Calibri" w:hAnsi="Times New Roman" w:cs="Times New Roman"/>
          <w:sz w:val="28"/>
          <w:szCs w:val="28"/>
        </w:rPr>
        <w:t xml:space="preserve"> во-первых, о значимой роли этого рынка в перераспределе</w:t>
      </w:r>
      <w:r w:rsidR="00677E30">
        <w:rPr>
          <w:rFonts w:ascii="Times New Roman" w:eastAsia="Calibri" w:hAnsi="Times New Roman" w:cs="Times New Roman"/>
          <w:sz w:val="28"/>
          <w:szCs w:val="28"/>
        </w:rPr>
        <w:t xml:space="preserve">нии ликвидности между банками, </w:t>
      </w:r>
      <w:r w:rsidRPr="00486C87">
        <w:rPr>
          <w:rFonts w:ascii="Times New Roman" w:eastAsia="Calibri" w:hAnsi="Times New Roman" w:cs="Times New Roman"/>
          <w:sz w:val="28"/>
          <w:szCs w:val="28"/>
        </w:rPr>
        <w:t xml:space="preserve"> во-вторых, о том, что кредитные организации имеют основания рассматривать ключевую ставку в качестве отправной точки для определения процентных ставок по другим финансовым операциям, в том числе на более дли</w:t>
      </w:r>
      <w:r w:rsidRPr="00BB1BDF">
        <w:rPr>
          <w:rFonts w:ascii="Times New Roman" w:eastAsia="Calibri" w:hAnsi="Times New Roman" w:cs="Times New Roman"/>
          <w:sz w:val="28"/>
          <w:szCs w:val="28"/>
        </w:rPr>
        <w:t xml:space="preserve">тельные сроки и для различных категорий участников финансового рынка (поскольку, как отмечено </w:t>
      </w:r>
      <w:r w:rsidR="00677E30">
        <w:rPr>
          <w:rFonts w:ascii="Times New Roman" w:eastAsia="Calibri" w:hAnsi="Times New Roman" w:cs="Times New Roman"/>
          <w:sz w:val="28"/>
          <w:szCs w:val="28"/>
        </w:rPr>
        <w:t>ранее</w:t>
      </w:r>
      <w:r w:rsidRPr="00BB1BDF">
        <w:rPr>
          <w:rFonts w:ascii="Times New Roman" w:eastAsia="Calibri" w:hAnsi="Times New Roman" w:cs="Times New Roman"/>
          <w:sz w:val="28"/>
          <w:szCs w:val="28"/>
        </w:rPr>
        <w:t xml:space="preserve">, банки могут совершать операции в разных сегментах финансового рынка). </w:t>
      </w:r>
    </w:p>
    <w:p w:rsidR="001A01B3" w:rsidRPr="005A78C8"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lang w:val="en-US"/>
        </w:rPr>
      </w:pPr>
      <w:r w:rsidRPr="00BB1BDF">
        <w:rPr>
          <w:rFonts w:ascii="Times New Roman" w:eastAsia="Calibri" w:hAnsi="Times New Roman" w:cs="Times New Roman"/>
          <w:sz w:val="28"/>
          <w:szCs w:val="28"/>
        </w:rPr>
        <w:t>Сохранение высокой активности банков на денежном рынке отражает нормальную работу первого звена трансм</w:t>
      </w:r>
      <w:r>
        <w:rPr>
          <w:rFonts w:ascii="Times New Roman" w:eastAsia="Calibri" w:hAnsi="Times New Roman" w:cs="Times New Roman"/>
          <w:sz w:val="28"/>
          <w:szCs w:val="28"/>
        </w:rPr>
        <w:t>иссионного механизма. При этом</w:t>
      </w:r>
      <w:r w:rsidRPr="00BB1BDF">
        <w:rPr>
          <w:rFonts w:ascii="Times New Roman" w:eastAsia="Calibri" w:hAnsi="Times New Roman" w:cs="Times New Roman"/>
          <w:sz w:val="28"/>
          <w:szCs w:val="28"/>
        </w:rPr>
        <w:t xml:space="preserve">, Банк России формирует операционную цель денежно-кредитной политики </w:t>
      </w:r>
      <w:r w:rsidRPr="00BB1BDF">
        <w:rPr>
          <w:rFonts w:ascii="Times New Roman" w:eastAsia="Calibri" w:hAnsi="Times New Roman" w:cs="Times New Roman"/>
          <w:sz w:val="28"/>
          <w:szCs w:val="28"/>
        </w:rPr>
        <w:lastRenderedPageBreak/>
        <w:t xml:space="preserve">именно для рынка МБК, принимая во внимание, что на ставки по операциям в смежных сегментах денежного рынка наряду с изменением ключевой ставки могут значимо влиять другие факторы, такие как колебания спроса на валюту и ценные бумаги. Важную роль </w:t>
      </w:r>
      <w:proofErr w:type="gramStart"/>
      <w:r w:rsidRPr="00BB1BDF">
        <w:rPr>
          <w:rFonts w:ascii="Times New Roman" w:eastAsia="Calibri" w:hAnsi="Times New Roman" w:cs="Times New Roman"/>
          <w:sz w:val="28"/>
          <w:szCs w:val="28"/>
        </w:rPr>
        <w:t>в  создании</w:t>
      </w:r>
      <w:proofErr w:type="gramEnd"/>
      <w:r w:rsidRPr="00BB1BDF">
        <w:rPr>
          <w:rFonts w:ascii="Times New Roman" w:eastAsia="Calibri" w:hAnsi="Times New Roman" w:cs="Times New Roman"/>
          <w:sz w:val="28"/>
          <w:szCs w:val="28"/>
        </w:rPr>
        <w:t xml:space="preserve"> стимулов для формирования краткосрочных ставок денежного рынка вблизи ключевой ставки играют система инструментов Банка России и совершаемые в ее рамках операции с  кредитными организациям</w:t>
      </w:r>
      <w:r w:rsidR="004F4DF7">
        <w:rPr>
          <w:rFonts w:ascii="Times New Roman" w:eastAsia="Calibri" w:hAnsi="Times New Roman" w:cs="Times New Roman"/>
          <w:sz w:val="28"/>
          <w:szCs w:val="28"/>
        </w:rPr>
        <w:t>и</w:t>
      </w:r>
      <w:r w:rsidRPr="00BB1BDF">
        <w:rPr>
          <w:rFonts w:ascii="Times New Roman" w:eastAsia="Calibri" w:hAnsi="Times New Roman" w:cs="Times New Roman"/>
          <w:sz w:val="28"/>
          <w:szCs w:val="28"/>
        </w:rPr>
        <w:t xml:space="preserve"> . Направление основных операций Банка России зависит от состояния ликвидности банковского сектора. </w:t>
      </w:r>
      <w:r w:rsidR="005A78C8">
        <w:rPr>
          <w:rFonts w:ascii="Times New Roman" w:eastAsia="Calibri" w:hAnsi="Times New Roman" w:cs="Times New Roman"/>
          <w:sz w:val="28"/>
          <w:szCs w:val="28"/>
          <w:lang w:val="en-US"/>
        </w:rPr>
        <w:t>[10]</w:t>
      </w:r>
    </w:p>
    <w:p w:rsidR="004978CA"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BB1BDF">
        <w:rPr>
          <w:rFonts w:ascii="Times New Roman" w:eastAsia="Calibri" w:hAnsi="Times New Roman" w:cs="Times New Roman"/>
          <w:sz w:val="28"/>
          <w:szCs w:val="28"/>
        </w:rPr>
        <w:t xml:space="preserve">В начале 2017 г. произошел переход от дефицита к профициту ликвидности банковского сектора – к ситуации, когда на корсчетах кредитных организаций в Банке России накапливается объем средств, превышающий потребности в них для целей выполнения обязательных резервных требований, а также для проведения текущих платежей и осуществления расчетов. Условия для этого перехода складывались в предыдущие два года под влиянием длительного </w:t>
      </w:r>
      <w:proofErr w:type="gramStart"/>
      <w:r w:rsidRPr="00BB1BDF">
        <w:rPr>
          <w:rFonts w:ascii="Times New Roman" w:eastAsia="Calibri" w:hAnsi="Times New Roman" w:cs="Times New Roman"/>
          <w:sz w:val="28"/>
          <w:szCs w:val="28"/>
        </w:rPr>
        <w:t>и  масштабного</w:t>
      </w:r>
      <w:proofErr w:type="gramEnd"/>
      <w:r w:rsidRPr="00BB1BDF">
        <w:rPr>
          <w:rFonts w:ascii="Times New Roman" w:eastAsia="Calibri" w:hAnsi="Times New Roman" w:cs="Times New Roman"/>
          <w:sz w:val="28"/>
          <w:szCs w:val="28"/>
        </w:rPr>
        <w:t xml:space="preserve"> расходования ранее накопленных средств Резервного фонда. Заметный вклад </w:t>
      </w:r>
      <w:proofErr w:type="gramStart"/>
      <w:r w:rsidRPr="00BB1BDF">
        <w:rPr>
          <w:rFonts w:ascii="Times New Roman" w:eastAsia="Calibri" w:hAnsi="Times New Roman" w:cs="Times New Roman"/>
          <w:sz w:val="28"/>
          <w:szCs w:val="28"/>
        </w:rPr>
        <w:t>в  формирование</w:t>
      </w:r>
      <w:proofErr w:type="gramEnd"/>
      <w:r w:rsidRPr="00BB1BDF">
        <w:rPr>
          <w:rFonts w:ascii="Times New Roman" w:eastAsia="Calibri" w:hAnsi="Times New Roman" w:cs="Times New Roman"/>
          <w:sz w:val="28"/>
          <w:szCs w:val="28"/>
        </w:rPr>
        <w:t xml:space="preserve"> профицита ликвидности внесли и мероприятия по санации банков, в рамках которых предоставлялись средства через Агентство по  страхованию вкладов при действовавшем ранее механизме, а также предоставление Агентству по  страхованию вкладов кредитов для выплат компенсаций вкладчикам банков с  отозванной лицензией. Учитывая, что приток ликвидности </w:t>
      </w:r>
      <w:proofErr w:type="gramStart"/>
      <w:r w:rsidRPr="00BB1BDF">
        <w:rPr>
          <w:rFonts w:ascii="Times New Roman" w:eastAsia="Calibri" w:hAnsi="Times New Roman" w:cs="Times New Roman"/>
          <w:sz w:val="28"/>
          <w:szCs w:val="28"/>
        </w:rPr>
        <w:t>в  банковский</w:t>
      </w:r>
      <w:proofErr w:type="gramEnd"/>
      <w:r w:rsidRPr="00BB1BDF">
        <w:rPr>
          <w:rFonts w:ascii="Times New Roman" w:eastAsia="Calibri" w:hAnsi="Times New Roman" w:cs="Times New Roman"/>
          <w:sz w:val="28"/>
          <w:szCs w:val="28"/>
        </w:rPr>
        <w:t xml:space="preserve"> сектор оказывает понижательное давление на ставки денежного рынка, Банк России для их  сохранения вблизи ключе</w:t>
      </w:r>
      <w:r w:rsidRPr="00BB1BDF">
        <w:t xml:space="preserve"> </w:t>
      </w:r>
      <w:r w:rsidRPr="00BB1BDF">
        <w:rPr>
          <w:rFonts w:ascii="Times New Roman" w:eastAsia="Calibri" w:hAnsi="Times New Roman" w:cs="Times New Roman"/>
          <w:sz w:val="28"/>
          <w:szCs w:val="28"/>
        </w:rPr>
        <w:t>вой ставки проводит операции по  абсорбированию избыточной ликвидности. При этом данные операции не оказывают влияния на способность банков осуществлять кредитование или совершать иные виды сделок в рамках свое</w:t>
      </w:r>
      <w:r w:rsidR="000C4278">
        <w:rPr>
          <w:rFonts w:ascii="Times New Roman" w:eastAsia="Calibri" w:hAnsi="Times New Roman" w:cs="Times New Roman"/>
          <w:sz w:val="28"/>
          <w:szCs w:val="28"/>
        </w:rPr>
        <w:t>й деятельности</w:t>
      </w:r>
      <w:r w:rsidRPr="00BB1BDF">
        <w:rPr>
          <w:rFonts w:ascii="Times New Roman" w:eastAsia="Calibri" w:hAnsi="Times New Roman" w:cs="Times New Roman"/>
          <w:sz w:val="28"/>
          <w:szCs w:val="28"/>
        </w:rPr>
        <w:t xml:space="preserve">. Банк России с IV квартала 2016 г. перешел </w:t>
      </w:r>
      <w:proofErr w:type="gramStart"/>
      <w:r w:rsidRPr="00BB1BDF">
        <w:rPr>
          <w:rFonts w:ascii="Times New Roman" w:eastAsia="Calibri" w:hAnsi="Times New Roman" w:cs="Times New Roman"/>
          <w:sz w:val="28"/>
          <w:szCs w:val="28"/>
        </w:rPr>
        <w:t>к  регулярному</w:t>
      </w:r>
      <w:proofErr w:type="gramEnd"/>
      <w:r w:rsidRPr="00BB1BDF">
        <w:rPr>
          <w:rFonts w:ascii="Times New Roman" w:eastAsia="Calibri" w:hAnsi="Times New Roman" w:cs="Times New Roman"/>
          <w:sz w:val="28"/>
          <w:szCs w:val="28"/>
        </w:rPr>
        <w:t xml:space="preserve"> проведению депозитных аукционов. </w:t>
      </w:r>
      <w:proofErr w:type="gramStart"/>
      <w:r w:rsidRPr="00BB1BDF">
        <w:rPr>
          <w:rFonts w:ascii="Times New Roman" w:eastAsia="Calibri" w:hAnsi="Times New Roman" w:cs="Times New Roman"/>
          <w:sz w:val="28"/>
          <w:szCs w:val="28"/>
        </w:rPr>
        <w:t>В  январе</w:t>
      </w:r>
      <w:proofErr w:type="gramEnd"/>
      <w:r w:rsidRPr="00BB1BDF">
        <w:rPr>
          <w:rFonts w:ascii="Times New Roman" w:eastAsia="Calibri" w:hAnsi="Times New Roman" w:cs="Times New Roman"/>
          <w:sz w:val="28"/>
          <w:szCs w:val="28"/>
        </w:rPr>
        <w:t xml:space="preserve">-октябре 2017  г. посредством этих операций Банк России в среднем еженедельно абсорбировал около 700 млрд руб. избыточных средств. Лимиты на депозитных аукционах, то есть </w:t>
      </w:r>
      <w:r w:rsidRPr="00BB1BDF">
        <w:rPr>
          <w:rFonts w:ascii="Times New Roman" w:eastAsia="Calibri" w:hAnsi="Times New Roman" w:cs="Times New Roman"/>
          <w:sz w:val="28"/>
          <w:szCs w:val="28"/>
        </w:rPr>
        <w:lastRenderedPageBreak/>
        <w:t xml:space="preserve">максимальный объем средств, которые Банк России намеревался привлечь в депозиты, устанавливались с учетом влияния факторов формировании ликвидности банковского сектора, в том числе бюджетных потоков и средств, выделяемых на санацию банков. При этом сумма лимита могла существенно изменяться от недели к неделе, что связано </w:t>
      </w:r>
      <w:proofErr w:type="gramStart"/>
      <w:r w:rsidRPr="00BB1BDF">
        <w:rPr>
          <w:rFonts w:ascii="Times New Roman" w:eastAsia="Calibri" w:hAnsi="Times New Roman" w:cs="Times New Roman"/>
          <w:sz w:val="28"/>
          <w:szCs w:val="28"/>
        </w:rPr>
        <w:t>с  высокой</w:t>
      </w:r>
      <w:proofErr w:type="gramEnd"/>
      <w:r w:rsidRPr="00BB1BDF">
        <w:rPr>
          <w:rFonts w:ascii="Times New Roman" w:eastAsia="Calibri" w:hAnsi="Times New Roman" w:cs="Times New Roman"/>
          <w:sz w:val="28"/>
          <w:szCs w:val="28"/>
        </w:rPr>
        <w:t xml:space="preserve"> волатильностью, свойственной автономным факторам формирования ликвидности  – прежде всего изменению наличных денег в</w:t>
      </w:r>
      <w:r w:rsidR="004978CA">
        <w:rPr>
          <w:rFonts w:ascii="Times New Roman" w:eastAsia="Calibri" w:hAnsi="Times New Roman" w:cs="Times New Roman"/>
          <w:sz w:val="28"/>
          <w:szCs w:val="28"/>
        </w:rPr>
        <w:t> обращении и бюджетным потокам.</w:t>
      </w:r>
    </w:p>
    <w:p w:rsidR="004978CA" w:rsidRPr="005A78C8"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BB1BDF">
        <w:rPr>
          <w:rFonts w:ascii="Times New Roman" w:eastAsia="Calibri" w:hAnsi="Times New Roman" w:cs="Times New Roman"/>
          <w:sz w:val="28"/>
          <w:szCs w:val="28"/>
        </w:rPr>
        <w:t xml:space="preserve">Например, в отдельные периоды отток средств </w:t>
      </w:r>
      <w:proofErr w:type="gramStart"/>
      <w:r w:rsidRPr="00BB1BDF">
        <w:rPr>
          <w:rFonts w:ascii="Times New Roman" w:eastAsia="Calibri" w:hAnsi="Times New Roman" w:cs="Times New Roman"/>
          <w:sz w:val="28"/>
          <w:szCs w:val="28"/>
        </w:rPr>
        <w:t>из  банковского</w:t>
      </w:r>
      <w:proofErr w:type="gramEnd"/>
      <w:r w:rsidRPr="00BB1BDF">
        <w:rPr>
          <w:rFonts w:ascii="Times New Roman" w:eastAsia="Calibri" w:hAnsi="Times New Roman" w:cs="Times New Roman"/>
          <w:sz w:val="28"/>
          <w:szCs w:val="28"/>
        </w:rPr>
        <w:t xml:space="preserve"> сектора достигал 700–800 млрд руб., что требовало соответствующей корректиро</w:t>
      </w:r>
      <w:r w:rsidR="00E00CA6">
        <w:rPr>
          <w:rFonts w:ascii="Times New Roman" w:eastAsia="Calibri" w:hAnsi="Times New Roman" w:cs="Times New Roman"/>
          <w:sz w:val="28"/>
          <w:szCs w:val="28"/>
        </w:rPr>
        <w:t>вки лимита депозитных аукционов</w:t>
      </w:r>
      <w:r w:rsidRPr="00BB1BDF">
        <w:rPr>
          <w:rFonts w:ascii="Times New Roman" w:eastAsia="Calibri" w:hAnsi="Times New Roman" w:cs="Times New Roman"/>
          <w:sz w:val="28"/>
          <w:szCs w:val="28"/>
        </w:rPr>
        <w:t xml:space="preserve"> . Для смягчения влияния </w:t>
      </w:r>
      <w:proofErr w:type="gramStart"/>
      <w:r w:rsidRPr="00BB1BDF">
        <w:rPr>
          <w:rFonts w:ascii="Times New Roman" w:eastAsia="Calibri" w:hAnsi="Times New Roman" w:cs="Times New Roman"/>
          <w:sz w:val="28"/>
          <w:szCs w:val="28"/>
        </w:rPr>
        <w:t>на  потребность</w:t>
      </w:r>
      <w:proofErr w:type="gramEnd"/>
      <w:r w:rsidRPr="00BB1BDF">
        <w:rPr>
          <w:rFonts w:ascii="Times New Roman" w:eastAsia="Calibri" w:hAnsi="Times New Roman" w:cs="Times New Roman"/>
          <w:sz w:val="28"/>
          <w:szCs w:val="28"/>
        </w:rPr>
        <w:t xml:space="preserve"> банков в  ликвидности высокой волатильности автономных факторов ее формирования используется механизм ус</w:t>
      </w:r>
      <w:r w:rsidR="004978CA">
        <w:rPr>
          <w:rFonts w:ascii="Times New Roman" w:eastAsia="Calibri" w:hAnsi="Times New Roman" w:cs="Times New Roman"/>
          <w:sz w:val="28"/>
          <w:szCs w:val="28"/>
        </w:rPr>
        <w:t>реднения обязательных резервов.</w:t>
      </w:r>
      <w:r w:rsidR="004277F2" w:rsidRPr="004277F2">
        <w:rPr>
          <w:rFonts w:ascii="Times New Roman" w:eastAsia="Calibri" w:hAnsi="Times New Roman" w:cs="Times New Roman"/>
          <w:sz w:val="28"/>
          <w:szCs w:val="28"/>
        </w:rPr>
        <w:t xml:space="preserve"> </w:t>
      </w:r>
      <w:r w:rsidR="005A78C8" w:rsidRPr="005A78C8">
        <w:rPr>
          <w:rFonts w:ascii="Times New Roman" w:eastAsia="Calibri" w:hAnsi="Times New Roman" w:cs="Times New Roman"/>
          <w:sz w:val="28"/>
          <w:szCs w:val="28"/>
        </w:rPr>
        <w:t>[7]</w:t>
      </w:r>
    </w:p>
    <w:p w:rsidR="001A01B3" w:rsidRDefault="004978CA"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Этот механизм</w:t>
      </w:r>
      <w:r w:rsidR="001A01B3" w:rsidRPr="00BB1BDF">
        <w:rPr>
          <w:rFonts w:ascii="Times New Roman" w:eastAsia="Calibri" w:hAnsi="Times New Roman" w:cs="Times New Roman"/>
          <w:sz w:val="28"/>
          <w:szCs w:val="28"/>
        </w:rPr>
        <w:t xml:space="preserve"> позволяет кредитным организациям поддерживать обязательные резервы </w:t>
      </w:r>
      <w:proofErr w:type="gramStart"/>
      <w:r w:rsidR="001A01B3" w:rsidRPr="00BB1BDF">
        <w:rPr>
          <w:rFonts w:ascii="Times New Roman" w:eastAsia="Calibri" w:hAnsi="Times New Roman" w:cs="Times New Roman"/>
          <w:sz w:val="28"/>
          <w:szCs w:val="28"/>
        </w:rPr>
        <w:t>на  корсчетах</w:t>
      </w:r>
      <w:proofErr w:type="gramEnd"/>
      <w:r w:rsidR="001A01B3" w:rsidRPr="00BB1BDF">
        <w:rPr>
          <w:rFonts w:ascii="Times New Roman" w:eastAsia="Calibri" w:hAnsi="Times New Roman" w:cs="Times New Roman"/>
          <w:sz w:val="28"/>
          <w:szCs w:val="28"/>
        </w:rPr>
        <w:t xml:space="preserve"> в  Банке России в  соответствии с  нормативами в среднем за период, сост</w:t>
      </w:r>
      <w:r w:rsidR="000C4278">
        <w:rPr>
          <w:rFonts w:ascii="Times New Roman" w:eastAsia="Calibri" w:hAnsi="Times New Roman" w:cs="Times New Roman"/>
          <w:sz w:val="28"/>
          <w:szCs w:val="28"/>
        </w:rPr>
        <w:t>авляющий четыре или пять недель</w:t>
      </w:r>
      <w:r w:rsidR="001A01B3" w:rsidRPr="00BB1BDF">
        <w:rPr>
          <w:rFonts w:ascii="Times New Roman" w:eastAsia="Calibri" w:hAnsi="Times New Roman" w:cs="Times New Roman"/>
          <w:sz w:val="28"/>
          <w:szCs w:val="28"/>
        </w:rPr>
        <w:t xml:space="preserve"> , а не каждый день. Это дает возможность кредитным организациям </w:t>
      </w:r>
      <w:proofErr w:type="gramStart"/>
      <w:r w:rsidR="001A01B3" w:rsidRPr="00BB1BDF">
        <w:rPr>
          <w:rFonts w:ascii="Times New Roman" w:eastAsia="Calibri" w:hAnsi="Times New Roman" w:cs="Times New Roman"/>
          <w:sz w:val="28"/>
          <w:szCs w:val="28"/>
        </w:rPr>
        <w:t>в  рамках</w:t>
      </w:r>
      <w:proofErr w:type="gramEnd"/>
      <w:r w:rsidR="001A01B3" w:rsidRPr="00BB1BDF">
        <w:rPr>
          <w:rFonts w:ascii="Times New Roman" w:eastAsia="Calibri" w:hAnsi="Times New Roman" w:cs="Times New Roman"/>
          <w:sz w:val="28"/>
          <w:szCs w:val="28"/>
        </w:rPr>
        <w:t xml:space="preserve"> установленных нормативов гибко управлять объемом средств на корсчетах, снижая уровень в  периоды оттока ликвидности и, напротив, повышая – в периоды существенного притока ликвидности. Текущие нормативы обязательных резервов (при обеспечении возможности поддерживать 80% от нормативной величины обязательных резервов на корсчетах) установлены </w:t>
      </w:r>
      <w:proofErr w:type="gramStart"/>
      <w:r w:rsidR="001A01B3" w:rsidRPr="00BB1BDF">
        <w:rPr>
          <w:rFonts w:ascii="Times New Roman" w:eastAsia="Calibri" w:hAnsi="Times New Roman" w:cs="Times New Roman"/>
          <w:sz w:val="28"/>
          <w:szCs w:val="28"/>
        </w:rPr>
        <w:t>на  уровне</w:t>
      </w:r>
      <w:proofErr w:type="gramEnd"/>
      <w:r w:rsidR="001A01B3" w:rsidRPr="00BB1BDF">
        <w:rPr>
          <w:rFonts w:ascii="Times New Roman" w:eastAsia="Calibri" w:hAnsi="Times New Roman" w:cs="Times New Roman"/>
          <w:sz w:val="28"/>
          <w:szCs w:val="28"/>
        </w:rPr>
        <w:t xml:space="preserve">, обеспечивающем банковскому сектору высокую степень защиты от значительных и непредсказуемых изменений объема ликвидности банковского сектора.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BB1BDF">
        <w:rPr>
          <w:rFonts w:ascii="Times New Roman" w:eastAsia="Calibri" w:hAnsi="Times New Roman" w:cs="Times New Roman"/>
          <w:sz w:val="28"/>
          <w:szCs w:val="28"/>
        </w:rPr>
        <w:t xml:space="preserve">В 2017 г. объем средств, которые кредитные организации должны были в среднем за период усреднения поддерживать на корсчетах, составлял 1,7–1,9 трлн руб. (еще 0,5 трлн руб. банки должны были держать на специальных счетах для хранения обязательных резервов, средства </w:t>
      </w:r>
      <w:proofErr w:type="gramStart"/>
      <w:r w:rsidRPr="00BB1BDF">
        <w:rPr>
          <w:rFonts w:ascii="Times New Roman" w:eastAsia="Calibri" w:hAnsi="Times New Roman" w:cs="Times New Roman"/>
          <w:sz w:val="28"/>
          <w:szCs w:val="28"/>
        </w:rPr>
        <w:t>на  которых</w:t>
      </w:r>
      <w:proofErr w:type="gramEnd"/>
      <w:r w:rsidRPr="00BB1BDF">
        <w:rPr>
          <w:rFonts w:ascii="Times New Roman" w:eastAsia="Calibri" w:hAnsi="Times New Roman" w:cs="Times New Roman"/>
          <w:sz w:val="28"/>
          <w:szCs w:val="28"/>
        </w:rPr>
        <w:t xml:space="preserve"> банкам не  доступны для текущих расчетов). Их было достаточно для того, чтобы банковский сектор мог нормально проводить платежи, связанные </w:t>
      </w:r>
      <w:proofErr w:type="gramStart"/>
      <w:r w:rsidRPr="00BB1BDF">
        <w:rPr>
          <w:rFonts w:ascii="Times New Roman" w:eastAsia="Calibri" w:hAnsi="Times New Roman" w:cs="Times New Roman"/>
          <w:sz w:val="28"/>
          <w:szCs w:val="28"/>
        </w:rPr>
        <w:lastRenderedPageBreak/>
        <w:t>с  изменениями</w:t>
      </w:r>
      <w:proofErr w:type="gramEnd"/>
      <w:r w:rsidRPr="00BB1BDF">
        <w:rPr>
          <w:rFonts w:ascii="Times New Roman" w:eastAsia="Calibri" w:hAnsi="Times New Roman" w:cs="Times New Roman"/>
          <w:sz w:val="28"/>
          <w:szCs w:val="28"/>
        </w:rPr>
        <w:t xml:space="preserve"> наличных денег в обращении и бюджетными потоками5 . Другим инструментом</w:t>
      </w:r>
      <w:r>
        <w:rPr>
          <w:rFonts w:ascii="Times New Roman" w:eastAsia="Calibri" w:hAnsi="Times New Roman" w:cs="Times New Roman"/>
          <w:sz w:val="28"/>
          <w:szCs w:val="28"/>
        </w:rPr>
        <w:t xml:space="preserve"> </w:t>
      </w:r>
      <w:r w:rsidRPr="00BB1BDF">
        <w:rPr>
          <w:rFonts w:ascii="Times New Roman" w:eastAsia="Calibri" w:hAnsi="Times New Roman" w:cs="Times New Roman"/>
          <w:sz w:val="28"/>
          <w:szCs w:val="28"/>
        </w:rPr>
        <w:t xml:space="preserve">сглаживания непредсказуемого влияния автономных факторов формирования ликвидности являются аукционы «тонкой настройки». </w:t>
      </w:r>
      <w:proofErr w:type="gramStart"/>
      <w:r w:rsidRPr="00BB1BDF">
        <w:rPr>
          <w:rFonts w:ascii="Times New Roman" w:eastAsia="Calibri" w:hAnsi="Times New Roman" w:cs="Times New Roman"/>
          <w:sz w:val="28"/>
          <w:szCs w:val="28"/>
        </w:rPr>
        <w:t>В  первой</w:t>
      </w:r>
      <w:proofErr w:type="gramEnd"/>
      <w:r w:rsidRPr="00BB1BDF">
        <w:rPr>
          <w:rFonts w:ascii="Times New Roman" w:eastAsia="Calibri" w:hAnsi="Times New Roman" w:cs="Times New Roman"/>
          <w:sz w:val="28"/>
          <w:szCs w:val="28"/>
        </w:rPr>
        <w:t xml:space="preserve"> половине 2017  г. аукционы «тонкой настройки» проводились Банком России точечно и не в каждом периоде усреднения. </w:t>
      </w:r>
      <w:proofErr w:type="gramStart"/>
      <w:r w:rsidRPr="00BB1BDF">
        <w:rPr>
          <w:rFonts w:ascii="Times New Roman" w:eastAsia="Calibri" w:hAnsi="Times New Roman" w:cs="Times New Roman"/>
          <w:sz w:val="28"/>
          <w:szCs w:val="28"/>
        </w:rPr>
        <w:t>С  августа</w:t>
      </w:r>
      <w:proofErr w:type="gramEnd"/>
      <w:r w:rsidRPr="00BB1BDF">
        <w:rPr>
          <w:rFonts w:ascii="Times New Roman" w:eastAsia="Calibri" w:hAnsi="Times New Roman" w:cs="Times New Roman"/>
          <w:sz w:val="28"/>
          <w:szCs w:val="28"/>
        </w:rPr>
        <w:t xml:space="preserve"> потребность в  их  проведении возросла в  результате притока ликвидности в банковский сектор за счет операций Фонда консолидации банковского сектора.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roofErr w:type="gramStart"/>
      <w:r w:rsidRPr="00BB1BDF">
        <w:rPr>
          <w:rFonts w:ascii="Times New Roman" w:eastAsia="Calibri" w:hAnsi="Times New Roman" w:cs="Times New Roman"/>
          <w:sz w:val="28"/>
          <w:szCs w:val="28"/>
        </w:rPr>
        <w:t>На  трехлетнем</w:t>
      </w:r>
      <w:proofErr w:type="gramEnd"/>
      <w:r w:rsidRPr="00BB1BDF">
        <w:rPr>
          <w:rFonts w:ascii="Times New Roman" w:eastAsia="Calibri" w:hAnsi="Times New Roman" w:cs="Times New Roman"/>
          <w:sz w:val="28"/>
          <w:szCs w:val="28"/>
        </w:rPr>
        <w:t xml:space="preserve"> горизонте сохранится профицит ликвидности банковского сектора, ожидается увеличение его объема с  1,8–2,3  трлн руб. на  конец 2017  г. до 2–3 трлн руб. по итогам 2020 года. Фактическая динамика будет зависеть прежде всего от объемов финансирования дефицита бюджета из средств суверенных фондов. Изменение механизма санации кредитных организаций, предполагающее переход </w:t>
      </w:r>
      <w:proofErr w:type="gramStart"/>
      <w:r w:rsidRPr="00BB1BDF">
        <w:rPr>
          <w:rFonts w:ascii="Times New Roman" w:eastAsia="Calibri" w:hAnsi="Times New Roman" w:cs="Times New Roman"/>
          <w:sz w:val="28"/>
          <w:szCs w:val="28"/>
        </w:rPr>
        <w:t>к  прямому</w:t>
      </w:r>
      <w:proofErr w:type="gramEnd"/>
      <w:r w:rsidRPr="00BB1BDF">
        <w:rPr>
          <w:rFonts w:ascii="Times New Roman" w:eastAsia="Calibri" w:hAnsi="Times New Roman" w:cs="Times New Roman"/>
          <w:sz w:val="28"/>
          <w:szCs w:val="28"/>
        </w:rPr>
        <w:t xml:space="preserve"> участию Банка России в  капитале кредитных организаций, не  приведет к  существенному изменению характера влияния мер по оздоровлению банковского сектора на процесс формирования банковской ликвидности</w:t>
      </w:r>
      <w:r>
        <w:rPr>
          <w:rFonts w:ascii="Times New Roman" w:eastAsia="Calibri" w:hAnsi="Times New Roman" w:cs="Times New Roman"/>
          <w:sz w:val="28"/>
          <w:szCs w:val="28"/>
        </w:rPr>
        <w:t>.</w:t>
      </w:r>
    </w:p>
    <w:p w:rsidR="001A01B3" w:rsidRDefault="001A01B3" w:rsidP="0051021D">
      <w:pPr>
        <w:tabs>
          <w:tab w:val="right" w:leader="dot" w:pos="9639"/>
        </w:tabs>
        <w:spacing w:after="0" w:line="360" w:lineRule="auto"/>
        <w:contextualSpacing/>
        <w:jc w:val="both"/>
        <w:rPr>
          <w:rFonts w:ascii="Times New Roman" w:eastAsia="Calibri" w:hAnsi="Times New Roman" w:cs="Times New Roman"/>
          <w:sz w:val="28"/>
          <w:szCs w:val="28"/>
        </w:rPr>
      </w:pPr>
    </w:p>
    <w:p w:rsidR="001A01B3" w:rsidRPr="00D75F67" w:rsidRDefault="00D75F67" w:rsidP="007341DF">
      <w:pPr>
        <w:tabs>
          <w:tab w:val="right" w:leader="dot" w:pos="9639"/>
        </w:tabs>
        <w:spacing w:after="0" w:line="36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001A01B3" w:rsidRPr="00D75F67">
        <w:rPr>
          <w:rFonts w:ascii="Times New Roman" w:eastAsia="Calibri" w:hAnsi="Times New Roman" w:cs="Times New Roman"/>
          <w:sz w:val="28"/>
          <w:szCs w:val="28"/>
        </w:rPr>
        <w:t>Условия реализации и меры д</w:t>
      </w:r>
      <w:r w:rsidR="00776F02">
        <w:rPr>
          <w:rFonts w:ascii="Times New Roman" w:eastAsia="Calibri" w:hAnsi="Times New Roman" w:cs="Times New Roman"/>
          <w:sz w:val="28"/>
          <w:szCs w:val="28"/>
        </w:rPr>
        <w:t>енежно-кредитной политики в 2018</w:t>
      </w:r>
      <w:r w:rsidR="001A01B3" w:rsidRPr="00D75F67">
        <w:rPr>
          <w:rFonts w:ascii="Times New Roman" w:eastAsia="Calibri" w:hAnsi="Times New Roman" w:cs="Times New Roman"/>
          <w:sz w:val="28"/>
          <w:szCs w:val="28"/>
        </w:rPr>
        <w:t xml:space="preserve"> году</w:t>
      </w:r>
    </w:p>
    <w:p w:rsidR="001A01B3" w:rsidRPr="004A0ACC" w:rsidRDefault="001A01B3" w:rsidP="001A01B3">
      <w:pPr>
        <w:tabs>
          <w:tab w:val="right" w:leader="dot" w:pos="9639"/>
        </w:tabs>
        <w:spacing w:after="0" w:line="360" w:lineRule="auto"/>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 xml:space="preserve">Принимая решения </w:t>
      </w:r>
      <w:proofErr w:type="gramStart"/>
      <w:r w:rsidRPr="004A0ACC">
        <w:rPr>
          <w:rFonts w:ascii="Times New Roman" w:eastAsia="Calibri" w:hAnsi="Times New Roman" w:cs="Times New Roman"/>
          <w:sz w:val="28"/>
          <w:szCs w:val="28"/>
        </w:rPr>
        <w:t>об  уровне</w:t>
      </w:r>
      <w:proofErr w:type="gramEnd"/>
      <w:r w:rsidRPr="004A0ACC">
        <w:rPr>
          <w:rFonts w:ascii="Times New Roman" w:eastAsia="Calibri" w:hAnsi="Times New Roman" w:cs="Times New Roman"/>
          <w:sz w:val="28"/>
          <w:szCs w:val="28"/>
        </w:rPr>
        <w:t xml:space="preserve"> ключевой ставки в  2018 г., Банк России исходил из цели и принципов денежно-кредитной политики, изложенных в  ОНЕГДКП 2018–2020  годов.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 xml:space="preserve">После снижения инфляции до 4% в середине 2017 г. денежно-кредитная политика нацелена </w:t>
      </w:r>
      <w:proofErr w:type="gramStart"/>
      <w:r w:rsidRPr="004A0ACC">
        <w:rPr>
          <w:rFonts w:ascii="Times New Roman" w:eastAsia="Calibri" w:hAnsi="Times New Roman" w:cs="Times New Roman"/>
          <w:sz w:val="28"/>
          <w:szCs w:val="28"/>
        </w:rPr>
        <w:t>на  ее</w:t>
      </w:r>
      <w:proofErr w:type="gramEnd"/>
      <w:r w:rsidRPr="004A0ACC">
        <w:rPr>
          <w:rFonts w:ascii="Times New Roman" w:eastAsia="Calibri" w:hAnsi="Times New Roman" w:cs="Times New Roman"/>
          <w:sz w:val="28"/>
          <w:szCs w:val="28"/>
        </w:rPr>
        <w:t xml:space="preserve"> закрепление вблизи 4%. Учитывая, что решения по ключевой ставке влияют на динамику цен не сразу, а с течением времени, Банк России оценивает устойчивость факторов, оказывающих влияние </w:t>
      </w:r>
      <w:proofErr w:type="gramStart"/>
      <w:r w:rsidRPr="004A0ACC">
        <w:rPr>
          <w:rFonts w:ascii="Times New Roman" w:eastAsia="Calibri" w:hAnsi="Times New Roman" w:cs="Times New Roman"/>
          <w:sz w:val="28"/>
          <w:szCs w:val="28"/>
        </w:rPr>
        <w:t>на  инфляцию</w:t>
      </w:r>
      <w:proofErr w:type="gramEnd"/>
      <w:r w:rsidRPr="004A0ACC">
        <w:rPr>
          <w:rFonts w:ascii="Times New Roman" w:eastAsia="Calibri" w:hAnsi="Times New Roman" w:cs="Times New Roman"/>
          <w:sz w:val="28"/>
          <w:szCs w:val="28"/>
        </w:rPr>
        <w:t xml:space="preserve">, и  формирует макроэкономический прогноз. </w:t>
      </w:r>
      <w:proofErr w:type="gramStart"/>
      <w:r w:rsidRPr="004A0ACC">
        <w:rPr>
          <w:rFonts w:ascii="Times New Roman" w:eastAsia="Calibri" w:hAnsi="Times New Roman" w:cs="Times New Roman"/>
          <w:sz w:val="28"/>
          <w:szCs w:val="28"/>
        </w:rPr>
        <w:t>На  его</w:t>
      </w:r>
      <w:proofErr w:type="gramEnd"/>
      <w:r w:rsidRPr="004A0ACC">
        <w:rPr>
          <w:rFonts w:ascii="Times New Roman" w:eastAsia="Calibri" w:hAnsi="Times New Roman" w:cs="Times New Roman"/>
          <w:sz w:val="28"/>
          <w:szCs w:val="28"/>
        </w:rPr>
        <w:t xml:space="preserve"> основе, а  также с  учетом рисков Банк России принимает решения </w:t>
      </w:r>
      <w:r w:rsidRPr="004A0ACC">
        <w:rPr>
          <w:rFonts w:ascii="Times New Roman" w:eastAsia="Calibri" w:hAnsi="Times New Roman" w:cs="Times New Roman"/>
          <w:sz w:val="28"/>
          <w:szCs w:val="28"/>
        </w:rPr>
        <w:lastRenderedPageBreak/>
        <w:t>по ключевой ставке</w:t>
      </w:r>
      <w:r>
        <w:rPr>
          <w:rFonts w:ascii="Times New Roman" w:eastAsia="Calibri" w:hAnsi="Times New Roman" w:cs="Times New Roman"/>
          <w:sz w:val="28"/>
          <w:szCs w:val="28"/>
        </w:rPr>
        <w:t>, ее изменение в течение последние п</w:t>
      </w:r>
      <w:r w:rsidR="00A90978">
        <w:rPr>
          <w:rFonts w:ascii="Times New Roman" w:eastAsia="Calibri" w:hAnsi="Times New Roman" w:cs="Times New Roman"/>
          <w:sz w:val="28"/>
          <w:szCs w:val="28"/>
        </w:rPr>
        <w:t>ять лет представлены в таблице 2</w:t>
      </w:r>
      <w:r w:rsidRPr="004A0ACC">
        <w:rPr>
          <w:rFonts w:ascii="Times New Roman" w:eastAsia="Calibri" w:hAnsi="Times New Roman" w:cs="Times New Roman"/>
          <w:sz w:val="28"/>
          <w:szCs w:val="28"/>
        </w:rPr>
        <w:t xml:space="preserve">. </w:t>
      </w:r>
    </w:p>
    <w:p w:rsidR="001A01B3" w:rsidRDefault="00A90978"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proofErr w:type="gramStart"/>
      <w:r>
        <w:rPr>
          <w:rFonts w:ascii="Times New Roman" w:eastAsia="Calibri" w:hAnsi="Times New Roman" w:cs="Times New Roman"/>
          <w:sz w:val="28"/>
          <w:szCs w:val="28"/>
        </w:rPr>
        <w:t>2</w:t>
      </w:r>
      <w:r w:rsidR="001A01B3" w:rsidRPr="00FC7F16">
        <w:rPr>
          <w:rFonts w:ascii="Times New Roman" w:eastAsia="Calibri" w:hAnsi="Times New Roman" w:cs="Times New Roman"/>
          <w:sz w:val="28"/>
          <w:szCs w:val="28"/>
        </w:rPr>
        <w:t xml:space="preserve"> </w:t>
      </w:r>
      <w:r w:rsidR="00D75F67">
        <w:rPr>
          <w:rFonts w:ascii="Times New Roman" w:eastAsia="Calibri" w:hAnsi="Times New Roman" w:cs="Times New Roman"/>
          <w:sz w:val="28"/>
          <w:szCs w:val="28"/>
        </w:rPr>
        <w:sym w:font="Symbol" w:char="F02D"/>
      </w:r>
      <w:r w:rsidR="00D75F67">
        <w:rPr>
          <w:rFonts w:ascii="Times New Roman" w:eastAsia="Calibri" w:hAnsi="Times New Roman" w:cs="Times New Roman"/>
          <w:sz w:val="28"/>
          <w:szCs w:val="28"/>
        </w:rPr>
        <w:t xml:space="preserve"> </w:t>
      </w:r>
      <w:r w:rsidR="001A01B3" w:rsidRPr="00FC7F16">
        <w:rPr>
          <w:rFonts w:ascii="Times New Roman" w:eastAsia="Calibri" w:hAnsi="Times New Roman" w:cs="Times New Roman"/>
          <w:sz w:val="28"/>
          <w:szCs w:val="28"/>
        </w:rPr>
        <w:t>Динамика</w:t>
      </w:r>
      <w:proofErr w:type="gramEnd"/>
      <w:r w:rsidR="001A01B3" w:rsidRPr="00FC7F16">
        <w:rPr>
          <w:rFonts w:ascii="Times New Roman" w:eastAsia="Calibri" w:hAnsi="Times New Roman" w:cs="Times New Roman"/>
          <w:sz w:val="28"/>
          <w:szCs w:val="28"/>
        </w:rPr>
        <w:t xml:space="preserve"> ключевой ставки Банка России</w:t>
      </w:r>
    </w:p>
    <w:tbl>
      <w:tblPr>
        <w:tblStyle w:val="a6"/>
        <w:tblW w:w="4397" w:type="pct"/>
        <w:tblLook w:val="04A0" w:firstRow="1" w:lastRow="0" w:firstColumn="1" w:lastColumn="0" w:noHBand="0" w:noVBand="1"/>
      </w:tblPr>
      <w:tblGrid>
        <w:gridCol w:w="3281"/>
        <w:gridCol w:w="2128"/>
        <w:gridCol w:w="2809"/>
      </w:tblGrid>
      <w:tr w:rsidR="001A01B3" w:rsidRPr="00674CDB" w:rsidTr="008D7FFC">
        <w:trPr>
          <w:trHeight w:val="634"/>
        </w:trPr>
        <w:tc>
          <w:tcPr>
            <w:tcW w:w="0" w:type="auto"/>
            <w:hideMark/>
          </w:tcPr>
          <w:p w:rsidR="001A01B3" w:rsidRPr="0051021D" w:rsidRDefault="001A01B3" w:rsidP="00D574C2">
            <w:pPr>
              <w:rPr>
                <w:rFonts w:ascii="Times New Roman" w:hAnsi="Times New Roman" w:cs="Times New Roman"/>
                <w:b/>
                <w:bCs/>
              </w:rPr>
            </w:pPr>
            <w:r w:rsidRPr="0051021D">
              <w:rPr>
                <w:rFonts w:ascii="Times New Roman" w:hAnsi="Times New Roman" w:cs="Times New Roman"/>
                <w:b/>
                <w:bCs/>
              </w:rPr>
              <w:t>Период действия</w:t>
            </w:r>
          </w:p>
        </w:tc>
        <w:tc>
          <w:tcPr>
            <w:tcW w:w="1295" w:type="pct"/>
            <w:hideMark/>
          </w:tcPr>
          <w:p w:rsidR="001A01B3" w:rsidRPr="0051021D" w:rsidRDefault="001A01B3" w:rsidP="00D574C2">
            <w:pPr>
              <w:rPr>
                <w:rFonts w:ascii="Times New Roman" w:hAnsi="Times New Roman" w:cs="Times New Roman"/>
                <w:b/>
                <w:bCs/>
              </w:rPr>
            </w:pPr>
            <w:r w:rsidRPr="0051021D">
              <w:rPr>
                <w:rFonts w:ascii="Times New Roman" w:hAnsi="Times New Roman" w:cs="Times New Roman"/>
                <w:b/>
                <w:bCs/>
              </w:rPr>
              <w:t>Ключевая ставка Банка России (%)</w:t>
            </w:r>
          </w:p>
        </w:tc>
        <w:tc>
          <w:tcPr>
            <w:tcW w:w="1709" w:type="pct"/>
            <w:hideMark/>
          </w:tcPr>
          <w:p w:rsidR="001A01B3" w:rsidRPr="0051021D" w:rsidRDefault="001A01B3" w:rsidP="00D574C2">
            <w:pPr>
              <w:rPr>
                <w:rFonts w:ascii="Times New Roman" w:hAnsi="Times New Roman" w:cs="Times New Roman"/>
                <w:b/>
                <w:bCs/>
              </w:rPr>
            </w:pPr>
            <w:r w:rsidRPr="0051021D">
              <w:rPr>
                <w:rFonts w:ascii="Times New Roman" w:hAnsi="Times New Roman" w:cs="Times New Roman"/>
                <w:b/>
                <w:bCs/>
              </w:rPr>
              <w:t>Границы</w:t>
            </w:r>
            <w:r w:rsidR="00A86532">
              <w:rPr>
                <w:rFonts w:ascii="Times New Roman" w:hAnsi="Times New Roman" w:cs="Times New Roman"/>
                <w:b/>
                <w:bCs/>
              </w:rPr>
              <w:t xml:space="preserve"> коридора процентных ставок (%)</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17 сентября 2018 г. - по 26 октября 2018 года (дата может уточняться)</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26 марта 2018 г. - по 16 сентября 2018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7,25</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8,25- 6,25</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12 февраля 2018 г. - по 25 марта 2018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8,50- 6,50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18 декабря 2017 г. - по 11 февраля 2018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7,75</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8,75 - 6,75</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30 октября 2017 г. - по 17 декабря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8,25</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9,25 - 7,25</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18 сентября 2017 г. - по 29 октября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9,50 - 7,50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19 июня 2017 г. - по 17 сентября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10,00 - 8,00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02 мая 2017 г. - по 18 июня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9,25</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10,25 - 8,25</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27 марта 2017 г. - по 01 мая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9,75</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10,75 - 8,75</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19 сентября 2016 г. - по 26 марта 2017 года</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11,00 - 9,00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14 июня 2016 г. - по 18 сентября 2016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11,50 - 9,50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03 августа 2015 г. - по 13 июня 2016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11,00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12,00 - 10,00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16 июня 2015 г. - по 02 августа 2015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11,50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12,50 - 10,50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05 мая 2015 г. - 15 июня 2015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12,50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13,50 - 11,50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16 марта 2015 г. по 04 мая 2015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14,00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15,00 - 13,00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02 февраля 2015 г. по 15 марта 2015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15,00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16,00 - 14,00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16 декабря 2014 г. по 01 февраля 2015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17,00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18,00 - 16,00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12 декабря 2014 г. по 15 декабря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11,50 - 9,50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05 ноября 2014 г. по 11 декабря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10,50 - 8,50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28 июля 2014 г. по 04 ноября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9,00 - 7,00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28 апреля 2014 г. по 27 июля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8,50 - 6,50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03 марта 2014 г. по 27 апреля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7,00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8,00 - 6,00</w:t>
            </w:r>
          </w:p>
        </w:tc>
      </w:tr>
      <w:tr w:rsidR="001A01B3" w:rsidRPr="00674CDB" w:rsidTr="008D7FFC">
        <w:tc>
          <w:tcPr>
            <w:tcW w:w="0" w:type="auto"/>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с 13 сентября 2013 г. по 02 марта 2014 г.</w:t>
            </w:r>
          </w:p>
        </w:tc>
        <w:tc>
          <w:tcPr>
            <w:tcW w:w="1295"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5,50</w:t>
            </w:r>
          </w:p>
        </w:tc>
        <w:tc>
          <w:tcPr>
            <w:tcW w:w="1709" w:type="pct"/>
            <w:hideMark/>
          </w:tcPr>
          <w:p w:rsidR="001A01B3" w:rsidRPr="0051021D" w:rsidRDefault="001A01B3" w:rsidP="00D574C2">
            <w:pPr>
              <w:rPr>
                <w:rFonts w:ascii="Times New Roman" w:hAnsi="Times New Roman" w:cs="Times New Roman"/>
              </w:rPr>
            </w:pPr>
            <w:r w:rsidRPr="0051021D">
              <w:rPr>
                <w:rFonts w:ascii="Times New Roman" w:hAnsi="Times New Roman" w:cs="Times New Roman"/>
              </w:rPr>
              <w:t>6,50 - 4,50</w:t>
            </w:r>
          </w:p>
        </w:tc>
      </w:tr>
    </w:tbl>
    <w:p w:rsidR="001A01B3" w:rsidRDefault="001A01B3" w:rsidP="005B2AC3">
      <w:pPr>
        <w:tabs>
          <w:tab w:val="right" w:leader="dot" w:pos="9639"/>
        </w:tabs>
        <w:spacing w:after="0" w:line="360" w:lineRule="auto"/>
        <w:ind w:firstLine="709"/>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lastRenderedPageBreak/>
        <w:t xml:space="preserve">В </w:t>
      </w:r>
      <w:r w:rsidR="00AE6EED">
        <w:rPr>
          <w:rFonts w:ascii="Times New Roman" w:eastAsia="Calibri" w:hAnsi="Times New Roman" w:cs="Times New Roman"/>
          <w:sz w:val="28"/>
          <w:szCs w:val="28"/>
        </w:rPr>
        <w:t xml:space="preserve">начале </w:t>
      </w:r>
      <w:r w:rsidRPr="004A0ACC">
        <w:rPr>
          <w:rFonts w:ascii="Times New Roman" w:eastAsia="Calibri" w:hAnsi="Times New Roman" w:cs="Times New Roman"/>
          <w:sz w:val="28"/>
          <w:szCs w:val="28"/>
        </w:rPr>
        <w:t xml:space="preserve">2018 г. инфляция оставалась на низком уровне. Сохранению низкого инфляционного давления в экономике способствовала умеренно жесткая денежно-кредитная политика, обеспечивая формирование процентных ставок на уровне, поддерживающем привлекательность сбережений, умеренную склонность к заимствованиям и, как следствие, увеличение потребительского и инвестиционного спроса, не опережающее возможности расширения предложения. При этом сохранение инфляции </w:t>
      </w:r>
      <w:proofErr w:type="gramStart"/>
      <w:r w:rsidRPr="004A0ACC">
        <w:rPr>
          <w:rFonts w:ascii="Times New Roman" w:eastAsia="Calibri" w:hAnsi="Times New Roman" w:cs="Times New Roman"/>
          <w:sz w:val="28"/>
          <w:szCs w:val="28"/>
        </w:rPr>
        <w:t>на  уровне</w:t>
      </w:r>
      <w:proofErr w:type="gramEnd"/>
      <w:r w:rsidRPr="004A0ACC">
        <w:rPr>
          <w:rFonts w:ascii="Times New Roman" w:eastAsia="Calibri" w:hAnsi="Times New Roman" w:cs="Times New Roman"/>
          <w:sz w:val="28"/>
          <w:szCs w:val="28"/>
        </w:rPr>
        <w:t xml:space="preserve"> 2,2–2,4%, что ниже цели 4%, в  первой половине года в  значительной степени было связано с  высоким предложением сельскохозяйственной продукции и, соответственно, низкими темпами прироста продовольственных цен. Учитывая временный характер действия данного фактора и ожидаемое возвращение инфляции к уровням вблизи 4%, Банк России снижал ключевую ставку </w:t>
      </w:r>
      <w:proofErr w:type="gramStart"/>
      <w:r w:rsidRPr="004A0ACC">
        <w:rPr>
          <w:rFonts w:ascii="Times New Roman" w:eastAsia="Calibri" w:hAnsi="Times New Roman" w:cs="Times New Roman"/>
          <w:sz w:val="28"/>
          <w:szCs w:val="28"/>
        </w:rPr>
        <w:t>в  начале</w:t>
      </w:r>
      <w:proofErr w:type="gramEnd"/>
      <w:r w:rsidRPr="004A0ACC">
        <w:rPr>
          <w:rFonts w:ascii="Times New Roman" w:eastAsia="Calibri" w:hAnsi="Times New Roman" w:cs="Times New Roman"/>
          <w:sz w:val="28"/>
          <w:szCs w:val="28"/>
        </w:rPr>
        <w:t xml:space="preserve"> года постепенно  – по  </w:t>
      </w:r>
      <w:r w:rsidR="000C4278">
        <w:rPr>
          <w:rFonts w:ascii="Times New Roman" w:eastAsia="Calibri" w:hAnsi="Times New Roman" w:cs="Times New Roman"/>
          <w:sz w:val="28"/>
          <w:szCs w:val="28"/>
        </w:rPr>
        <w:t>25  базисных пункта</w:t>
      </w:r>
      <w:r w:rsidRPr="004A0ACC">
        <w:rPr>
          <w:rFonts w:ascii="Times New Roman" w:eastAsia="Calibri" w:hAnsi="Times New Roman" w:cs="Times New Roman"/>
          <w:sz w:val="28"/>
          <w:szCs w:val="28"/>
        </w:rPr>
        <w:t xml:space="preserve"> в  феврале и марте, до 7,25% годовых. При этом </w:t>
      </w:r>
      <w:proofErr w:type="gramStart"/>
      <w:r w:rsidRPr="004A0ACC">
        <w:rPr>
          <w:rFonts w:ascii="Times New Roman" w:eastAsia="Calibri" w:hAnsi="Times New Roman" w:cs="Times New Roman"/>
          <w:sz w:val="28"/>
          <w:szCs w:val="28"/>
        </w:rPr>
        <w:t>в  начале</w:t>
      </w:r>
      <w:proofErr w:type="gramEnd"/>
      <w:r w:rsidRPr="004A0ACC">
        <w:rPr>
          <w:rFonts w:ascii="Times New Roman" w:eastAsia="Calibri" w:hAnsi="Times New Roman" w:cs="Times New Roman"/>
          <w:sz w:val="28"/>
          <w:szCs w:val="28"/>
        </w:rPr>
        <w:t xml:space="preserve"> года Банк России планировал перейти к нейтральной денежно-кредитной политике до конца 2018 года.</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 xml:space="preserve"> Однако </w:t>
      </w:r>
      <w:proofErr w:type="gramStart"/>
      <w:r w:rsidRPr="004A0ACC">
        <w:rPr>
          <w:rFonts w:ascii="Times New Roman" w:eastAsia="Calibri" w:hAnsi="Times New Roman" w:cs="Times New Roman"/>
          <w:sz w:val="28"/>
          <w:szCs w:val="28"/>
        </w:rPr>
        <w:t>в  II</w:t>
      </w:r>
      <w:proofErr w:type="gramEnd"/>
      <w:r w:rsidRPr="004A0ACC">
        <w:rPr>
          <w:rFonts w:ascii="Times New Roman" w:eastAsia="Calibri" w:hAnsi="Times New Roman" w:cs="Times New Roman"/>
          <w:sz w:val="28"/>
          <w:szCs w:val="28"/>
        </w:rPr>
        <w:t xml:space="preserve">–III  кварталах реализовался ряд рисков, на существование которых Банк России указывал ранее в  пресс-релизах. Ослабление рубля </w:t>
      </w:r>
      <w:proofErr w:type="gramStart"/>
      <w:r w:rsidRPr="004A0ACC">
        <w:rPr>
          <w:rFonts w:ascii="Times New Roman" w:eastAsia="Calibri" w:hAnsi="Times New Roman" w:cs="Times New Roman"/>
          <w:sz w:val="28"/>
          <w:szCs w:val="28"/>
        </w:rPr>
        <w:t>в  апреле</w:t>
      </w:r>
      <w:proofErr w:type="gramEnd"/>
      <w:r w:rsidRPr="004A0ACC">
        <w:rPr>
          <w:rFonts w:ascii="Times New Roman" w:eastAsia="Calibri" w:hAnsi="Times New Roman" w:cs="Times New Roman"/>
          <w:sz w:val="28"/>
          <w:szCs w:val="28"/>
        </w:rPr>
        <w:t xml:space="preserve"> и  августе в  условиях расширения внешних санкций, усиления </w:t>
      </w:r>
      <w:proofErr w:type="spellStart"/>
      <w:r w:rsidRPr="004A0ACC">
        <w:rPr>
          <w:rFonts w:ascii="Times New Roman" w:eastAsia="Calibri" w:hAnsi="Times New Roman" w:cs="Times New Roman"/>
          <w:sz w:val="28"/>
          <w:szCs w:val="28"/>
        </w:rPr>
        <w:t>санкционной</w:t>
      </w:r>
      <w:proofErr w:type="spellEnd"/>
      <w:r w:rsidRPr="004A0ACC">
        <w:rPr>
          <w:rFonts w:ascii="Times New Roman" w:eastAsia="Calibri" w:hAnsi="Times New Roman" w:cs="Times New Roman"/>
          <w:sz w:val="28"/>
          <w:szCs w:val="28"/>
        </w:rPr>
        <w:t xml:space="preserve"> риторики и роста </w:t>
      </w:r>
      <w:proofErr w:type="spellStart"/>
      <w:r w:rsidRPr="004A0ACC">
        <w:rPr>
          <w:rFonts w:ascii="Times New Roman" w:eastAsia="Calibri" w:hAnsi="Times New Roman" w:cs="Times New Roman"/>
          <w:sz w:val="28"/>
          <w:szCs w:val="28"/>
        </w:rPr>
        <w:t>страновой</w:t>
      </w:r>
      <w:proofErr w:type="spellEnd"/>
      <w:r w:rsidRPr="004A0ACC">
        <w:rPr>
          <w:rFonts w:ascii="Times New Roman" w:eastAsia="Calibri" w:hAnsi="Times New Roman" w:cs="Times New Roman"/>
          <w:sz w:val="28"/>
          <w:szCs w:val="28"/>
        </w:rPr>
        <w:t xml:space="preserve"> риск-премии для России, а  также объявление о  повышении налога на добавленную стоимость (НДС) в  2019 г. привели к  пересмотру Банком России прогноза инфляции. Под влиянием данных факторов прогнозируется более быстрое повышение инфляции, чем ожидалось в начале года. </w:t>
      </w:r>
      <w:r>
        <w:rPr>
          <w:rFonts w:ascii="Times New Roman" w:eastAsia="Calibri" w:hAnsi="Times New Roman" w:cs="Times New Roman"/>
          <w:sz w:val="28"/>
          <w:szCs w:val="28"/>
        </w:rPr>
        <w:t>В 2019 г. она увеличится</w:t>
      </w:r>
      <w:r w:rsidRPr="004A0ACC">
        <w:rPr>
          <w:rFonts w:ascii="Times New Roman" w:eastAsia="Calibri" w:hAnsi="Times New Roman" w:cs="Times New Roman"/>
          <w:sz w:val="28"/>
          <w:szCs w:val="28"/>
        </w:rPr>
        <w:t xml:space="preserve"> до 5–5,5% с последующим возвращением к 4% в первой половине 2020 года. При этом на фоне роста курсовой волатильности инфляционные ожидания населения и предприятий повысились, возросла неопределенность их изменений в будущем. В этих условиях Банк России сохранял ключевую ставку неизменной на уровне 7,25% годовых в апреле-июле, а в сентябре повысил ее до 7,50% годовых. Кроме того, для стабилизации ситуации на финансовом рынке Банк России принял </w:t>
      </w:r>
      <w:r w:rsidRPr="004A0ACC">
        <w:rPr>
          <w:rFonts w:ascii="Times New Roman" w:eastAsia="Calibri" w:hAnsi="Times New Roman" w:cs="Times New Roman"/>
          <w:sz w:val="28"/>
          <w:szCs w:val="28"/>
        </w:rPr>
        <w:lastRenderedPageBreak/>
        <w:t xml:space="preserve">решение приостановить до конца 2018 г. покупки иностранной валюты на внутреннем рынке в рамках бюджетного правила. Принятые решения позволят ограничить масштаб </w:t>
      </w:r>
      <w:proofErr w:type="spellStart"/>
      <w:r w:rsidRPr="004A0ACC">
        <w:rPr>
          <w:rFonts w:ascii="Times New Roman" w:eastAsia="Calibri" w:hAnsi="Times New Roman" w:cs="Times New Roman"/>
          <w:sz w:val="28"/>
          <w:szCs w:val="28"/>
        </w:rPr>
        <w:t>проинфляционных</w:t>
      </w:r>
      <w:proofErr w:type="spellEnd"/>
      <w:r w:rsidRPr="004A0ACC">
        <w:rPr>
          <w:rFonts w:ascii="Times New Roman" w:eastAsia="Calibri" w:hAnsi="Times New Roman" w:cs="Times New Roman"/>
          <w:sz w:val="28"/>
          <w:szCs w:val="28"/>
        </w:rPr>
        <w:t xml:space="preserve"> факторов.</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4A0ACC">
        <w:rPr>
          <w:rFonts w:ascii="Times New Roman" w:eastAsia="Calibri" w:hAnsi="Times New Roman" w:cs="Times New Roman"/>
          <w:sz w:val="28"/>
          <w:szCs w:val="28"/>
        </w:rPr>
        <w:t>ри формировании макроэкономического прогноза и прин</w:t>
      </w:r>
      <w:r>
        <w:rPr>
          <w:rFonts w:ascii="Times New Roman" w:eastAsia="Calibri" w:hAnsi="Times New Roman" w:cs="Times New Roman"/>
          <w:sz w:val="28"/>
          <w:szCs w:val="28"/>
        </w:rPr>
        <w:t xml:space="preserve">ятии решений по ключевой </w:t>
      </w:r>
      <w:proofErr w:type="gramStart"/>
      <w:r>
        <w:rPr>
          <w:rFonts w:ascii="Times New Roman" w:eastAsia="Calibri" w:hAnsi="Times New Roman" w:cs="Times New Roman"/>
          <w:sz w:val="28"/>
          <w:szCs w:val="28"/>
        </w:rPr>
        <w:t>ставке  Банком</w:t>
      </w:r>
      <w:proofErr w:type="gramEnd"/>
      <w:r>
        <w:rPr>
          <w:rFonts w:ascii="Times New Roman" w:eastAsia="Calibri" w:hAnsi="Times New Roman" w:cs="Times New Roman"/>
          <w:sz w:val="28"/>
          <w:szCs w:val="28"/>
        </w:rPr>
        <w:t xml:space="preserve"> России учитываются все внешние и внутренние условия.</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Влияние в</w:t>
      </w:r>
      <w:r>
        <w:rPr>
          <w:rFonts w:ascii="Times New Roman" w:eastAsia="Calibri" w:hAnsi="Times New Roman" w:cs="Times New Roman"/>
          <w:sz w:val="28"/>
          <w:szCs w:val="28"/>
        </w:rPr>
        <w:t>нешних условий на</w:t>
      </w:r>
      <w:r w:rsidRPr="004A0ACC">
        <w:rPr>
          <w:rFonts w:ascii="Times New Roman" w:eastAsia="Calibri" w:hAnsi="Times New Roman" w:cs="Times New Roman"/>
          <w:sz w:val="28"/>
          <w:szCs w:val="28"/>
        </w:rPr>
        <w:t xml:space="preserve"> э</w:t>
      </w:r>
      <w:r>
        <w:rPr>
          <w:rFonts w:ascii="Times New Roman" w:eastAsia="Calibri" w:hAnsi="Times New Roman" w:cs="Times New Roman"/>
          <w:sz w:val="28"/>
          <w:szCs w:val="28"/>
        </w:rPr>
        <w:t>кономику было неоднозначным. С </w:t>
      </w:r>
      <w:r w:rsidRPr="004A0ACC">
        <w:rPr>
          <w:rFonts w:ascii="Times New Roman" w:eastAsia="Calibri" w:hAnsi="Times New Roman" w:cs="Times New Roman"/>
          <w:sz w:val="28"/>
          <w:szCs w:val="28"/>
        </w:rPr>
        <w:t xml:space="preserve">одной стороны, более высокие цены на нефть </w:t>
      </w:r>
      <w:proofErr w:type="gramStart"/>
      <w:r w:rsidRPr="004A0ACC">
        <w:rPr>
          <w:rFonts w:ascii="Times New Roman" w:eastAsia="Calibri" w:hAnsi="Times New Roman" w:cs="Times New Roman"/>
          <w:sz w:val="28"/>
          <w:szCs w:val="28"/>
        </w:rPr>
        <w:t>на  мировом</w:t>
      </w:r>
      <w:proofErr w:type="gramEnd"/>
      <w:r w:rsidRPr="004A0ACC">
        <w:rPr>
          <w:rFonts w:ascii="Times New Roman" w:eastAsia="Calibri" w:hAnsi="Times New Roman" w:cs="Times New Roman"/>
          <w:sz w:val="28"/>
          <w:szCs w:val="28"/>
        </w:rPr>
        <w:t xml:space="preserve"> рынке поддержали рост российской экономики. </w:t>
      </w:r>
      <w:proofErr w:type="gramStart"/>
      <w:r w:rsidRPr="004A0ACC">
        <w:rPr>
          <w:rFonts w:ascii="Times New Roman" w:eastAsia="Calibri" w:hAnsi="Times New Roman" w:cs="Times New Roman"/>
          <w:sz w:val="28"/>
          <w:szCs w:val="28"/>
        </w:rPr>
        <w:t>С  другой</w:t>
      </w:r>
      <w:proofErr w:type="gramEnd"/>
      <w:r w:rsidRPr="004A0ACC">
        <w:rPr>
          <w:rFonts w:ascii="Times New Roman" w:eastAsia="Calibri" w:hAnsi="Times New Roman" w:cs="Times New Roman"/>
          <w:sz w:val="28"/>
          <w:szCs w:val="28"/>
        </w:rPr>
        <w:t xml:space="preserve"> стороны, они оказали повышательное влияние на  внутренние цены нефтепродуктов и, как следствие, на  динамику потребительских цен в целом. Кроме того, ужесточение внешних санкций и усиление </w:t>
      </w:r>
      <w:proofErr w:type="spellStart"/>
      <w:r w:rsidRPr="004A0ACC">
        <w:rPr>
          <w:rFonts w:ascii="Times New Roman" w:eastAsia="Calibri" w:hAnsi="Times New Roman" w:cs="Times New Roman"/>
          <w:sz w:val="28"/>
          <w:szCs w:val="28"/>
        </w:rPr>
        <w:t>санкционной</w:t>
      </w:r>
      <w:proofErr w:type="spellEnd"/>
      <w:r w:rsidRPr="004A0ACC">
        <w:rPr>
          <w:rFonts w:ascii="Times New Roman" w:eastAsia="Calibri" w:hAnsi="Times New Roman" w:cs="Times New Roman"/>
          <w:sz w:val="28"/>
          <w:szCs w:val="28"/>
        </w:rPr>
        <w:t xml:space="preserve"> риторики </w:t>
      </w:r>
      <w:proofErr w:type="gramStart"/>
      <w:r w:rsidRPr="004A0ACC">
        <w:rPr>
          <w:rFonts w:ascii="Times New Roman" w:eastAsia="Calibri" w:hAnsi="Times New Roman" w:cs="Times New Roman"/>
          <w:sz w:val="28"/>
          <w:szCs w:val="28"/>
        </w:rPr>
        <w:t>в  апреле</w:t>
      </w:r>
      <w:proofErr w:type="gramEnd"/>
      <w:r w:rsidRPr="004A0ACC">
        <w:rPr>
          <w:rFonts w:ascii="Times New Roman" w:eastAsia="Calibri" w:hAnsi="Times New Roman" w:cs="Times New Roman"/>
          <w:sz w:val="28"/>
          <w:szCs w:val="28"/>
        </w:rPr>
        <w:t xml:space="preserve"> и августе, а также снижение склонности к риску на мировом рынке привели к закреплению </w:t>
      </w:r>
      <w:proofErr w:type="spellStart"/>
      <w:r w:rsidRPr="004A0ACC">
        <w:rPr>
          <w:rFonts w:ascii="Times New Roman" w:eastAsia="Calibri" w:hAnsi="Times New Roman" w:cs="Times New Roman"/>
          <w:sz w:val="28"/>
          <w:szCs w:val="28"/>
        </w:rPr>
        <w:t>страновой</w:t>
      </w:r>
      <w:proofErr w:type="spellEnd"/>
      <w:r w:rsidRPr="004A0ACC">
        <w:rPr>
          <w:rFonts w:ascii="Times New Roman" w:eastAsia="Calibri" w:hAnsi="Times New Roman" w:cs="Times New Roman"/>
          <w:sz w:val="28"/>
          <w:szCs w:val="28"/>
        </w:rPr>
        <w:t xml:space="preserve"> риск-премии для России на более высоком уровне. В результате наблюдалось ослабление рубля, что стало основным фактором повышения в сентябре Банком России прогноза инфляции на 2018 г. до 3,8–4,2%.</w:t>
      </w:r>
    </w:p>
    <w:p w:rsidR="001A01B3" w:rsidRPr="004A0ACC" w:rsidRDefault="001A01B3" w:rsidP="001A01B3">
      <w:pPr>
        <w:tabs>
          <w:tab w:val="right" w:leader="dot" w:pos="9639"/>
        </w:tabs>
        <w:spacing w:after="0" w:line="360" w:lineRule="auto"/>
        <w:ind w:firstLine="851"/>
        <w:contextualSpacing/>
        <w:jc w:val="both"/>
      </w:pPr>
      <w:r w:rsidRPr="004A0ACC">
        <w:rPr>
          <w:rFonts w:ascii="Times New Roman" w:eastAsia="Calibri" w:hAnsi="Times New Roman" w:cs="Times New Roman"/>
          <w:sz w:val="28"/>
          <w:szCs w:val="28"/>
        </w:rPr>
        <w:t>В начале 2018 г. сохранялась привлекательность российских активов для внешних инвесторов, чему способствовало</w:t>
      </w:r>
      <w:r>
        <w:rPr>
          <w:rFonts w:ascii="Times New Roman" w:eastAsia="Calibri" w:hAnsi="Times New Roman" w:cs="Times New Roman"/>
          <w:sz w:val="28"/>
          <w:szCs w:val="28"/>
        </w:rPr>
        <w:t xml:space="preserve"> улучшение ситуации </w:t>
      </w:r>
      <w:proofErr w:type="gramStart"/>
      <w:r>
        <w:rPr>
          <w:rFonts w:ascii="Times New Roman" w:eastAsia="Calibri" w:hAnsi="Times New Roman" w:cs="Times New Roman"/>
          <w:sz w:val="28"/>
          <w:szCs w:val="28"/>
        </w:rPr>
        <w:t>в  экономике</w:t>
      </w:r>
      <w:proofErr w:type="gramEnd"/>
      <w:r w:rsidRPr="004A0ACC">
        <w:rPr>
          <w:rFonts w:ascii="Times New Roman" w:eastAsia="Calibri" w:hAnsi="Times New Roman" w:cs="Times New Roman"/>
          <w:sz w:val="28"/>
          <w:szCs w:val="28"/>
        </w:rPr>
        <w:t xml:space="preserve">. Спрос нерезидентов </w:t>
      </w:r>
      <w:proofErr w:type="gramStart"/>
      <w:r w:rsidRPr="004A0ACC">
        <w:rPr>
          <w:rFonts w:ascii="Times New Roman" w:eastAsia="Calibri" w:hAnsi="Times New Roman" w:cs="Times New Roman"/>
          <w:sz w:val="28"/>
          <w:szCs w:val="28"/>
        </w:rPr>
        <w:t>на  российские</w:t>
      </w:r>
      <w:proofErr w:type="gramEnd"/>
      <w:r w:rsidRPr="004A0ACC">
        <w:rPr>
          <w:rFonts w:ascii="Times New Roman" w:eastAsia="Calibri" w:hAnsi="Times New Roman" w:cs="Times New Roman"/>
          <w:sz w:val="28"/>
          <w:szCs w:val="28"/>
        </w:rPr>
        <w:t xml:space="preserve"> активы, прежде всего государственные ценные бумаги, оставался высоким. Поддержку ему также оказало повышение суверенного рейтинга России до инвестиционного уровня международным агентством </w:t>
      </w:r>
      <w:proofErr w:type="spellStart"/>
      <w:r w:rsidRPr="004A0ACC">
        <w:rPr>
          <w:rFonts w:ascii="Times New Roman" w:eastAsia="Calibri" w:hAnsi="Times New Roman" w:cs="Times New Roman"/>
          <w:sz w:val="28"/>
          <w:szCs w:val="28"/>
        </w:rPr>
        <w:t>Standard</w:t>
      </w:r>
      <w:proofErr w:type="spellEnd"/>
      <w:r w:rsidRPr="004A0ACC">
        <w:rPr>
          <w:rFonts w:ascii="Times New Roman" w:eastAsia="Calibri" w:hAnsi="Times New Roman" w:cs="Times New Roman"/>
          <w:sz w:val="28"/>
          <w:szCs w:val="28"/>
        </w:rPr>
        <w:t xml:space="preserve"> &amp; </w:t>
      </w:r>
      <w:proofErr w:type="spellStart"/>
      <w:r w:rsidRPr="004A0ACC">
        <w:rPr>
          <w:rFonts w:ascii="Times New Roman" w:eastAsia="Calibri" w:hAnsi="Times New Roman" w:cs="Times New Roman"/>
          <w:sz w:val="28"/>
          <w:szCs w:val="28"/>
        </w:rPr>
        <w:t>Poor’s</w:t>
      </w:r>
      <w:proofErr w:type="spellEnd"/>
      <w:r w:rsidRPr="004A0ACC">
        <w:rPr>
          <w:rFonts w:ascii="Times New Roman" w:eastAsia="Calibri" w:hAnsi="Times New Roman" w:cs="Times New Roman"/>
          <w:sz w:val="28"/>
          <w:szCs w:val="28"/>
        </w:rPr>
        <w:t xml:space="preserve"> в феврале 2018 года. Однако в II–III кварталах ситуация изменилась. Ужесточение санкций США в отношении России и усиление </w:t>
      </w:r>
      <w:proofErr w:type="spellStart"/>
      <w:r w:rsidRPr="004A0ACC">
        <w:rPr>
          <w:rFonts w:ascii="Times New Roman" w:eastAsia="Calibri" w:hAnsi="Times New Roman" w:cs="Times New Roman"/>
          <w:sz w:val="28"/>
          <w:szCs w:val="28"/>
        </w:rPr>
        <w:t>санкционной</w:t>
      </w:r>
      <w:proofErr w:type="spellEnd"/>
      <w:r w:rsidRPr="004A0ACC">
        <w:rPr>
          <w:rFonts w:ascii="Times New Roman" w:eastAsia="Calibri" w:hAnsi="Times New Roman" w:cs="Times New Roman"/>
          <w:sz w:val="28"/>
          <w:szCs w:val="28"/>
        </w:rPr>
        <w:t xml:space="preserve"> риторики </w:t>
      </w:r>
      <w:proofErr w:type="gramStart"/>
      <w:r w:rsidRPr="004A0ACC">
        <w:rPr>
          <w:rFonts w:ascii="Times New Roman" w:eastAsia="Calibri" w:hAnsi="Times New Roman" w:cs="Times New Roman"/>
          <w:sz w:val="28"/>
          <w:szCs w:val="28"/>
        </w:rPr>
        <w:t>в  апреле</w:t>
      </w:r>
      <w:proofErr w:type="gramEnd"/>
      <w:r w:rsidRPr="004A0ACC">
        <w:rPr>
          <w:rFonts w:ascii="Times New Roman" w:eastAsia="Calibri" w:hAnsi="Times New Roman" w:cs="Times New Roman"/>
          <w:sz w:val="28"/>
          <w:szCs w:val="28"/>
        </w:rPr>
        <w:t xml:space="preserve"> и  августе привели к  ухудшению настроений и ожиданий участников рынка, оттоку средств иностранных инвесторов из российских активов. </w:t>
      </w:r>
      <w:proofErr w:type="gramStart"/>
      <w:r w:rsidRPr="004A0ACC">
        <w:rPr>
          <w:rFonts w:ascii="Times New Roman" w:eastAsia="Calibri" w:hAnsi="Times New Roman" w:cs="Times New Roman"/>
          <w:sz w:val="28"/>
          <w:szCs w:val="28"/>
        </w:rPr>
        <w:t>В  результате</w:t>
      </w:r>
      <w:proofErr w:type="gramEnd"/>
      <w:r w:rsidRPr="004A0ACC">
        <w:rPr>
          <w:rFonts w:ascii="Times New Roman" w:eastAsia="Calibri" w:hAnsi="Times New Roman" w:cs="Times New Roman"/>
          <w:sz w:val="28"/>
          <w:szCs w:val="28"/>
        </w:rPr>
        <w:t xml:space="preserve"> наблюдались рост волатильности на  валютном рынке, ослабление рубля, снижение цен активов на  фондовом рынке.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lastRenderedPageBreak/>
        <w:t xml:space="preserve">Для снижения волатильности на валютном рынке </w:t>
      </w:r>
      <w:proofErr w:type="gramStart"/>
      <w:r w:rsidRPr="004A0ACC">
        <w:rPr>
          <w:rFonts w:ascii="Times New Roman" w:eastAsia="Calibri" w:hAnsi="Times New Roman" w:cs="Times New Roman"/>
          <w:sz w:val="28"/>
          <w:szCs w:val="28"/>
        </w:rPr>
        <w:t>и  ее</w:t>
      </w:r>
      <w:proofErr w:type="gramEnd"/>
      <w:r w:rsidRPr="004A0ACC">
        <w:rPr>
          <w:rFonts w:ascii="Times New Roman" w:eastAsia="Calibri" w:hAnsi="Times New Roman" w:cs="Times New Roman"/>
          <w:sz w:val="28"/>
          <w:szCs w:val="28"/>
        </w:rPr>
        <w:t xml:space="preserve"> влияния на  динамику цен Банк России в  августе принял решение не  осуществлять покупку иностранной валюты на внутреннем рынке в рамках бюджетного правила до  конца сентября, а в сентябре продлил действие этого решения до конца 2018 года. Решение об отложенных в 2018 г. покупках иностранной валюты на внутреннем рынке будет приниматься после воз</w:t>
      </w:r>
      <w:r>
        <w:rPr>
          <w:rFonts w:ascii="Times New Roman" w:eastAsia="Calibri" w:hAnsi="Times New Roman" w:cs="Times New Roman"/>
          <w:sz w:val="28"/>
          <w:szCs w:val="28"/>
        </w:rPr>
        <w:t>обновления регулярных покупок с</w:t>
      </w:r>
      <w:r w:rsidRPr="004A0ACC">
        <w:rPr>
          <w:rFonts w:ascii="Times New Roman" w:eastAsia="Calibri" w:hAnsi="Times New Roman" w:cs="Times New Roman"/>
          <w:sz w:val="28"/>
          <w:szCs w:val="28"/>
        </w:rPr>
        <w:t xml:space="preserve"> учетом фактической обстановки </w:t>
      </w:r>
      <w:proofErr w:type="gramStart"/>
      <w:r w:rsidRPr="004A0ACC">
        <w:rPr>
          <w:rFonts w:ascii="Times New Roman" w:eastAsia="Calibri" w:hAnsi="Times New Roman" w:cs="Times New Roman"/>
          <w:sz w:val="28"/>
          <w:szCs w:val="28"/>
        </w:rPr>
        <w:t>на  финансовых</w:t>
      </w:r>
      <w:proofErr w:type="gramEnd"/>
      <w:r w:rsidRPr="004A0ACC">
        <w:rPr>
          <w:rFonts w:ascii="Times New Roman" w:eastAsia="Calibri" w:hAnsi="Times New Roman" w:cs="Times New Roman"/>
          <w:sz w:val="28"/>
          <w:szCs w:val="28"/>
        </w:rPr>
        <w:t xml:space="preserve"> рынках.</w:t>
      </w:r>
    </w:p>
    <w:p w:rsidR="00112EE9"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 xml:space="preserve">Произошедшее в апреле и августе ослабление рубля оказывало </w:t>
      </w:r>
      <w:proofErr w:type="spellStart"/>
      <w:r w:rsidRPr="004A0ACC">
        <w:rPr>
          <w:rFonts w:ascii="Times New Roman" w:eastAsia="Calibri" w:hAnsi="Times New Roman" w:cs="Times New Roman"/>
          <w:sz w:val="28"/>
          <w:szCs w:val="28"/>
        </w:rPr>
        <w:t>проинфляционное</w:t>
      </w:r>
      <w:proofErr w:type="spellEnd"/>
      <w:r w:rsidRPr="004A0ACC">
        <w:rPr>
          <w:rFonts w:ascii="Times New Roman" w:eastAsia="Calibri" w:hAnsi="Times New Roman" w:cs="Times New Roman"/>
          <w:sz w:val="28"/>
          <w:szCs w:val="28"/>
        </w:rPr>
        <w:t xml:space="preserve"> давление. Однако сохранение умеренной динамики потребительского спроса, </w:t>
      </w:r>
      <w:proofErr w:type="gramStart"/>
      <w:r w:rsidRPr="004A0ACC">
        <w:rPr>
          <w:rFonts w:ascii="Times New Roman" w:eastAsia="Calibri" w:hAnsi="Times New Roman" w:cs="Times New Roman"/>
          <w:sz w:val="28"/>
          <w:szCs w:val="28"/>
        </w:rPr>
        <w:t>в  том</w:t>
      </w:r>
      <w:proofErr w:type="gramEnd"/>
      <w:r w:rsidRPr="004A0ACC">
        <w:rPr>
          <w:rFonts w:ascii="Times New Roman" w:eastAsia="Calibri" w:hAnsi="Times New Roman" w:cs="Times New Roman"/>
          <w:sz w:val="28"/>
          <w:szCs w:val="28"/>
        </w:rPr>
        <w:t xml:space="preserve"> числе сформировавшейся под влиянием денежно-кредитной политики, сдерживало компании от более существенного повышения цен. На внутреннем продовольственном рынке влияние курсовой динамики на цены отчасти компенсировалось сдерживающим эф</w:t>
      </w:r>
      <w:r>
        <w:rPr>
          <w:rFonts w:ascii="Times New Roman" w:eastAsia="Calibri" w:hAnsi="Times New Roman" w:cs="Times New Roman"/>
          <w:sz w:val="28"/>
          <w:szCs w:val="28"/>
        </w:rPr>
        <w:t>фектом высокого предложения по </w:t>
      </w:r>
      <w:r w:rsidRPr="004A0ACC">
        <w:rPr>
          <w:rFonts w:ascii="Times New Roman" w:eastAsia="Calibri" w:hAnsi="Times New Roman" w:cs="Times New Roman"/>
          <w:sz w:val="28"/>
          <w:szCs w:val="28"/>
        </w:rPr>
        <w:t xml:space="preserve">ряду групп товаров. </w:t>
      </w:r>
      <w:r>
        <w:rPr>
          <w:rFonts w:ascii="Times New Roman" w:eastAsia="Calibri" w:hAnsi="Times New Roman" w:cs="Times New Roman"/>
          <w:sz w:val="28"/>
          <w:szCs w:val="28"/>
        </w:rPr>
        <w:t xml:space="preserve">На </w:t>
      </w:r>
      <w:r w:rsidRPr="004A0ACC">
        <w:rPr>
          <w:rFonts w:ascii="Times New Roman" w:eastAsia="Calibri" w:hAnsi="Times New Roman" w:cs="Times New Roman"/>
          <w:sz w:val="28"/>
          <w:szCs w:val="28"/>
        </w:rPr>
        <w:t>внутреннем рынке неф</w:t>
      </w:r>
      <w:r>
        <w:rPr>
          <w:rFonts w:ascii="Times New Roman" w:eastAsia="Calibri" w:hAnsi="Times New Roman" w:cs="Times New Roman"/>
          <w:sz w:val="28"/>
          <w:szCs w:val="28"/>
        </w:rPr>
        <w:t>тепродуктов ослабление рубля в </w:t>
      </w:r>
      <w:r w:rsidRPr="004A0ACC">
        <w:rPr>
          <w:rFonts w:ascii="Times New Roman" w:eastAsia="Calibri" w:hAnsi="Times New Roman" w:cs="Times New Roman"/>
          <w:sz w:val="28"/>
          <w:szCs w:val="28"/>
        </w:rPr>
        <w:t xml:space="preserve">совокупности </w:t>
      </w:r>
      <w:proofErr w:type="gramStart"/>
      <w:r w:rsidRPr="004A0ACC">
        <w:rPr>
          <w:rFonts w:ascii="Times New Roman" w:eastAsia="Calibri" w:hAnsi="Times New Roman" w:cs="Times New Roman"/>
          <w:sz w:val="28"/>
          <w:szCs w:val="28"/>
        </w:rPr>
        <w:t>с  ростом</w:t>
      </w:r>
      <w:proofErr w:type="gramEnd"/>
      <w:r w:rsidRPr="004A0ACC">
        <w:rPr>
          <w:rFonts w:ascii="Times New Roman" w:eastAsia="Calibri" w:hAnsi="Times New Roman" w:cs="Times New Roman"/>
          <w:sz w:val="28"/>
          <w:szCs w:val="28"/>
        </w:rPr>
        <w:t xml:space="preserve"> мировых цен на  энергоносители привело к  ускорению роста цен в мае-июне. Это повлияло на динамику общей инфляции через увеличение темпо</w:t>
      </w:r>
      <w:r>
        <w:rPr>
          <w:rFonts w:ascii="Times New Roman" w:eastAsia="Calibri" w:hAnsi="Times New Roman" w:cs="Times New Roman"/>
          <w:sz w:val="28"/>
          <w:szCs w:val="28"/>
        </w:rPr>
        <w:t>в роста потребительских цен на </w:t>
      </w:r>
      <w:r w:rsidRPr="004A0ACC">
        <w:rPr>
          <w:rFonts w:ascii="Times New Roman" w:eastAsia="Calibri" w:hAnsi="Times New Roman" w:cs="Times New Roman"/>
          <w:sz w:val="28"/>
          <w:szCs w:val="28"/>
        </w:rPr>
        <w:t xml:space="preserve">моторное топливо, а также повышение издержек отечественных производителей.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A0ACC">
        <w:rPr>
          <w:rFonts w:ascii="Times New Roman" w:eastAsia="Calibri" w:hAnsi="Times New Roman" w:cs="Times New Roman"/>
          <w:sz w:val="28"/>
          <w:szCs w:val="28"/>
        </w:rPr>
        <w:t xml:space="preserve">Стабилизировать динамику потребительских цен </w:t>
      </w:r>
      <w:proofErr w:type="gramStart"/>
      <w:r w:rsidRPr="004A0ACC">
        <w:rPr>
          <w:rFonts w:ascii="Times New Roman" w:eastAsia="Calibri" w:hAnsi="Times New Roman" w:cs="Times New Roman"/>
          <w:sz w:val="28"/>
          <w:szCs w:val="28"/>
        </w:rPr>
        <w:t>на  нефтепродукты</w:t>
      </w:r>
      <w:proofErr w:type="gramEnd"/>
      <w:r w:rsidRPr="004A0ACC">
        <w:rPr>
          <w:rFonts w:ascii="Times New Roman" w:eastAsia="Calibri" w:hAnsi="Times New Roman" w:cs="Times New Roman"/>
          <w:sz w:val="28"/>
          <w:szCs w:val="28"/>
        </w:rPr>
        <w:t xml:space="preserve"> в  июле позволило снижение акцизов на  бензин и  дизельное топливо с 1 июня 2018 г. и достижение договоренностей с крупнейшими нефтяными компаниями об  ограничении темпа роста цен на них. Ожидаемое в рамках прогноза снижение цен на нефть до конца года будет способствовать замедлению роста цен на нефтепродукты. Курсовая динамика </w:t>
      </w:r>
      <w:proofErr w:type="gramStart"/>
      <w:r w:rsidRPr="004A0ACC">
        <w:rPr>
          <w:rFonts w:ascii="Times New Roman" w:eastAsia="Calibri" w:hAnsi="Times New Roman" w:cs="Times New Roman"/>
          <w:sz w:val="28"/>
          <w:szCs w:val="28"/>
        </w:rPr>
        <w:t>в  большей</w:t>
      </w:r>
      <w:proofErr w:type="gramEnd"/>
      <w:r w:rsidRPr="004A0ACC">
        <w:rPr>
          <w:rFonts w:ascii="Times New Roman" w:eastAsia="Calibri" w:hAnsi="Times New Roman" w:cs="Times New Roman"/>
          <w:sz w:val="28"/>
          <w:szCs w:val="28"/>
        </w:rPr>
        <w:t xml:space="preserve"> степени затронула темпы роста цен в регионах России с  более высоким уровнем дохода. Доля потребления импортной продукции </w:t>
      </w:r>
      <w:proofErr w:type="gramStart"/>
      <w:r w:rsidRPr="004A0ACC">
        <w:rPr>
          <w:rFonts w:ascii="Times New Roman" w:eastAsia="Calibri" w:hAnsi="Times New Roman" w:cs="Times New Roman"/>
          <w:sz w:val="28"/>
          <w:szCs w:val="28"/>
        </w:rPr>
        <w:t>в  таких</w:t>
      </w:r>
      <w:proofErr w:type="gramEnd"/>
      <w:r w:rsidRPr="004A0ACC">
        <w:rPr>
          <w:rFonts w:ascii="Times New Roman" w:eastAsia="Calibri" w:hAnsi="Times New Roman" w:cs="Times New Roman"/>
          <w:sz w:val="28"/>
          <w:szCs w:val="28"/>
        </w:rPr>
        <w:t xml:space="preserve"> регионах выше. При этом </w:t>
      </w:r>
      <w:proofErr w:type="gramStart"/>
      <w:r w:rsidRPr="004A0ACC">
        <w:rPr>
          <w:rFonts w:ascii="Times New Roman" w:eastAsia="Calibri" w:hAnsi="Times New Roman" w:cs="Times New Roman"/>
          <w:sz w:val="28"/>
          <w:szCs w:val="28"/>
        </w:rPr>
        <w:t>у  продавцов</w:t>
      </w:r>
      <w:proofErr w:type="gramEnd"/>
      <w:r w:rsidRPr="004A0ACC">
        <w:rPr>
          <w:rFonts w:ascii="Times New Roman" w:eastAsia="Calibri" w:hAnsi="Times New Roman" w:cs="Times New Roman"/>
          <w:sz w:val="28"/>
          <w:szCs w:val="28"/>
        </w:rPr>
        <w:t xml:space="preserve"> шире возможности повышать цены без последствий в  виде снижения спроса, учитывая его более высокую</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платежеспособность. Поэтому в </w:t>
      </w:r>
      <w:r w:rsidRPr="004A0ACC">
        <w:rPr>
          <w:rFonts w:ascii="Times New Roman" w:eastAsia="Calibri" w:hAnsi="Times New Roman" w:cs="Times New Roman"/>
          <w:sz w:val="28"/>
          <w:szCs w:val="28"/>
        </w:rPr>
        <w:t xml:space="preserve">таких регионах темпы роста цен оставались несколько выше </w:t>
      </w:r>
      <w:proofErr w:type="gramStart"/>
      <w:r w:rsidRPr="004A0ACC">
        <w:rPr>
          <w:rFonts w:ascii="Times New Roman" w:eastAsia="Calibri" w:hAnsi="Times New Roman" w:cs="Times New Roman"/>
          <w:sz w:val="28"/>
          <w:szCs w:val="28"/>
        </w:rPr>
        <w:t>общероссийских  –</w:t>
      </w:r>
      <w:proofErr w:type="gramEnd"/>
      <w:r w:rsidRPr="004A0ACC">
        <w:rPr>
          <w:rFonts w:ascii="Times New Roman" w:eastAsia="Calibri" w:hAnsi="Times New Roman" w:cs="Times New Roman"/>
          <w:sz w:val="28"/>
          <w:szCs w:val="28"/>
        </w:rPr>
        <w:t xml:space="preserve"> в  среднем около 3,2% в  первой половине года (Москва, Московская и Нижегородская области) – и в ряде регионов превысили 4% в августе</w:t>
      </w:r>
      <w:r>
        <w:rPr>
          <w:rFonts w:ascii="Times New Roman" w:eastAsia="Calibri" w:hAnsi="Times New Roman" w:cs="Times New Roman"/>
          <w:sz w:val="28"/>
          <w:szCs w:val="28"/>
        </w:rPr>
        <w:t>. Под влиянием произошедшего в </w:t>
      </w:r>
      <w:r w:rsidRPr="004A0ACC">
        <w:rPr>
          <w:rFonts w:ascii="Times New Roman" w:eastAsia="Calibri" w:hAnsi="Times New Roman" w:cs="Times New Roman"/>
          <w:sz w:val="28"/>
          <w:szCs w:val="28"/>
        </w:rPr>
        <w:t xml:space="preserve">апреле </w:t>
      </w:r>
      <w:proofErr w:type="gramStart"/>
      <w:r w:rsidRPr="004A0ACC">
        <w:rPr>
          <w:rFonts w:ascii="Times New Roman" w:eastAsia="Calibri" w:hAnsi="Times New Roman" w:cs="Times New Roman"/>
          <w:sz w:val="28"/>
          <w:szCs w:val="28"/>
        </w:rPr>
        <w:t>и  августе</w:t>
      </w:r>
      <w:proofErr w:type="gramEnd"/>
      <w:r w:rsidRPr="004A0ACC">
        <w:rPr>
          <w:rFonts w:ascii="Times New Roman" w:eastAsia="Calibri" w:hAnsi="Times New Roman" w:cs="Times New Roman"/>
          <w:sz w:val="28"/>
          <w:szCs w:val="28"/>
        </w:rPr>
        <w:t xml:space="preserve"> ослабления рубля инфляция в  2018  г. будет повышаться быстрее, чем ожидал Банк России в  начале года. При этом масштаб ускоре</w:t>
      </w:r>
      <w:r>
        <w:rPr>
          <w:rFonts w:ascii="Times New Roman" w:eastAsia="Calibri" w:hAnsi="Times New Roman" w:cs="Times New Roman"/>
          <w:sz w:val="28"/>
          <w:szCs w:val="28"/>
        </w:rPr>
        <w:t>ния роста потребительских цен в</w:t>
      </w:r>
      <w:r w:rsidRPr="004A0ACC">
        <w:rPr>
          <w:rFonts w:ascii="Times New Roman" w:eastAsia="Calibri" w:hAnsi="Times New Roman" w:cs="Times New Roman"/>
          <w:sz w:val="28"/>
          <w:szCs w:val="28"/>
        </w:rPr>
        <w:t xml:space="preserve"> значительной степени будет зависеть от изменения инфляционных ожиданий субъектов экономики.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в</w:t>
      </w:r>
      <w:r w:rsidRPr="004A0ACC">
        <w:rPr>
          <w:rFonts w:ascii="Times New Roman" w:eastAsia="Calibri" w:hAnsi="Times New Roman" w:cs="Times New Roman"/>
          <w:sz w:val="28"/>
          <w:szCs w:val="28"/>
        </w:rPr>
        <w:t>нутренние условия</w:t>
      </w:r>
      <w:r>
        <w:rPr>
          <w:rFonts w:ascii="Times New Roman" w:eastAsia="Calibri" w:hAnsi="Times New Roman" w:cs="Times New Roman"/>
          <w:sz w:val="28"/>
          <w:szCs w:val="28"/>
        </w:rPr>
        <w:t>.</w:t>
      </w:r>
      <w:r w:rsidRPr="004A0ACC">
        <w:rPr>
          <w:rFonts w:ascii="Times New Roman" w:eastAsia="Calibri" w:hAnsi="Times New Roman" w:cs="Times New Roman"/>
          <w:sz w:val="28"/>
          <w:szCs w:val="28"/>
        </w:rPr>
        <w:t xml:space="preserve"> Внутренняя экономическая ситуация в целом оставалась благоприятной. Продолжился рост российской экономики темпами, которые оцениваются Банком России как соответствующие ее долгосрочному потенциалу. При этом экономический рост происходил без нарастания избыточного инфляционного давления, чему способствовала денежно-кредитная политика. Изменения ключевой ставки обеспечивали сохранение привлекательности рублевых сбережений и рост кредита экономике в соответствии с увеличением доходов. В результате увеличение потребительского и инвестиционного спроса не опережало возможности расширения предложения.</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Денежно-кредитные условия продолжили смягчаться в начале 2</w:t>
      </w:r>
      <w:r>
        <w:rPr>
          <w:rFonts w:ascii="Times New Roman" w:eastAsia="Calibri" w:hAnsi="Times New Roman" w:cs="Times New Roman"/>
          <w:sz w:val="28"/>
          <w:szCs w:val="28"/>
        </w:rPr>
        <w:t>018 г, но</w:t>
      </w:r>
      <w:r w:rsidRPr="00402B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небольшая степень</w:t>
      </w:r>
      <w:r w:rsidRPr="00402BB9">
        <w:rPr>
          <w:rFonts w:ascii="Times New Roman" w:eastAsia="Calibri" w:hAnsi="Times New Roman" w:cs="Times New Roman"/>
          <w:sz w:val="28"/>
          <w:szCs w:val="28"/>
        </w:rPr>
        <w:t xml:space="preserve"> </w:t>
      </w:r>
      <w:proofErr w:type="gramStart"/>
      <w:r w:rsidRPr="00402BB9">
        <w:rPr>
          <w:rFonts w:ascii="Times New Roman" w:eastAsia="Calibri" w:hAnsi="Times New Roman" w:cs="Times New Roman"/>
          <w:sz w:val="28"/>
          <w:szCs w:val="28"/>
        </w:rPr>
        <w:t>их  жесткости</w:t>
      </w:r>
      <w:proofErr w:type="gramEnd"/>
      <w:r>
        <w:rPr>
          <w:rFonts w:ascii="Times New Roman" w:eastAsia="Calibri" w:hAnsi="Times New Roman" w:cs="Times New Roman"/>
          <w:sz w:val="28"/>
          <w:szCs w:val="28"/>
        </w:rPr>
        <w:t xml:space="preserve"> сохранялась</w:t>
      </w:r>
      <w:r w:rsidRPr="00402BB9">
        <w:rPr>
          <w:rFonts w:ascii="Times New Roman" w:eastAsia="Calibri" w:hAnsi="Times New Roman" w:cs="Times New Roman"/>
          <w:sz w:val="28"/>
          <w:szCs w:val="28"/>
        </w:rPr>
        <w:t>. Смягчение денежно-кредитных условий происходило преимущественно за счет снижени</w:t>
      </w:r>
      <w:r>
        <w:rPr>
          <w:rFonts w:ascii="Times New Roman" w:eastAsia="Calibri" w:hAnsi="Times New Roman" w:cs="Times New Roman"/>
          <w:sz w:val="28"/>
          <w:szCs w:val="28"/>
        </w:rPr>
        <w:t>я процентных ставок в экономике</w:t>
      </w:r>
      <w:r w:rsidRPr="00402BB9">
        <w:rPr>
          <w:rFonts w:ascii="Times New Roman" w:eastAsia="Calibri" w:hAnsi="Times New Roman" w:cs="Times New Roman"/>
          <w:sz w:val="28"/>
          <w:szCs w:val="28"/>
        </w:rPr>
        <w:t>. Сохранение инфляции на низком уровне и продолжавшееся снижение инфляционных ожиданий также способствовали уменьшению рыночных процентных ставок. Однако</w:t>
      </w:r>
      <w:r>
        <w:rPr>
          <w:rFonts w:ascii="Times New Roman" w:eastAsia="Calibri" w:hAnsi="Times New Roman" w:cs="Times New Roman"/>
          <w:sz w:val="28"/>
          <w:szCs w:val="28"/>
        </w:rPr>
        <w:t xml:space="preserve">, начиная с мая, </w:t>
      </w:r>
      <w:r w:rsidRPr="00402BB9">
        <w:rPr>
          <w:rFonts w:ascii="Times New Roman" w:eastAsia="Calibri" w:hAnsi="Times New Roman" w:cs="Times New Roman"/>
          <w:sz w:val="28"/>
          <w:szCs w:val="28"/>
        </w:rPr>
        <w:t xml:space="preserve">денежно-кредитные условия несколько ужесточились. </w:t>
      </w:r>
    </w:p>
    <w:p w:rsidR="001A01B3" w:rsidRDefault="001A01B3" w:rsidP="00112EE9">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Неценовые условия кредитования практически не менялись в течение года. Стремясь улучшить качество кредитного портфеля, банки сохраняли консерватизм в отношении оценки заемщиков. Сформировавшиеся денежно-кредитные условия обеспечивали увеличение кредитной активности в соответствии с ростом доходов. Увеличению кредитования также </w:t>
      </w:r>
      <w:r w:rsidRPr="00402BB9">
        <w:rPr>
          <w:rFonts w:ascii="Times New Roman" w:eastAsia="Calibri" w:hAnsi="Times New Roman" w:cs="Times New Roman"/>
          <w:sz w:val="28"/>
          <w:szCs w:val="28"/>
        </w:rPr>
        <w:lastRenderedPageBreak/>
        <w:t xml:space="preserve">способствовало расширение возможностей заемщиков обслуживать свои обязательства в условиях снижения долговой нагрузки по мере снижения процентных ставок. Рост кредитования организаций оставался умеренным. </w:t>
      </w:r>
      <w:r w:rsidRPr="00862BC0">
        <w:rPr>
          <w:rFonts w:ascii="Times New Roman" w:eastAsia="Calibri" w:hAnsi="Times New Roman" w:cs="Times New Roman"/>
          <w:sz w:val="28"/>
          <w:szCs w:val="28"/>
        </w:rPr>
        <w:t>Наиболее быстрыми темпами рос</w:t>
      </w:r>
      <w:r>
        <w:rPr>
          <w:rFonts w:ascii="Times New Roman" w:eastAsia="Calibri" w:hAnsi="Times New Roman" w:cs="Times New Roman"/>
          <w:sz w:val="28"/>
          <w:szCs w:val="28"/>
        </w:rPr>
        <w:t xml:space="preserve">ло потребительское кредитование, за этим </w:t>
      </w:r>
      <w:r w:rsidRPr="00402BB9">
        <w:rPr>
          <w:rFonts w:ascii="Times New Roman" w:eastAsia="Calibri" w:hAnsi="Times New Roman" w:cs="Times New Roman"/>
          <w:sz w:val="28"/>
          <w:szCs w:val="28"/>
        </w:rPr>
        <w:t xml:space="preserve">Банк России </w:t>
      </w:r>
      <w:r>
        <w:rPr>
          <w:rFonts w:ascii="Times New Roman" w:eastAsia="Calibri" w:hAnsi="Times New Roman" w:cs="Times New Roman"/>
          <w:sz w:val="28"/>
          <w:szCs w:val="28"/>
        </w:rPr>
        <w:t xml:space="preserve">в течение года </w:t>
      </w:r>
      <w:r w:rsidRPr="00402BB9">
        <w:rPr>
          <w:rFonts w:ascii="Times New Roman" w:eastAsia="Calibri" w:hAnsi="Times New Roman" w:cs="Times New Roman"/>
          <w:sz w:val="28"/>
          <w:szCs w:val="28"/>
        </w:rPr>
        <w:t>внимательно следил</w:t>
      </w:r>
      <w:r>
        <w:rPr>
          <w:rFonts w:ascii="Times New Roman" w:eastAsia="Calibri" w:hAnsi="Times New Roman" w:cs="Times New Roman"/>
          <w:sz w:val="28"/>
          <w:szCs w:val="28"/>
        </w:rPr>
        <w:t>. В целом темпы роста</w:t>
      </w:r>
      <w:r w:rsidRPr="00402BB9">
        <w:rPr>
          <w:rFonts w:ascii="Times New Roman" w:eastAsia="Calibri" w:hAnsi="Times New Roman" w:cs="Times New Roman"/>
          <w:sz w:val="28"/>
          <w:szCs w:val="28"/>
        </w:rPr>
        <w:t xml:space="preserve"> не вызывает опасений у Банка России с точки зрения влияния на динамику цен. Расширение кредитования оказывало поддержку потребительскому спросу. В то же время сохранение положительных реальных процентных ставок обеспечивало привлекательность для населения вкладов в рублях. В результате норма сбережени</w:t>
      </w:r>
      <w:r>
        <w:rPr>
          <w:rFonts w:ascii="Times New Roman" w:eastAsia="Calibri" w:hAnsi="Times New Roman" w:cs="Times New Roman"/>
          <w:sz w:val="28"/>
          <w:szCs w:val="28"/>
        </w:rPr>
        <w:t>я оставалась в целом стабильной</w:t>
      </w:r>
      <w:r w:rsidRPr="00402BB9">
        <w:rPr>
          <w:rFonts w:ascii="Times New Roman" w:eastAsia="Calibri" w:hAnsi="Times New Roman" w:cs="Times New Roman"/>
          <w:sz w:val="28"/>
          <w:szCs w:val="28"/>
        </w:rPr>
        <w:t>.</w:t>
      </w:r>
    </w:p>
    <w:p w:rsidR="001A01B3" w:rsidRDefault="001A01B3" w:rsidP="00112EE9">
      <w:pPr>
        <w:tabs>
          <w:tab w:val="right" w:leader="dot" w:pos="9639"/>
        </w:tabs>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 для </w:t>
      </w:r>
      <w:r w:rsidRPr="00402BB9">
        <w:rPr>
          <w:rFonts w:ascii="Times New Roman" w:eastAsia="Calibri" w:hAnsi="Times New Roman" w:cs="Times New Roman"/>
          <w:sz w:val="28"/>
          <w:szCs w:val="28"/>
        </w:rPr>
        <w:t>ограничения избыточного приня</w:t>
      </w:r>
      <w:r>
        <w:rPr>
          <w:rFonts w:ascii="Times New Roman" w:eastAsia="Calibri" w:hAnsi="Times New Roman" w:cs="Times New Roman"/>
          <w:sz w:val="28"/>
          <w:szCs w:val="28"/>
        </w:rPr>
        <w:t>тия банками рисков, связанных с</w:t>
      </w:r>
      <w:r w:rsidRPr="00402BB9">
        <w:rPr>
          <w:rFonts w:ascii="Times New Roman" w:eastAsia="Calibri" w:hAnsi="Times New Roman" w:cs="Times New Roman"/>
          <w:sz w:val="28"/>
          <w:szCs w:val="28"/>
        </w:rPr>
        <w:t xml:space="preserve"> наращиванием кредитования </w:t>
      </w:r>
      <w:proofErr w:type="gramStart"/>
      <w:r w:rsidRPr="00402BB9">
        <w:rPr>
          <w:rFonts w:ascii="Times New Roman" w:eastAsia="Calibri" w:hAnsi="Times New Roman" w:cs="Times New Roman"/>
          <w:sz w:val="28"/>
          <w:szCs w:val="28"/>
        </w:rPr>
        <w:t>в  данном</w:t>
      </w:r>
      <w:proofErr w:type="gramEnd"/>
      <w:r w:rsidRPr="00402BB9">
        <w:rPr>
          <w:rFonts w:ascii="Times New Roman" w:eastAsia="Calibri" w:hAnsi="Times New Roman" w:cs="Times New Roman"/>
          <w:sz w:val="28"/>
          <w:szCs w:val="28"/>
        </w:rPr>
        <w:t xml:space="preserve"> сегменте, Банк России принял</w:t>
      </w:r>
      <w:r>
        <w:rPr>
          <w:rFonts w:ascii="Times New Roman" w:eastAsia="Calibri" w:hAnsi="Times New Roman" w:cs="Times New Roman"/>
          <w:sz w:val="28"/>
          <w:szCs w:val="28"/>
        </w:rPr>
        <w:t xml:space="preserve"> ряд </w:t>
      </w:r>
      <w:proofErr w:type="spellStart"/>
      <w:r>
        <w:rPr>
          <w:rFonts w:ascii="Times New Roman" w:eastAsia="Calibri" w:hAnsi="Times New Roman" w:cs="Times New Roman"/>
          <w:sz w:val="28"/>
          <w:szCs w:val="28"/>
        </w:rPr>
        <w:t>макропруденциальных</w:t>
      </w:r>
      <w:proofErr w:type="spellEnd"/>
      <w:r>
        <w:rPr>
          <w:rFonts w:ascii="Times New Roman" w:eastAsia="Calibri" w:hAnsi="Times New Roman" w:cs="Times New Roman"/>
          <w:sz w:val="28"/>
          <w:szCs w:val="28"/>
        </w:rPr>
        <w:t xml:space="preserve"> мер. С</w:t>
      </w:r>
      <w:r w:rsidRPr="00402BB9">
        <w:rPr>
          <w:rFonts w:ascii="Times New Roman" w:eastAsia="Calibri" w:hAnsi="Times New Roman" w:cs="Times New Roman"/>
          <w:sz w:val="28"/>
          <w:szCs w:val="28"/>
        </w:rPr>
        <w:t xml:space="preserve"> начала 2018 г. были повышены коэффициенты риска по ипотечным кредитам с пониженным первоначальным взносом, с 1 сентября пересмотрена шкала повышенных коэффициентов риска по потребительским кредитам для расчета нормативов достаточности капитала. Кроме того, для обеспечения устойчивости кредитных организаций Банк России также продолжил поэтапное внедрение подходов банковского регулирования «Базель III»: в 2018 г. были повышены регуляторные требования в части надбавок к достаточности капитала </w:t>
      </w:r>
      <w:proofErr w:type="gramStart"/>
      <w:r w:rsidRPr="00402BB9">
        <w:rPr>
          <w:rFonts w:ascii="Times New Roman" w:eastAsia="Calibri" w:hAnsi="Times New Roman" w:cs="Times New Roman"/>
          <w:sz w:val="28"/>
          <w:szCs w:val="28"/>
        </w:rPr>
        <w:t>и  ликвидности</w:t>
      </w:r>
      <w:proofErr w:type="gramEnd"/>
      <w:r w:rsidRPr="00402BB9">
        <w:rPr>
          <w:rFonts w:ascii="Times New Roman" w:eastAsia="Calibri" w:hAnsi="Times New Roman" w:cs="Times New Roman"/>
          <w:sz w:val="28"/>
          <w:szCs w:val="28"/>
        </w:rPr>
        <w:t xml:space="preserve"> кредитных организаций. Принятые </w:t>
      </w:r>
      <w:proofErr w:type="spellStart"/>
      <w:r w:rsidRPr="00402BB9">
        <w:rPr>
          <w:rFonts w:ascii="Times New Roman" w:eastAsia="Calibri" w:hAnsi="Times New Roman" w:cs="Times New Roman"/>
          <w:sz w:val="28"/>
          <w:szCs w:val="28"/>
        </w:rPr>
        <w:t>макропруденциальные</w:t>
      </w:r>
      <w:proofErr w:type="spellEnd"/>
      <w:r w:rsidRPr="00402BB9">
        <w:rPr>
          <w:rFonts w:ascii="Times New Roman" w:eastAsia="Calibri" w:hAnsi="Times New Roman" w:cs="Times New Roman"/>
          <w:sz w:val="28"/>
          <w:szCs w:val="28"/>
        </w:rPr>
        <w:t xml:space="preserve"> меры </w:t>
      </w:r>
      <w:proofErr w:type="gramStart"/>
      <w:r w:rsidRPr="00402BB9">
        <w:rPr>
          <w:rFonts w:ascii="Times New Roman" w:eastAsia="Calibri" w:hAnsi="Times New Roman" w:cs="Times New Roman"/>
          <w:sz w:val="28"/>
          <w:szCs w:val="28"/>
        </w:rPr>
        <w:t>и  меры</w:t>
      </w:r>
      <w:proofErr w:type="gramEnd"/>
      <w:r w:rsidRPr="00402BB9">
        <w:rPr>
          <w:rFonts w:ascii="Times New Roman" w:eastAsia="Calibri" w:hAnsi="Times New Roman" w:cs="Times New Roman"/>
          <w:sz w:val="28"/>
          <w:szCs w:val="28"/>
        </w:rPr>
        <w:t xml:space="preserve"> банковского регулирования будут способствовать формированию банками адекватной подушки безопасности на случай реализации рисков и обеспечат стабильность в банковском секторе, что является важным условием нормальной работы трансмиссионного механ</w:t>
      </w:r>
      <w:r>
        <w:rPr>
          <w:rFonts w:ascii="Times New Roman" w:eastAsia="Calibri" w:hAnsi="Times New Roman" w:cs="Times New Roman"/>
          <w:sz w:val="28"/>
          <w:szCs w:val="28"/>
        </w:rPr>
        <w:t>изма денежно-кредитной политики</w:t>
      </w:r>
      <w:r w:rsidR="005A3871">
        <w:rPr>
          <w:rFonts w:ascii="Times New Roman" w:eastAsia="Calibri" w:hAnsi="Times New Roman" w:cs="Times New Roman"/>
          <w:sz w:val="28"/>
          <w:szCs w:val="28"/>
        </w:rPr>
        <w:t>.</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Помимо роста кредитования, поддержку потребительскому спросу оказывала динамика заработной платы. </w:t>
      </w:r>
      <w:r>
        <w:rPr>
          <w:rFonts w:ascii="Times New Roman" w:eastAsia="Calibri" w:hAnsi="Times New Roman" w:cs="Times New Roman"/>
          <w:sz w:val="28"/>
          <w:szCs w:val="28"/>
        </w:rPr>
        <w:t>Наглядно представим уровень заработной платы на рисунке 4.</w:t>
      </w:r>
    </w:p>
    <w:p w:rsidR="001A01B3" w:rsidRDefault="001A01B3" w:rsidP="008D7FFC">
      <w:pPr>
        <w:tabs>
          <w:tab w:val="right" w:leader="dot" w:pos="9639"/>
        </w:tabs>
        <w:spacing w:after="0" w:line="360" w:lineRule="auto"/>
        <w:ind w:firstLine="567"/>
        <w:contextualSpacing/>
        <w:jc w:val="both"/>
        <w:rPr>
          <w:rFonts w:ascii="Times New Roman" w:eastAsia="Calibri" w:hAnsi="Times New Roman" w:cs="Times New Roman"/>
          <w:sz w:val="28"/>
          <w:szCs w:val="28"/>
        </w:rPr>
      </w:pPr>
      <w:r w:rsidRPr="00947753">
        <w:rPr>
          <w:rFonts w:ascii="Calibri" w:eastAsia="Calibri" w:hAnsi="Calibri" w:cs="Calibri"/>
          <w:noProof/>
          <w:color w:val="181717"/>
          <w:lang w:eastAsia="ru-RU"/>
        </w:rPr>
        <w:lastRenderedPageBreak/>
        <w:drawing>
          <wp:inline distT="0" distB="0" distL="0" distR="0" wp14:anchorId="6C46DD93" wp14:editId="75AF357A">
            <wp:extent cx="5534025" cy="3048000"/>
            <wp:effectExtent l="0" t="0" r="9525" b="0"/>
            <wp:docPr id="3" name="Picture 310488"/>
            <wp:cNvGraphicFramePr/>
            <a:graphic xmlns:a="http://schemas.openxmlformats.org/drawingml/2006/main">
              <a:graphicData uri="http://schemas.openxmlformats.org/drawingml/2006/picture">
                <pic:pic xmlns:pic="http://schemas.openxmlformats.org/drawingml/2006/picture">
                  <pic:nvPicPr>
                    <pic:cNvPr id="310488" name="Picture 310488"/>
                    <pic:cNvPicPr/>
                  </pic:nvPicPr>
                  <pic:blipFill>
                    <a:blip r:embed="rId10"/>
                    <a:stretch>
                      <a:fillRect/>
                    </a:stretch>
                  </pic:blipFill>
                  <pic:spPr>
                    <a:xfrm>
                      <a:off x="0" y="0"/>
                      <a:ext cx="5534861" cy="3048460"/>
                    </a:xfrm>
                    <a:prstGeom prst="rect">
                      <a:avLst/>
                    </a:prstGeom>
                  </pic:spPr>
                </pic:pic>
              </a:graphicData>
            </a:graphic>
          </wp:inline>
        </w:drawing>
      </w:r>
    </w:p>
    <w:p w:rsidR="001A01B3" w:rsidRDefault="001A01B3" w:rsidP="00D75F67">
      <w:pPr>
        <w:tabs>
          <w:tab w:val="right" w:leader="dot" w:pos="9639"/>
        </w:tabs>
        <w:spacing w:after="0" w:line="36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proofErr w:type="gramStart"/>
      <w:r>
        <w:rPr>
          <w:rFonts w:ascii="Times New Roman" w:eastAsia="Calibri" w:hAnsi="Times New Roman" w:cs="Times New Roman"/>
          <w:sz w:val="28"/>
          <w:szCs w:val="28"/>
        </w:rPr>
        <w:t>4</w:t>
      </w:r>
      <w:r w:rsidR="00D75F67">
        <w:rPr>
          <w:rFonts w:ascii="Times New Roman" w:eastAsia="Calibri" w:hAnsi="Times New Roman" w:cs="Times New Roman"/>
          <w:sz w:val="28"/>
          <w:szCs w:val="28"/>
        </w:rPr>
        <w:t xml:space="preserve"> </w:t>
      </w:r>
      <w:r w:rsidR="00D75F67">
        <w:rPr>
          <w:rFonts w:ascii="Times New Roman" w:eastAsia="Calibri" w:hAnsi="Times New Roman" w:cs="Times New Roman"/>
          <w:sz w:val="28"/>
          <w:szCs w:val="28"/>
        </w:rPr>
        <w:sym w:font="Symbol" w:char="F02D"/>
      </w:r>
      <w:r w:rsidR="00D75F67">
        <w:rPr>
          <w:rFonts w:ascii="Times New Roman" w:eastAsia="Calibri" w:hAnsi="Times New Roman" w:cs="Times New Roman"/>
          <w:sz w:val="28"/>
          <w:szCs w:val="28"/>
        </w:rPr>
        <w:t xml:space="preserve"> Д</w:t>
      </w:r>
      <w:r>
        <w:rPr>
          <w:rFonts w:ascii="Times New Roman" w:eastAsia="Calibri" w:hAnsi="Times New Roman" w:cs="Times New Roman"/>
          <w:sz w:val="28"/>
          <w:szCs w:val="28"/>
        </w:rPr>
        <w:t>инамика</w:t>
      </w:r>
      <w:proofErr w:type="gramEnd"/>
      <w:r>
        <w:rPr>
          <w:rFonts w:ascii="Times New Roman" w:eastAsia="Calibri" w:hAnsi="Times New Roman" w:cs="Times New Roman"/>
          <w:sz w:val="28"/>
          <w:szCs w:val="28"/>
        </w:rPr>
        <w:t xml:space="preserve"> заработной платы в России</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При этом </w:t>
      </w:r>
      <w:proofErr w:type="gramStart"/>
      <w:r w:rsidRPr="00402BB9">
        <w:rPr>
          <w:rFonts w:ascii="Times New Roman" w:eastAsia="Calibri" w:hAnsi="Times New Roman" w:cs="Times New Roman"/>
          <w:sz w:val="28"/>
          <w:szCs w:val="28"/>
        </w:rPr>
        <w:t>в  государственном</w:t>
      </w:r>
      <w:proofErr w:type="gramEnd"/>
      <w:r w:rsidRPr="00402BB9">
        <w:rPr>
          <w:rFonts w:ascii="Times New Roman" w:eastAsia="Calibri" w:hAnsi="Times New Roman" w:cs="Times New Roman"/>
          <w:sz w:val="28"/>
          <w:szCs w:val="28"/>
        </w:rPr>
        <w:t xml:space="preserve"> секторе заработная плата росла повышенными темпами, что оказывало влияние на заработную плату в частном секторе. Ускоренный рост заработной платы </w:t>
      </w:r>
      <w:proofErr w:type="gramStart"/>
      <w:r w:rsidRPr="00402BB9">
        <w:rPr>
          <w:rFonts w:ascii="Times New Roman" w:eastAsia="Calibri" w:hAnsi="Times New Roman" w:cs="Times New Roman"/>
          <w:sz w:val="28"/>
          <w:szCs w:val="28"/>
        </w:rPr>
        <w:t>в  начале</w:t>
      </w:r>
      <w:proofErr w:type="gramEnd"/>
      <w:r w:rsidRPr="00402BB9">
        <w:rPr>
          <w:rFonts w:ascii="Times New Roman" w:eastAsia="Calibri" w:hAnsi="Times New Roman" w:cs="Times New Roman"/>
          <w:sz w:val="28"/>
          <w:szCs w:val="28"/>
        </w:rPr>
        <w:t xml:space="preserve"> года </w:t>
      </w:r>
      <w:r w:rsidR="005A3871">
        <w:rPr>
          <w:rFonts w:ascii="Times New Roman" w:eastAsia="Calibri" w:hAnsi="Times New Roman" w:cs="Times New Roman"/>
          <w:sz w:val="28"/>
          <w:szCs w:val="28"/>
        </w:rPr>
        <w:t>вызывал опасения у Банка России, так как это</w:t>
      </w:r>
      <w:r w:rsidRPr="00402BB9">
        <w:rPr>
          <w:rFonts w:ascii="Times New Roman" w:eastAsia="Calibri" w:hAnsi="Times New Roman" w:cs="Times New Roman"/>
          <w:sz w:val="28"/>
          <w:szCs w:val="28"/>
        </w:rPr>
        <w:t xml:space="preserve"> могло привести к росту инфляционного давления. Однако, значительное ускорение роста заработной платы </w:t>
      </w:r>
      <w:r>
        <w:rPr>
          <w:rFonts w:ascii="Times New Roman" w:eastAsia="Calibri" w:hAnsi="Times New Roman" w:cs="Times New Roman"/>
          <w:sz w:val="28"/>
          <w:szCs w:val="28"/>
        </w:rPr>
        <w:t xml:space="preserve">было </w:t>
      </w:r>
      <w:r w:rsidRPr="00402BB9">
        <w:rPr>
          <w:rFonts w:ascii="Times New Roman" w:eastAsia="Calibri" w:hAnsi="Times New Roman" w:cs="Times New Roman"/>
          <w:sz w:val="28"/>
          <w:szCs w:val="28"/>
        </w:rPr>
        <w:t xml:space="preserve">временным. Оно было связано </w:t>
      </w:r>
      <w:proofErr w:type="gramStart"/>
      <w:r w:rsidRPr="00402BB9">
        <w:rPr>
          <w:rFonts w:ascii="Times New Roman" w:eastAsia="Calibri" w:hAnsi="Times New Roman" w:cs="Times New Roman"/>
          <w:sz w:val="28"/>
          <w:szCs w:val="28"/>
        </w:rPr>
        <w:t>с  повышенными</w:t>
      </w:r>
      <w:proofErr w:type="gramEnd"/>
      <w:r w:rsidRPr="00402BB9">
        <w:rPr>
          <w:rFonts w:ascii="Times New Roman" w:eastAsia="Calibri" w:hAnsi="Times New Roman" w:cs="Times New Roman"/>
          <w:sz w:val="28"/>
          <w:szCs w:val="28"/>
        </w:rPr>
        <w:t xml:space="preserve"> выплатами премий в частном секторе, а также значительным повышением оплаты труда отдельным категориям работников в бюджетной сфере в  рамках исполнения Указа Президента Российской Федерации от  7  мая 2012 года. </w:t>
      </w:r>
      <w:proofErr w:type="gramStart"/>
      <w:r w:rsidRPr="00402BB9">
        <w:rPr>
          <w:rFonts w:ascii="Times New Roman" w:eastAsia="Calibri" w:hAnsi="Times New Roman" w:cs="Times New Roman"/>
          <w:sz w:val="28"/>
          <w:szCs w:val="28"/>
        </w:rPr>
        <w:t>В  апреле</w:t>
      </w:r>
      <w:proofErr w:type="gramEnd"/>
      <w:r w:rsidRPr="00402BB9">
        <w:rPr>
          <w:rFonts w:ascii="Times New Roman" w:eastAsia="Calibri" w:hAnsi="Times New Roman" w:cs="Times New Roman"/>
          <w:sz w:val="28"/>
          <w:szCs w:val="28"/>
        </w:rPr>
        <w:t xml:space="preserve"> рост реальной заработной платы ожидаемо замедлился. Кроме того, несмотря на заметное увеличение трудовых компенсаций, рост располагаемых денежных доходов населения был небольшим. Постепенное увеличение потребительского спроса способствовало сохранению благоприятных деловых настроений и создавало стимулы для дальнейшего роста производства и инвестиций.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Однако ужесточение внешних санкций в апреле привело </w:t>
      </w:r>
      <w:proofErr w:type="gramStart"/>
      <w:r w:rsidRPr="00402BB9">
        <w:rPr>
          <w:rFonts w:ascii="Times New Roman" w:eastAsia="Calibri" w:hAnsi="Times New Roman" w:cs="Times New Roman"/>
          <w:sz w:val="28"/>
          <w:szCs w:val="28"/>
        </w:rPr>
        <w:t>к  увеличению</w:t>
      </w:r>
      <w:proofErr w:type="gramEnd"/>
      <w:r w:rsidRPr="00402BB9">
        <w:rPr>
          <w:rFonts w:ascii="Times New Roman" w:eastAsia="Calibri" w:hAnsi="Times New Roman" w:cs="Times New Roman"/>
          <w:sz w:val="28"/>
          <w:szCs w:val="28"/>
        </w:rPr>
        <w:t xml:space="preserve"> неопределенности и формированию более осторожной оцен</w:t>
      </w:r>
      <w:r>
        <w:rPr>
          <w:rFonts w:ascii="Times New Roman" w:eastAsia="Calibri" w:hAnsi="Times New Roman" w:cs="Times New Roman"/>
          <w:sz w:val="28"/>
          <w:szCs w:val="28"/>
        </w:rPr>
        <w:t xml:space="preserve">ки компаниями </w:t>
      </w:r>
      <w:r>
        <w:rPr>
          <w:rFonts w:ascii="Times New Roman" w:eastAsia="Calibri" w:hAnsi="Times New Roman" w:cs="Times New Roman"/>
          <w:sz w:val="28"/>
          <w:szCs w:val="28"/>
        </w:rPr>
        <w:lastRenderedPageBreak/>
        <w:t xml:space="preserve">перспектив спроса. </w:t>
      </w:r>
      <w:r w:rsidRPr="00402BB9">
        <w:rPr>
          <w:rFonts w:ascii="Times New Roman" w:eastAsia="Calibri" w:hAnsi="Times New Roman" w:cs="Times New Roman"/>
          <w:sz w:val="28"/>
          <w:szCs w:val="28"/>
        </w:rPr>
        <w:t>Неблагоприятное влияние на инвестиционную активность в начале года также оказала нетипично холодная п</w:t>
      </w:r>
      <w:r>
        <w:rPr>
          <w:rFonts w:ascii="Times New Roman" w:eastAsia="Calibri" w:hAnsi="Times New Roman" w:cs="Times New Roman"/>
          <w:sz w:val="28"/>
          <w:szCs w:val="28"/>
        </w:rPr>
        <w:t xml:space="preserve">огода в марте, сказавшаяся на активности </w:t>
      </w:r>
      <w:proofErr w:type="gramStart"/>
      <w:r>
        <w:rPr>
          <w:rFonts w:ascii="Times New Roman" w:eastAsia="Calibri" w:hAnsi="Times New Roman" w:cs="Times New Roman"/>
          <w:sz w:val="28"/>
          <w:szCs w:val="28"/>
        </w:rPr>
        <w:t>в  строительстве</w:t>
      </w:r>
      <w:proofErr w:type="gramEnd"/>
      <w:r>
        <w:rPr>
          <w:rFonts w:ascii="Times New Roman" w:eastAsia="Calibri" w:hAnsi="Times New Roman" w:cs="Times New Roman"/>
          <w:sz w:val="28"/>
          <w:szCs w:val="28"/>
        </w:rPr>
        <w:t xml:space="preserve">. </w:t>
      </w:r>
      <w:r w:rsidR="00DE6052">
        <w:rPr>
          <w:rFonts w:ascii="Times New Roman" w:eastAsia="Calibri" w:hAnsi="Times New Roman" w:cs="Times New Roman"/>
          <w:sz w:val="28"/>
          <w:szCs w:val="28"/>
        </w:rPr>
        <w:t xml:space="preserve">Но, в целом, </w:t>
      </w:r>
      <w:r w:rsidRPr="00402BB9">
        <w:rPr>
          <w:rFonts w:ascii="Times New Roman" w:eastAsia="Calibri" w:hAnsi="Times New Roman" w:cs="Times New Roman"/>
          <w:sz w:val="28"/>
          <w:szCs w:val="28"/>
        </w:rPr>
        <w:t xml:space="preserve">рост инвестиций в годовом выражении продолжился. </w:t>
      </w:r>
      <w:r w:rsidR="00DE6052">
        <w:rPr>
          <w:rFonts w:ascii="Times New Roman" w:eastAsia="Calibri" w:hAnsi="Times New Roman" w:cs="Times New Roman"/>
          <w:sz w:val="28"/>
          <w:szCs w:val="28"/>
        </w:rPr>
        <w:t>И</w:t>
      </w:r>
      <w:r w:rsidRPr="00402BB9">
        <w:rPr>
          <w:rFonts w:ascii="Times New Roman" w:eastAsia="Calibri" w:hAnsi="Times New Roman" w:cs="Times New Roman"/>
          <w:sz w:val="28"/>
          <w:szCs w:val="28"/>
        </w:rPr>
        <w:t>нвестиции были направле</w:t>
      </w:r>
      <w:r>
        <w:rPr>
          <w:rFonts w:ascii="Times New Roman" w:eastAsia="Calibri" w:hAnsi="Times New Roman" w:cs="Times New Roman"/>
          <w:sz w:val="28"/>
          <w:szCs w:val="28"/>
        </w:rPr>
        <w:t xml:space="preserve">ны на выпуск новой продукции и </w:t>
      </w:r>
      <w:r w:rsidRPr="00402BB9">
        <w:rPr>
          <w:rFonts w:ascii="Times New Roman" w:eastAsia="Calibri" w:hAnsi="Times New Roman" w:cs="Times New Roman"/>
          <w:sz w:val="28"/>
          <w:szCs w:val="28"/>
        </w:rPr>
        <w:t>расширение производства. Компании вклады</w:t>
      </w:r>
      <w:r>
        <w:rPr>
          <w:rFonts w:ascii="Times New Roman" w:eastAsia="Calibri" w:hAnsi="Times New Roman" w:cs="Times New Roman"/>
          <w:sz w:val="28"/>
          <w:szCs w:val="28"/>
        </w:rPr>
        <w:t>вали средства преимущественно в</w:t>
      </w:r>
      <w:r w:rsidRPr="00402BB9">
        <w:rPr>
          <w:rFonts w:ascii="Times New Roman" w:eastAsia="Calibri" w:hAnsi="Times New Roman" w:cs="Times New Roman"/>
          <w:sz w:val="28"/>
          <w:szCs w:val="28"/>
        </w:rPr>
        <w:t xml:space="preserve"> покупку машин </w:t>
      </w:r>
      <w:proofErr w:type="gramStart"/>
      <w:r w:rsidRPr="00402BB9">
        <w:rPr>
          <w:rFonts w:ascii="Times New Roman" w:eastAsia="Calibri" w:hAnsi="Times New Roman" w:cs="Times New Roman"/>
          <w:sz w:val="28"/>
          <w:szCs w:val="28"/>
        </w:rPr>
        <w:t>и  оборудования</w:t>
      </w:r>
      <w:proofErr w:type="gramEnd"/>
      <w:r w:rsidRPr="00402BB9">
        <w:rPr>
          <w:rFonts w:ascii="Times New Roman" w:eastAsia="Calibri" w:hAnsi="Times New Roman" w:cs="Times New Roman"/>
          <w:sz w:val="28"/>
          <w:szCs w:val="28"/>
        </w:rPr>
        <w:t xml:space="preserve">. При этом в I квартале в условиях сохранения относительно крепкого рубля они в том числе увеличивали спрос на импортные инвестиционные товары. Возможности для расширения производственной и инвестиционной активности создавало смягчение условий кредитования. Компании также продолжили частично удовлетворять потребность в заимствованиях за счет размещения корпоративных облигаций. Этому способствовали более привлекательные финансовые условия </w:t>
      </w:r>
      <w:proofErr w:type="gramStart"/>
      <w:r w:rsidRPr="00402BB9">
        <w:rPr>
          <w:rFonts w:ascii="Times New Roman" w:eastAsia="Calibri" w:hAnsi="Times New Roman" w:cs="Times New Roman"/>
          <w:sz w:val="28"/>
          <w:szCs w:val="28"/>
        </w:rPr>
        <w:t>на  долговом</w:t>
      </w:r>
      <w:proofErr w:type="gramEnd"/>
      <w:r w:rsidRPr="00402BB9">
        <w:rPr>
          <w:rFonts w:ascii="Times New Roman" w:eastAsia="Calibri" w:hAnsi="Times New Roman" w:cs="Times New Roman"/>
          <w:sz w:val="28"/>
          <w:szCs w:val="28"/>
        </w:rPr>
        <w:t xml:space="preserve"> рынке в  сравнении с  условиями банковского кредитования в первом полугодии 2018 года.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roofErr w:type="gramStart"/>
      <w:r w:rsidRPr="00402BB9">
        <w:rPr>
          <w:rFonts w:ascii="Times New Roman" w:eastAsia="Calibri" w:hAnsi="Times New Roman" w:cs="Times New Roman"/>
          <w:sz w:val="28"/>
          <w:szCs w:val="28"/>
        </w:rPr>
        <w:t>В  условиях</w:t>
      </w:r>
      <w:proofErr w:type="gramEnd"/>
      <w:r w:rsidRPr="00402BB9">
        <w:rPr>
          <w:rFonts w:ascii="Times New Roman" w:eastAsia="Calibri" w:hAnsi="Times New Roman" w:cs="Times New Roman"/>
          <w:sz w:val="28"/>
          <w:szCs w:val="28"/>
        </w:rPr>
        <w:t xml:space="preserve"> реализуемой консервативной бюджетной политики и  сохранения стратегии бюджетной консолидации рост государственных расходов оставался сдержанным. Он был ограничен повышением доходов </w:t>
      </w:r>
      <w:proofErr w:type="gramStart"/>
      <w:r w:rsidRPr="00402BB9">
        <w:rPr>
          <w:rFonts w:ascii="Times New Roman" w:eastAsia="Calibri" w:hAnsi="Times New Roman" w:cs="Times New Roman"/>
          <w:sz w:val="28"/>
          <w:szCs w:val="28"/>
        </w:rPr>
        <w:t>в  условиях</w:t>
      </w:r>
      <w:proofErr w:type="gramEnd"/>
      <w:r w:rsidRPr="00402BB9">
        <w:rPr>
          <w:rFonts w:ascii="Times New Roman" w:eastAsia="Calibri" w:hAnsi="Times New Roman" w:cs="Times New Roman"/>
          <w:sz w:val="28"/>
          <w:szCs w:val="28"/>
        </w:rPr>
        <w:t xml:space="preserve"> действия бюджетного правила. Это обеспечивало низкие инфляционные риски со стороны бюджетной политики, связанные с возможной корректировкой бюджетных расходов. Увеличение внутреннего </w:t>
      </w:r>
      <w:proofErr w:type="gramStart"/>
      <w:r w:rsidRPr="00402BB9">
        <w:rPr>
          <w:rFonts w:ascii="Times New Roman" w:eastAsia="Calibri" w:hAnsi="Times New Roman" w:cs="Times New Roman"/>
          <w:sz w:val="28"/>
          <w:szCs w:val="28"/>
        </w:rPr>
        <w:t>и  внешнего</w:t>
      </w:r>
      <w:proofErr w:type="gramEnd"/>
      <w:r w:rsidRPr="00402BB9">
        <w:rPr>
          <w:rFonts w:ascii="Times New Roman" w:eastAsia="Calibri" w:hAnsi="Times New Roman" w:cs="Times New Roman"/>
          <w:sz w:val="28"/>
          <w:szCs w:val="28"/>
        </w:rPr>
        <w:t xml:space="preserve"> спроса обеспечивало рост экономики на уровне, соответствующем долгосрочному потенциалу с  учетом ее текущей структуры. </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roofErr w:type="gramStart"/>
      <w:r w:rsidRPr="00402BB9">
        <w:rPr>
          <w:rFonts w:ascii="Times New Roman" w:eastAsia="Calibri" w:hAnsi="Times New Roman" w:cs="Times New Roman"/>
          <w:sz w:val="28"/>
          <w:szCs w:val="28"/>
        </w:rPr>
        <w:t>По  оценкам</w:t>
      </w:r>
      <w:proofErr w:type="gramEnd"/>
      <w:r w:rsidRPr="00402BB9">
        <w:rPr>
          <w:rFonts w:ascii="Times New Roman" w:eastAsia="Calibri" w:hAnsi="Times New Roman" w:cs="Times New Roman"/>
          <w:sz w:val="28"/>
          <w:szCs w:val="28"/>
        </w:rPr>
        <w:t xml:space="preserve"> Банка России, годовой темп прироста ВВП в 2018 г. составит 1,5–2%. Сохранение инфляции ниже 4% (</w:t>
      </w:r>
      <w:proofErr w:type="gramStart"/>
      <w:r w:rsidRPr="00402BB9">
        <w:rPr>
          <w:rFonts w:ascii="Times New Roman" w:eastAsia="Calibri" w:hAnsi="Times New Roman" w:cs="Times New Roman"/>
          <w:sz w:val="28"/>
          <w:szCs w:val="28"/>
        </w:rPr>
        <w:t>в  интервале</w:t>
      </w:r>
      <w:proofErr w:type="gramEnd"/>
      <w:r w:rsidRPr="00402BB9">
        <w:rPr>
          <w:rFonts w:ascii="Times New Roman" w:eastAsia="Calibri" w:hAnsi="Times New Roman" w:cs="Times New Roman"/>
          <w:sz w:val="28"/>
          <w:szCs w:val="28"/>
        </w:rPr>
        <w:t xml:space="preserve"> 2,2–2,4%) в первой половине года было преимущественно связано с влиянием на  динамику цен факторов со  стороны предложения продовольствия. Высокий урожай предыдущих лет, наращивание производства тепличной продукции, устойчивое развитие молочного </w:t>
      </w:r>
      <w:proofErr w:type="gramStart"/>
      <w:r w:rsidRPr="00402BB9">
        <w:rPr>
          <w:rFonts w:ascii="Times New Roman" w:eastAsia="Calibri" w:hAnsi="Times New Roman" w:cs="Times New Roman"/>
          <w:sz w:val="28"/>
          <w:szCs w:val="28"/>
        </w:rPr>
        <w:t>и  мясного</w:t>
      </w:r>
      <w:proofErr w:type="gramEnd"/>
      <w:r w:rsidRPr="00402BB9">
        <w:rPr>
          <w:rFonts w:ascii="Times New Roman" w:eastAsia="Calibri" w:hAnsi="Times New Roman" w:cs="Times New Roman"/>
          <w:sz w:val="28"/>
          <w:szCs w:val="28"/>
        </w:rPr>
        <w:t xml:space="preserve"> животноводства обеспечивали высокое предложение отечественной сельскохозяйственной продукции на  внутреннем рынке. Это сдерживало рост продовольственных </w:t>
      </w:r>
      <w:r w:rsidRPr="00402BB9">
        <w:rPr>
          <w:rFonts w:ascii="Times New Roman" w:eastAsia="Calibri" w:hAnsi="Times New Roman" w:cs="Times New Roman"/>
          <w:sz w:val="28"/>
          <w:szCs w:val="28"/>
        </w:rPr>
        <w:lastRenderedPageBreak/>
        <w:t xml:space="preserve">цен. Кроме того, конъюнктура мировых рынков продовольственных товаров </w:t>
      </w:r>
      <w:proofErr w:type="gramStart"/>
      <w:r w:rsidRPr="00402BB9">
        <w:rPr>
          <w:rFonts w:ascii="Times New Roman" w:eastAsia="Calibri" w:hAnsi="Times New Roman" w:cs="Times New Roman"/>
          <w:sz w:val="28"/>
          <w:szCs w:val="28"/>
        </w:rPr>
        <w:t>в  целом</w:t>
      </w:r>
      <w:proofErr w:type="gramEnd"/>
      <w:r w:rsidRPr="00402BB9">
        <w:rPr>
          <w:rFonts w:ascii="Times New Roman" w:eastAsia="Calibri" w:hAnsi="Times New Roman" w:cs="Times New Roman"/>
          <w:sz w:val="28"/>
          <w:szCs w:val="28"/>
        </w:rPr>
        <w:t xml:space="preserve"> оставалась благоприятной</w:t>
      </w:r>
      <w:r>
        <w:rPr>
          <w:rFonts w:ascii="Times New Roman" w:eastAsia="Calibri" w:hAnsi="Times New Roman" w:cs="Times New Roman"/>
          <w:sz w:val="28"/>
          <w:szCs w:val="28"/>
        </w:rPr>
        <w:t xml:space="preserve">. </w:t>
      </w:r>
      <w:proofErr w:type="gramStart"/>
      <w:r w:rsidRPr="00402BB9">
        <w:rPr>
          <w:rFonts w:ascii="Times New Roman" w:eastAsia="Calibri" w:hAnsi="Times New Roman" w:cs="Times New Roman"/>
          <w:sz w:val="28"/>
          <w:szCs w:val="28"/>
        </w:rPr>
        <w:t>В  этих</w:t>
      </w:r>
      <w:proofErr w:type="gramEnd"/>
      <w:r w:rsidRPr="00402BB9">
        <w:rPr>
          <w:rFonts w:ascii="Times New Roman" w:eastAsia="Calibri" w:hAnsi="Times New Roman" w:cs="Times New Roman"/>
          <w:sz w:val="28"/>
          <w:szCs w:val="28"/>
        </w:rPr>
        <w:t xml:space="preserve"> условиях в январе-мае годовые темпы прироста продовольственных цен не превышали 1,3%, а в июне цены на продовольствие снизились на 0,2%. Влияние высокого предложения сельскохозяйственной продукции особенно заметно проявлялось </w:t>
      </w:r>
      <w:proofErr w:type="gramStart"/>
      <w:r w:rsidRPr="00402BB9">
        <w:rPr>
          <w:rFonts w:ascii="Times New Roman" w:eastAsia="Calibri" w:hAnsi="Times New Roman" w:cs="Times New Roman"/>
          <w:sz w:val="28"/>
          <w:szCs w:val="28"/>
        </w:rPr>
        <w:t>в  отдельных</w:t>
      </w:r>
      <w:proofErr w:type="gramEnd"/>
      <w:r w:rsidRPr="00402BB9">
        <w:rPr>
          <w:rFonts w:ascii="Times New Roman" w:eastAsia="Calibri" w:hAnsi="Times New Roman" w:cs="Times New Roman"/>
          <w:sz w:val="28"/>
          <w:szCs w:val="28"/>
        </w:rPr>
        <w:t xml:space="preserve"> регионах России с  более низким уровнем дохода. Уровень дохода влияет на структуру потребительской корзины: </w:t>
      </w:r>
      <w:proofErr w:type="gramStart"/>
      <w:r w:rsidRPr="00402BB9">
        <w:rPr>
          <w:rFonts w:ascii="Times New Roman" w:eastAsia="Calibri" w:hAnsi="Times New Roman" w:cs="Times New Roman"/>
          <w:sz w:val="28"/>
          <w:szCs w:val="28"/>
        </w:rPr>
        <w:t>в  регионах</w:t>
      </w:r>
      <w:proofErr w:type="gramEnd"/>
      <w:r w:rsidRPr="00402BB9">
        <w:rPr>
          <w:rFonts w:ascii="Times New Roman" w:eastAsia="Calibri" w:hAnsi="Times New Roman" w:cs="Times New Roman"/>
          <w:sz w:val="28"/>
          <w:szCs w:val="28"/>
        </w:rPr>
        <w:t xml:space="preserve"> с  более низким уровнем дохода в  среднем выше доля продовольственных товаров в потреблении. В результате годовые темпы роста потребительских цен в этих регионах были ниже общероссийского уровня – в среднем около 1,3% с начала года (Республика Дагестан, Кабардино-Балкарская Республика, Республика Мордовия, г. Севастополь, Республика Крым). Анализируя динамику цен на продовольствие и их влияние на инфляцию в целом, Банк России оценивал характер действия факторов, которые привели </w:t>
      </w:r>
      <w:proofErr w:type="gramStart"/>
      <w:r w:rsidRPr="00402BB9">
        <w:rPr>
          <w:rFonts w:ascii="Times New Roman" w:eastAsia="Calibri" w:hAnsi="Times New Roman" w:cs="Times New Roman"/>
          <w:sz w:val="28"/>
          <w:szCs w:val="28"/>
        </w:rPr>
        <w:t>к  сохранению</w:t>
      </w:r>
      <w:proofErr w:type="gramEnd"/>
      <w:r w:rsidRPr="00402BB9">
        <w:rPr>
          <w:rFonts w:ascii="Times New Roman" w:eastAsia="Calibri" w:hAnsi="Times New Roman" w:cs="Times New Roman"/>
          <w:sz w:val="28"/>
          <w:szCs w:val="28"/>
        </w:rPr>
        <w:t xml:space="preserve"> инфляции заметно ниже 4% в первом полугодии 2018 года. С одной стороны, хороший урожай на фоне благоприятных погодных условий является кратковременным фактором. Ожидается, что </w:t>
      </w:r>
      <w:proofErr w:type="gramStart"/>
      <w:r w:rsidRPr="00402BB9">
        <w:rPr>
          <w:rFonts w:ascii="Times New Roman" w:eastAsia="Calibri" w:hAnsi="Times New Roman" w:cs="Times New Roman"/>
          <w:sz w:val="28"/>
          <w:szCs w:val="28"/>
        </w:rPr>
        <w:t>в  текущем</w:t>
      </w:r>
      <w:proofErr w:type="gramEnd"/>
      <w:r w:rsidRPr="00402BB9">
        <w:rPr>
          <w:rFonts w:ascii="Times New Roman" w:eastAsia="Calibri" w:hAnsi="Times New Roman" w:cs="Times New Roman"/>
          <w:sz w:val="28"/>
          <w:szCs w:val="28"/>
        </w:rPr>
        <w:t xml:space="preserve"> году с учетом данных о ходе уборочной кампании урожай зерновых будет достаточно высоким, но  ниже рекордных значений предыдущих двух лет. Это приведет </w:t>
      </w:r>
      <w:proofErr w:type="gramStart"/>
      <w:r w:rsidRPr="00402BB9">
        <w:rPr>
          <w:rFonts w:ascii="Times New Roman" w:eastAsia="Calibri" w:hAnsi="Times New Roman" w:cs="Times New Roman"/>
          <w:sz w:val="28"/>
          <w:szCs w:val="28"/>
        </w:rPr>
        <w:t>к  постепенному</w:t>
      </w:r>
      <w:proofErr w:type="gramEnd"/>
      <w:r w:rsidRPr="00402BB9">
        <w:rPr>
          <w:rFonts w:ascii="Times New Roman" w:eastAsia="Calibri" w:hAnsi="Times New Roman" w:cs="Times New Roman"/>
          <w:sz w:val="28"/>
          <w:szCs w:val="28"/>
        </w:rPr>
        <w:t xml:space="preserve"> повышению темпов роста цен на продукцию переработки зерна и в целом на продовольствие с нехарактерно низких значений. </w:t>
      </w:r>
      <w:proofErr w:type="gramStart"/>
      <w:r w:rsidRPr="00402BB9">
        <w:rPr>
          <w:rFonts w:ascii="Times New Roman" w:eastAsia="Calibri" w:hAnsi="Times New Roman" w:cs="Times New Roman"/>
          <w:sz w:val="28"/>
          <w:szCs w:val="28"/>
        </w:rPr>
        <w:t>С  другой</w:t>
      </w:r>
      <w:proofErr w:type="gramEnd"/>
      <w:r w:rsidRPr="00402BB9">
        <w:rPr>
          <w:rFonts w:ascii="Times New Roman" w:eastAsia="Calibri" w:hAnsi="Times New Roman" w:cs="Times New Roman"/>
          <w:sz w:val="28"/>
          <w:szCs w:val="28"/>
        </w:rPr>
        <w:t xml:space="preserve"> стороны, многолетние инвестиции способствовали росту производственного потенциала агропромышленного комплекса. </w:t>
      </w:r>
      <w:r>
        <w:rPr>
          <w:rFonts w:ascii="Times New Roman" w:eastAsia="Calibri" w:hAnsi="Times New Roman" w:cs="Times New Roman"/>
          <w:sz w:val="28"/>
          <w:szCs w:val="28"/>
        </w:rPr>
        <w:t xml:space="preserve">Так, </w:t>
      </w:r>
      <w:r w:rsidRPr="00402BB9">
        <w:rPr>
          <w:rFonts w:ascii="Times New Roman" w:eastAsia="Calibri" w:hAnsi="Times New Roman" w:cs="Times New Roman"/>
          <w:sz w:val="28"/>
          <w:szCs w:val="28"/>
        </w:rPr>
        <w:t>в первой половине 2018 </w:t>
      </w:r>
      <w:r>
        <w:rPr>
          <w:rFonts w:ascii="Times New Roman" w:eastAsia="Calibri" w:hAnsi="Times New Roman" w:cs="Times New Roman"/>
          <w:sz w:val="28"/>
          <w:szCs w:val="28"/>
        </w:rPr>
        <w:t>г. влияние разовых факторов на </w:t>
      </w:r>
      <w:r w:rsidRPr="00402BB9">
        <w:rPr>
          <w:rFonts w:ascii="Times New Roman" w:eastAsia="Calibri" w:hAnsi="Times New Roman" w:cs="Times New Roman"/>
          <w:sz w:val="28"/>
          <w:szCs w:val="28"/>
        </w:rPr>
        <w:t xml:space="preserve">рынке продовольствия было более существенным, и отклонение инфляции вниз от цели 4% под их влиянием, соответственно, являлось временным. По мере прекращения их действия ожидалось повышение инфляции до 4%. </w:t>
      </w:r>
    </w:p>
    <w:p w:rsidR="001A01B3" w:rsidRDefault="001A01B3" w:rsidP="005A3871">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В начале года поддержанию ценовой стабильности также способствовало</w:t>
      </w:r>
      <w:r>
        <w:rPr>
          <w:rFonts w:ascii="Times New Roman" w:eastAsia="Calibri" w:hAnsi="Times New Roman" w:cs="Times New Roman"/>
          <w:sz w:val="28"/>
          <w:szCs w:val="28"/>
        </w:rPr>
        <w:t xml:space="preserve"> снижение инфляционных ожиданий, динамику инфляции за </w:t>
      </w:r>
      <w:r>
        <w:rPr>
          <w:rFonts w:ascii="Times New Roman" w:eastAsia="Calibri" w:hAnsi="Times New Roman" w:cs="Times New Roman"/>
          <w:sz w:val="28"/>
          <w:szCs w:val="28"/>
        </w:rPr>
        <w:lastRenderedPageBreak/>
        <w:t>последние годы представим на рис</w:t>
      </w:r>
      <w:r w:rsidR="00DE6052">
        <w:rPr>
          <w:rFonts w:ascii="Times New Roman" w:eastAsia="Calibri" w:hAnsi="Times New Roman" w:cs="Times New Roman"/>
          <w:sz w:val="28"/>
          <w:szCs w:val="28"/>
        </w:rPr>
        <w:t>унке 5.</w:t>
      </w:r>
      <w:r w:rsidR="002847D8" w:rsidRPr="004B37F0">
        <w:rPr>
          <w:rFonts w:ascii="Calibri" w:eastAsia="Calibri" w:hAnsi="Calibri" w:cs="Calibri"/>
          <w:noProof/>
          <w:color w:val="181717"/>
          <w:lang w:eastAsia="ru-RU"/>
        </w:rPr>
        <w:drawing>
          <wp:inline distT="0" distB="0" distL="0" distR="0" wp14:anchorId="455D8E5F" wp14:editId="312BAE9A">
            <wp:extent cx="5667375" cy="3057525"/>
            <wp:effectExtent l="0" t="0" r="9525" b="9525"/>
            <wp:docPr id="4" name="Picture 310494"/>
            <wp:cNvGraphicFramePr/>
            <a:graphic xmlns:a="http://schemas.openxmlformats.org/drawingml/2006/main">
              <a:graphicData uri="http://schemas.openxmlformats.org/drawingml/2006/picture">
                <pic:pic xmlns:pic="http://schemas.openxmlformats.org/drawingml/2006/picture">
                  <pic:nvPicPr>
                    <pic:cNvPr id="310494" name="Picture 310494"/>
                    <pic:cNvPicPr/>
                  </pic:nvPicPr>
                  <pic:blipFill>
                    <a:blip r:embed="rId11"/>
                    <a:stretch>
                      <a:fillRect/>
                    </a:stretch>
                  </pic:blipFill>
                  <pic:spPr>
                    <a:xfrm>
                      <a:off x="0" y="0"/>
                      <a:ext cx="5667835" cy="3057773"/>
                    </a:xfrm>
                    <a:prstGeom prst="rect">
                      <a:avLst/>
                    </a:prstGeom>
                  </pic:spPr>
                </pic:pic>
              </a:graphicData>
            </a:graphic>
          </wp:inline>
        </w:drawing>
      </w:r>
    </w:p>
    <w:p w:rsidR="001A01B3" w:rsidRDefault="001A01B3" w:rsidP="00D75F67">
      <w:pPr>
        <w:tabs>
          <w:tab w:val="right" w:leader="dot" w:pos="9639"/>
        </w:tabs>
        <w:spacing w:after="0" w:line="360" w:lineRule="auto"/>
        <w:ind w:firstLine="851"/>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proofErr w:type="gramStart"/>
      <w:r>
        <w:rPr>
          <w:rFonts w:ascii="Times New Roman" w:eastAsia="Calibri" w:hAnsi="Times New Roman" w:cs="Times New Roman"/>
          <w:sz w:val="28"/>
          <w:szCs w:val="28"/>
        </w:rPr>
        <w:t>5</w:t>
      </w:r>
      <w:r w:rsidR="00D75F67">
        <w:rPr>
          <w:rFonts w:ascii="Times New Roman" w:eastAsia="Calibri" w:hAnsi="Times New Roman" w:cs="Times New Roman"/>
          <w:sz w:val="28"/>
          <w:szCs w:val="28"/>
        </w:rPr>
        <w:t xml:space="preserve"> </w:t>
      </w:r>
      <w:r w:rsidR="00D75F67">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Динамика</w:t>
      </w:r>
      <w:proofErr w:type="gramEnd"/>
      <w:r>
        <w:rPr>
          <w:rFonts w:ascii="Times New Roman" w:eastAsia="Calibri" w:hAnsi="Times New Roman" w:cs="Times New Roman"/>
          <w:sz w:val="28"/>
          <w:szCs w:val="28"/>
        </w:rPr>
        <w:t xml:space="preserve"> инфляции</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Вместе с тем сохранялась их чувствительность к действию краткосрочных </w:t>
      </w:r>
      <w:proofErr w:type="spellStart"/>
      <w:r w:rsidRPr="00402BB9">
        <w:rPr>
          <w:rFonts w:ascii="Times New Roman" w:eastAsia="Calibri" w:hAnsi="Times New Roman" w:cs="Times New Roman"/>
          <w:sz w:val="28"/>
          <w:szCs w:val="28"/>
        </w:rPr>
        <w:t>проинфляционных</w:t>
      </w:r>
      <w:proofErr w:type="spellEnd"/>
      <w:r w:rsidRPr="00402BB9">
        <w:rPr>
          <w:rFonts w:ascii="Times New Roman" w:eastAsia="Calibri" w:hAnsi="Times New Roman" w:cs="Times New Roman"/>
          <w:sz w:val="28"/>
          <w:szCs w:val="28"/>
        </w:rPr>
        <w:t xml:space="preserve"> факторов. Так, хотя инфляционные ожидания населения умеренно отреагировали </w:t>
      </w:r>
      <w:proofErr w:type="gramStart"/>
      <w:r w:rsidRPr="00402BB9">
        <w:rPr>
          <w:rFonts w:ascii="Times New Roman" w:eastAsia="Calibri" w:hAnsi="Times New Roman" w:cs="Times New Roman"/>
          <w:sz w:val="28"/>
          <w:szCs w:val="28"/>
        </w:rPr>
        <w:t>на  рост</w:t>
      </w:r>
      <w:proofErr w:type="gramEnd"/>
      <w:r w:rsidRPr="00402BB9">
        <w:rPr>
          <w:rFonts w:ascii="Times New Roman" w:eastAsia="Calibri" w:hAnsi="Times New Roman" w:cs="Times New Roman"/>
          <w:sz w:val="28"/>
          <w:szCs w:val="28"/>
        </w:rPr>
        <w:t xml:space="preserve"> волатильности курса рубля в апреле, ускорение роста цен на бензин в мае привело</w:t>
      </w:r>
      <w:r w:rsidRPr="00402BB9">
        <w:t xml:space="preserve"> </w:t>
      </w:r>
      <w:r w:rsidRPr="00402BB9">
        <w:rPr>
          <w:rFonts w:ascii="Times New Roman" w:eastAsia="Calibri" w:hAnsi="Times New Roman" w:cs="Times New Roman"/>
          <w:sz w:val="28"/>
          <w:szCs w:val="28"/>
        </w:rPr>
        <w:t>к их более значимому росту. В ответ на оба события предприятия скорректировали ценовые ожидания вверх. Второй эпизод ослабления рубля в августе также может отразиться на инфляционных ожиданиях. Наряду с курсовой динамикой, влияние на инфляционные ожидания может оказать увеличение цен из-за объявленного повышения НДС в начале 2019 года.</w:t>
      </w:r>
      <w:r>
        <w:rPr>
          <w:rFonts w:ascii="Times New Roman" w:eastAsia="Calibri" w:hAnsi="Times New Roman" w:cs="Times New Roman"/>
          <w:sz w:val="28"/>
          <w:szCs w:val="28"/>
        </w:rPr>
        <w:t xml:space="preserve"> </w:t>
      </w:r>
      <w:r w:rsidRPr="00402BB9">
        <w:rPr>
          <w:rFonts w:ascii="Times New Roman" w:eastAsia="Calibri" w:hAnsi="Times New Roman" w:cs="Times New Roman"/>
          <w:sz w:val="28"/>
          <w:szCs w:val="28"/>
        </w:rPr>
        <w:t xml:space="preserve">В наибольшей степени эффект от данной меры проявится в динамике цен в следующем году. Однако возможна некоторая опережающая подстройка цен в текущем году. Ускорение инфляции вследствие повышения НДС и ослабления рубля может привести к устойчивому повышению инфляционных ожиданий, что может способствовать закреплению инфляции на повышенном уровне. Прогнозируемое ускорение инфляции вследствие ослабления рубля и повышения НДС в 2019 г., а также их возможное влияние на инфляционные </w:t>
      </w:r>
      <w:r w:rsidRPr="00402BB9">
        <w:rPr>
          <w:rFonts w:ascii="Times New Roman" w:eastAsia="Calibri" w:hAnsi="Times New Roman" w:cs="Times New Roman"/>
          <w:sz w:val="28"/>
          <w:szCs w:val="28"/>
        </w:rPr>
        <w:lastRenderedPageBreak/>
        <w:t xml:space="preserve">ожидания стали факторами сохранения ключевой ставки на уровне 7,25% годовых в апреле-августе и ее повышения в сентябре до 7,50% годовых. </w:t>
      </w:r>
    </w:p>
    <w:p w:rsidR="00D75F67" w:rsidRDefault="001A01B3"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402BB9">
        <w:rPr>
          <w:rFonts w:ascii="Times New Roman" w:eastAsia="Calibri" w:hAnsi="Times New Roman" w:cs="Times New Roman"/>
          <w:sz w:val="28"/>
          <w:szCs w:val="28"/>
        </w:rPr>
        <w:t xml:space="preserve">По оценкам Банка России, в результате повышения НДС и произошедшего с начала года ослабления рубля годовой рост потребительских цен ускорится до 3,8–4,2% в конце 2018 года. В 2019 г. инфляция составит 5–5,5% </w:t>
      </w:r>
      <w:proofErr w:type="gramStart"/>
      <w:r w:rsidRPr="00402BB9">
        <w:rPr>
          <w:rFonts w:ascii="Times New Roman" w:eastAsia="Calibri" w:hAnsi="Times New Roman" w:cs="Times New Roman"/>
          <w:sz w:val="28"/>
          <w:szCs w:val="28"/>
        </w:rPr>
        <w:t>и  вернется</w:t>
      </w:r>
      <w:proofErr w:type="gramEnd"/>
      <w:r w:rsidRPr="00402BB9">
        <w:rPr>
          <w:rFonts w:ascii="Times New Roman" w:eastAsia="Calibri" w:hAnsi="Times New Roman" w:cs="Times New Roman"/>
          <w:sz w:val="28"/>
          <w:szCs w:val="28"/>
        </w:rPr>
        <w:t xml:space="preserve"> к  4% в первой половине 2020 года. Банк России будет оценивать целесообразность дальнейшего повышения ключевой ставки, принимая во внимание динамику экономики</w:t>
      </w:r>
      <w:r>
        <w:rPr>
          <w:rFonts w:ascii="Times New Roman" w:eastAsia="Calibri" w:hAnsi="Times New Roman" w:cs="Times New Roman"/>
          <w:sz w:val="28"/>
          <w:szCs w:val="28"/>
        </w:rPr>
        <w:t xml:space="preserve"> и инфляции </w:t>
      </w:r>
      <w:r w:rsidRPr="00402BB9">
        <w:rPr>
          <w:rFonts w:ascii="Times New Roman" w:eastAsia="Calibri" w:hAnsi="Times New Roman" w:cs="Times New Roman"/>
          <w:sz w:val="28"/>
          <w:szCs w:val="28"/>
        </w:rPr>
        <w:t>относительно прогноза, риски со стороны внешних условий и реакции на ни</w:t>
      </w:r>
      <w:r>
        <w:rPr>
          <w:rFonts w:ascii="Times New Roman" w:eastAsia="Calibri" w:hAnsi="Times New Roman" w:cs="Times New Roman"/>
          <w:sz w:val="28"/>
          <w:szCs w:val="28"/>
        </w:rPr>
        <w:t>х финансовых рынков.</w:t>
      </w: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402FB" w:rsidRDefault="00D402FB"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Pr="00E00CA6" w:rsidRDefault="007341DF" w:rsidP="007341DF">
      <w:pPr>
        <w:tabs>
          <w:tab w:val="right" w:leader="dot" w:pos="9639"/>
        </w:tabs>
        <w:spacing w:after="0" w:line="360" w:lineRule="auto"/>
        <w:ind w:left="851"/>
        <w:contextualSpacing/>
        <w:jc w:val="both"/>
      </w:pPr>
      <w:r>
        <w:rPr>
          <w:rFonts w:ascii="Times New Roman" w:eastAsia="Calibri" w:hAnsi="Times New Roman" w:cs="Times New Roman"/>
          <w:sz w:val="28"/>
          <w:szCs w:val="28"/>
        </w:rPr>
        <w:lastRenderedPageBreak/>
        <w:t>3</w:t>
      </w:r>
      <w:r w:rsidR="00D75F67">
        <w:rPr>
          <w:rFonts w:ascii="Times New Roman" w:eastAsia="Calibri" w:hAnsi="Times New Roman" w:cs="Times New Roman"/>
          <w:sz w:val="28"/>
          <w:szCs w:val="28"/>
        </w:rPr>
        <w:t xml:space="preserve"> </w:t>
      </w:r>
      <w:r w:rsidR="001A01B3" w:rsidRPr="006357FC">
        <w:rPr>
          <w:rFonts w:ascii="Times New Roman" w:eastAsia="Calibri" w:hAnsi="Times New Roman" w:cs="Times New Roman"/>
          <w:sz w:val="28"/>
          <w:szCs w:val="28"/>
        </w:rPr>
        <w:t>Планируемые направления денежно-кредитной политики на период до 2021 года</w:t>
      </w:r>
    </w:p>
    <w:p w:rsidR="001A01B3" w:rsidRPr="007A6208" w:rsidRDefault="001A01B3" w:rsidP="001A01B3">
      <w:pPr>
        <w:pStyle w:val="a5"/>
        <w:tabs>
          <w:tab w:val="right" w:leader="dot" w:pos="9639"/>
        </w:tabs>
        <w:spacing w:after="0" w:line="360" w:lineRule="auto"/>
        <w:ind w:left="630"/>
        <w:jc w:val="both"/>
        <w:rPr>
          <w:rFonts w:ascii="Times New Roman" w:eastAsia="Calibri" w:hAnsi="Times New Roman" w:cs="Times New Roman"/>
          <w:sz w:val="28"/>
          <w:szCs w:val="28"/>
        </w:rPr>
      </w:pPr>
    </w:p>
    <w:p w:rsidR="001A01B3" w:rsidRPr="00A53FB9"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На данное время, в условиях неустойчивости и изменчивости экономика, Центральный Банк предстает перед рядом проблем.</w:t>
      </w:r>
      <w:r w:rsidR="00B17E7C">
        <w:rPr>
          <w:rFonts w:ascii="Times New Roman" w:eastAsia="Calibri" w:hAnsi="Times New Roman" w:cs="Times New Roman"/>
          <w:sz w:val="28"/>
          <w:szCs w:val="28"/>
        </w:rPr>
        <w:t xml:space="preserve"> Наиболее важной из них</w:t>
      </w:r>
      <w:r w:rsidRPr="00A53FB9">
        <w:rPr>
          <w:rFonts w:ascii="Times New Roman" w:eastAsia="Calibri" w:hAnsi="Times New Roman" w:cs="Times New Roman"/>
          <w:sz w:val="28"/>
          <w:szCs w:val="28"/>
        </w:rPr>
        <w:t xml:space="preserve"> является анализ состояния экономического развития, что является основой для принятия мер Банка России, а также его деятельность (регулирование и надзор) усложняются в связи с влиянием внешнеэкономических процессов. В результате этого влияния цели принятия рациональных мер искажаются. Поэтому Банк страны обязан улавливать взаимосвязь элементов мировой экономики, так и национального хозяйства.</w:t>
      </w:r>
    </w:p>
    <w:p w:rsidR="001A01B3" w:rsidRPr="00A53FB9"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Разрешение проблем, наибо</w:t>
      </w:r>
      <w:r w:rsidR="00430D40">
        <w:rPr>
          <w:rFonts w:ascii="Times New Roman" w:eastAsia="Calibri" w:hAnsi="Times New Roman" w:cs="Times New Roman"/>
          <w:sz w:val="28"/>
          <w:szCs w:val="28"/>
        </w:rPr>
        <w:t>лее актуальных на данный момент</w:t>
      </w:r>
      <w:r w:rsidRPr="00A53FB9">
        <w:rPr>
          <w:rFonts w:ascii="Times New Roman" w:eastAsia="Calibri" w:hAnsi="Times New Roman" w:cs="Times New Roman"/>
          <w:sz w:val="28"/>
          <w:szCs w:val="28"/>
        </w:rPr>
        <w:t xml:space="preserve">, стоящих перед Центробанком затруднено </w:t>
      </w:r>
      <w:r w:rsidR="00776F02">
        <w:rPr>
          <w:rFonts w:ascii="Times New Roman" w:eastAsia="Calibri" w:hAnsi="Times New Roman" w:cs="Times New Roman"/>
          <w:sz w:val="28"/>
          <w:szCs w:val="28"/>
        </w:rPr>
        <w:t>отсутствием</w:t>
      </w:r>
      <w:r w:rsidRPr="00A53FB9">
        <w:rPr>
          <w:rFonts w:ascii="Times New Roman" w:eastAsia="Calibri" w:hAnsi="Times New Roman" w:cs="Times New Roman"/>
          <w:sz w:val="28"/>
          <w:szCs w:val="28"/>
        </w:rPr>
        <w:t xml:space="preserve"> определенной системы аккумуляции информации для оценки рисков при предоставлении кредита. То есть, банки не обладают информацией о кредитной истории заемщиков, что значительно сдерживает масштабы кредитования, что в свою очередь является причиной торможения секторов экономики.</w:t>
      </w:r>
    </w:p>
    <w:p w:rsidR="001A01B3" w:rsidRPr="00A53FB9"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Необходимо сформировать законодательное обеспечение потребительского кредитования, которое выступает в качестве источника кредитования быстро развивающегося реального сектора экономики.</w:t>
      </w:r>
    </w:p>
    <w:p w:rsidR="001A01B3" w:rsidRPr="00A53FB9" w:rsidRDefault="001A01B3" w:rsidP="00B17E7C">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Сегодня нужно повышать эффективность осуществления Банком страны денежно-кредитную политику, используя весь комплекс экономических инструментов. Для улучшения денежно-кредитной сферы экономики важно использовать совместные усилия Центробанка и государства. Одной из задач этой политики является создание на денежном рынке таких условий, при которых в экономике могла бы бесперебойно существовать масса денег и кредитов, нужная для развития, обеспечивающая страну необходимыми услугами, товарами, рабочими местами.</w:t>
      </w:r>
    </w:p>
    <w:p w:rsidR="001A01B3" w:rsidRPr="004277F2"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Чтобы создать хорошие услови</w:t>
      </w:r>
      <w:r w:rsidR="00776F02">
        <w:rPr>
          <w:rFonts w:ascii="Times New Roman" w:eastAsia="Calibri" w:hAnsi="Times New Roman" w:cs="Times New Roman"/>
          <w:sz w:val="28"/>
          <w:szCs w:val="28"/>
        </w:rPr>
        <w:t>я для развития денежного рынка в</w:t>
      </w:r>
      <w:r w:rsidRPr="00A53FB9">
        <w:rPr>
          <w:rFonts w:ascii="Times New Roman" w:eastAsia="Calibri" w:hAnsi="Times New Roman" w:cs="Times New Roman"/>
          <w:sz w:val="28"/>
          <w:szCs w:val="28"/>
        </w:rPr>
        <w:t xml:space="preserve"> РФ нужно осуществить некоторые процедуры. Важно развивать и улучшать </w:t>
      </w:r>
      <w:r w:rsidRPr="00A53FB9">
        <w:rPr>
          <w:rFonts w:ascii="Times New Roman" w:eastAsia="Calibri" w:hAnsi="Times New Roman" w:cs="Times New Roman"/>
          <w:sz w:val="28"/>
          <w:szCs w:val="28"/>
        </w:rPr>
        <w:lastRenderedPageBreak/>
        <w:t>законодательную базу денежно-кредитной политики, налоговую систему, электронное денежное обращение, формы безналичного обращения. Необходимым является снижении количества долларов в российском денежн</w:t>
      </w:r>
      <w:r w:rsidR="002847D8">
        <w:rPr>
          <w:rFonts w:ascii="Times New Roman" w:eastAsia="Calibri" w:hAnsi="Times New Roman" w:cs="Times New Roman"/>
          <w:sz w:val="28"/>
          <w:szCs w:val="28"/>
        </w:rPr>
        <w:t>ом обращении, уровня инфляции (</w:t>
      </w:r>
      <w:r w:rsidRPr="00A53FB9">
        <w:rPr>
          <w:rFonts w:ascii="Times New Roman" w:eastAsia="Calibri" w:hAnsi="Times New Roman" w:cs="Times New Roman"/>
          <w:sz w:val="28"/>
          <w:szCs w:val="28"/>
        </w:rPr>
        <w:t>проводя политику сдерживания цен) и усиление стимулов инвестиционной активности, контроля над законностью наличного и безналичного оборота.</w:t>
      </w:r>
      <w:r w:rsidR="004277F2">
        <w:rPr>
          <w:rFonts w:ascii="Times New Roman" w:eastAsia="Calibri" w:hAnsi="Times New Roman" w:cs="Times New Roman"/>
          <w:sz w:val="28"/>
          <w:szCs w:val="28"/>
        </w:rPr>
        <w:t xml:space="preserve"> </w:t>
      </w:r>
      <w:r w:rsidR="005A78C8" w:rsidRPr="004277F2">
        <w:rPr>
          <w:rFonts w:ascii="Times New Roman" w:eastAsia="Calibri" w:hAnsi="Times New Roman" w:cs="Times New Roman"/>
          <w:sz w:val="28"/>
          <w:szCs w:val="28"/>
        </w:rPr>
        <w:t>[18]</w:t>
      </w:r>
    </w:p>
    <w:p w:rsidR="001A01B3" w:rsidRDefault="001A01B3"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A53FB9">
        <w:rPr>
          <w:rFonts w:ascii="Times New Roman" w:eastAsia="Calibri" w:hAnsi="Times New Roman" w:cs="Times New Roman"/>
          <w:sz w:val="28"/>
          <w:szCs w:val="28"/>
        </w:rPr>
        <w:t>Чтобы увеличить эффективность, скорость обращения денежных средств (наличные и безналичные) важно развивать механизм предоставления гарантий, не только государственных, так как они не вполне удовлетворяют потребности коммерческих организаций. Данные меры могут привести к совершенствованию конъюнктуры рынка денежных средств России, что в свою очередь повлечет за собой укрепление национальной валюты и стабил</w:t>
      </w:r>
      <w:r w:rsidR="00D75F67">
        <w:rPr>
          <w:rFonts w:ascii="Times New Roman" w:eastAsia="Calibri" w:hAnsi="Times New Roman" w:cs="Times New Roman"/>
          <w:sz w:val="28"/>
          <w:szCs w:val="28"/>
        </w:rPr>
        <w:t xml:space="preserve">изации денежной системы в целом. </w:t>
      </w: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D75F67" w:rsidRPr="00312184" w:rsidRDefault="00D75F67" w:rsidP="00D75F67">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Default="001A01B3" w:rsidP="00D75F67">
      <w:pPr>
        <w:tabs>
          <w:tab w:val="right" w:leader="dot" w:pos="9639"/>
        </w:tabs>
        <w:spacing w:after="0" w:line="360" w:lineRule="auto"/>
        <w:ind w:firstLine="851"/>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ЗАКЛЮЧЕНИЕ</w:t>
      </w:r>
    </w:p>
    <w:p w:rsidR="0051021D" w:rsidRDefault="0051021D"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Денежно-кредитная политика – действия специализированных государственных учреждений на денежном и валютном рынке, направленные на контроль обменного курса, уровня инфляции, занятости, стабильности экономического роста. Как правило, за проведение денежно-кредитной политики о</w:t>
      </w:r>
      <w:r>
        <w:rPr>
          <w:rFonts w:ascii="Times New Roman" w:eastAsia="Calibri" w:hAnsi="Times New Roman" w:cs="Times New Roman"/>
          <w:sz w:val="28"/>
          <w:szCs w:val="28"/>
        </w:rPr>
        <w:t>твечают центральные банки.</w:t>
      </w: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 xml:space="preserve">В мировой практике в зависимости от стадии экономического цикла денежно-кредитная политика направлена на стимулирование или сдерживание процессов. Так, в случае нарастания кризисных явлений </w:t>
      </w:r>
      <w:r w:rsidR="00DE6052">
        <w:rPr>
          <w:rFonts w:ascii="Times New Roman" w:eastAsia="Calibri" w:hAnsi="Times New Roman" w:cs="Times New Roman"/>
          <w:sz w:val="28"/>
          <w:szCs w:val="28"/>
        </w:rPr>
        <w:t xml:space="preserve">ЦБ </w:t>
      </w:r>
      <w:r w:rsidRPr="00312184">
        <w:rPr>
          <w:rFonts w:ascii="Times New Roman" w:eastAsia="Calibri" w:hAnsi="Times New Roman" w:cs="Times New Roman"/>
          <w:sz w:val="28"/>
          <w:szCs w:val="28"/>
        </w:rPr>
        <w:t xml:space="preserve">снижают ставки рефинансирования и размеры обязательных резервов, увеличивают денежную массу, ослабляют национальную валюту для получения торговых преимуществ на международных рынках. </w:t>
      </w: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Наоборот, когда темп подъема экономики слишком велик, предпринимаются меры для снижения скорости экономического роста для того, чтобы избежать обвалов в будущем. Для этого денежно-кредитная политика становится более жесткой: прежде всего, предпринимаются меры для увеличения процентных ставок. Проводятся операции по стерилизации денежной массы, то есть выпускаются долговые ценные бумаги с целью удалить избыток свободных финансовых средств с рынка и пр. Кроме того, могут вводиться те или иные законодательные ограничения.</w:t>
      </w:r>
      <w:r w:rsidR="00DE6052">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 xml:space="preserve">Центральный банк регулирует экономику не прямо, а через денежно-кредитную систему. Воздействуя на кредитные институты, он создает определенные условия для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Поэтому национальные особенности кредитной системы определяют степень регулирующего воздействия центрального банка на экономику и влияют на условия функционирования центрального банка. Особенности национальной банковской системы в значительной степени воздействуют на выбор путей и </w:t>
      </w:r>
      <w:r w:rsidRPr="00312184">
        <w:rPr>
          <w:rFonts w:ascii="Times New Roman" w:eastAsia="Calibri" w:hAnsi="Times New Roman" w:cs="Times New Roman"/>
          <w:sz w:val="28"/>
          <w:szCs w:val="28"/>
        </w:rPr>
        <w:lastRenderedPageBreak/>
        <w:t>методов денежно-кредитного регулирования центральным банком, на предпочтение им тех или иных инструментов денежной политики. </w:t>
      </w:r>
    </w:p>
    <w:p w:rsidR="001A01B3" w:rsidRDefault="001A01B3" w:rsidP="00DE6052">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Осуществляя денежно-кредитную политик</w:t>
      </w:r>
      <w:r>
        <w:rPr>
          <w:rFonts w:ascii="Times New Roman" w:eastAsia="Calibri" w:hAnsi="Times New Roman" w:cs="Times New Roman"/>
          <w:sz w:val="28"/>
          <w:szCs w:val="28"/>
        </w:rPr>
        <w:t>у, Це</w:t>
      </w:r>
      <w:r w:rsidR="00204A5F">
        <w:rPr>
          <w:rFonts w:ascii="Times New Roman" w:eastAsia="Calibri" w:hAnsi="Times New Roman" w:cs="Times New Roman"/>
          <w:sz w:val="28"/>
          <w:szCs w:val="28"/>
        </w:rPr>
        <w:t xml:space="preserve">нтральный Банк, воздействует </w:t>
      </w:r>
      <w:proofErr w:type="gramStart"/>
      <w:r w:rsidR="00204A5F">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на кредитную деятельность коммерческих банко</w:t>
      </w:r>
      <w:r w:rsidR="00DE6052">
        <w:rPr>
          <w:rFonts w:ascii="Times New Roman" w:eastAsia="Calibri" w:hAnsi="Times New Roman" w:cs="Times New Roman"/>
          <w:sz w:val="28"/>
          <w:szCs w:val="28"/>
        </w:rPr>
        <w:t xml:space="preserve">в, </w:t>
      </w:r>
      <w:r w:rsidRPr="00312184">
        <w:rPr>
          <w:rFonts w:ascii="Times New Roman" w:eastAsia="Calibri" w:hAnsi="Times New Roman" w:cs="Times New Roman"/>
          <w:sz w:val="28"/>
          <w:szCs w:val="28"/>
        </w:rPr>
        <w:t>расширение или сокращение кредитования экономики, достигает стабильного</w:t>
      </w:r>
      <w:r w:rsidR="00DE6052">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развития внутренней экономики, укрепления денежного обращения, сбалансированности</w:t>
      </w:r>
      <w:r w:rsidR="00DE6052">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внутренних экономических процессов. Таким образом, воздействие на</w:t>
      </w:r>
      <w:r>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кредит позволяет достичь более глубоких стратегических задач развития всего хозяйства</w:t>
      </w:r>
      <w:r>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 xml:space="preserve">в целом. </w:t>
      </w:r>
    </w:p>
    <w:p w:rsidR="001A01B3" w:rsidRPr="00312184" w:rsidRDefault="001A01B3" w:rsidP="004978CA">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Ежегодно Банк России до внесения правительством в Государственную думу проекта бюджета на следующий год готовит документ, который называется «Проект основных направлений единой государственной денежно-кредитной политики». А окончательный вариант должен</w:t>
      </w:r>
      <w:r w:rsidR="00A90978">
        <w:rPr>
          <w:rFonts w:ascii="Times New Roman" w:eastAsia="Calibri" w:hAnsi="Times New Roman" w:cs="Times New Roman"/>
          <w:sz w:val="28"/>
          <w:szCs w:val="28"/>
        </w:rPr>
        <w:t xml:space="preserve"> быть подготовлен до 1 декабря.</w:t>
      </w:r>
      <w:r w:rsidR="004978CA" w:rsidRPr="004978CA">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В «Основных направлениях» должны быть отражены концептуальные принципы, лежащие в основе денежно-кредитной политики, краткая характеристика состояния экономики Российской Федерации. А также результаты прошедшего года, сценарный прогноз развития экономики России на предстоящий год с указанием цен на нефть и другие товары российского экспорта, целевые ориентиры, показатели инфляции, денежной базы, денежной массы, процентных ставок, изм</w:t>
      </w:r>
      <w:r>
        <w:rPr>
          <w:rFonts w:ascii="Times New Roman" w:eastAsia="Calibri" w:hAnsi="Times New Roman" w:cs="Times New Roman"/>
          <w:sz w:val="28"/>
          <w:szCs w:val="28"/>
        </w:rPr>
        <w:t>енения золотовалютных резервов.</w:t>
      </w:r>
    </w:p>
    <w:p w:rsidR="001A01B3"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Кроме того, документ должен содержать план мероприятий Банка России на предстоящий год по совершенствованию банковской системы Российской Федерации, банковского надзора, финансовых рынков и платежной системы.</w:t>
      </w: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С помощью денежно-кредитного регулирования государство</w:t>
      </w:r>
      <w:r>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стремится смягчить экономические кризисы, сдержать рост инфляции, в целях</w:t>
      </w:r>
    </w:p>
    <w:p w:rsidR="001A01B3" w:rsidRPr="007534BA" w:rsidRDefault="001A01B3" w:rsidP="001A01B3">
      <w:pPr>
        <w:tabs>
          <w:tab w:val="right" w:leader="dot" w:pos="9639"/>
        </w:tabs>
        <w:spacing w:after="0" w:line="360" w:lineRule="auto"/>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поддержания конъюнктуры государство использует кредит для стимулирования</w:t>
      </w:r>
      <w:r>
        <w:rPr>
          <w:rFonts w:ascii="Times New Roman" w:eastAsia="Calibri" w:hAnsi="Times New Roman" w:cs="Times New Roman"/>
          <w:sz w:val="28"/>
          <w:szCs w:val="28"/>
        </w:rPr>
        <w:t xml:space="preserve"> </w:t>
      </w:r>
      <w:r w:rsidRPr="00312184">
        <w:rPr>
          <w:rFonts w:ascii="Times New Roman" w:eastAsia="Calibri" w:hAnsi="Times New Roman" w:cs="Times New Roman"/>
          <w:sz w:val="28"/>
          <w:szCs w:val="28"/>
        </w:rPr>
        <w:t>капиталовложений в различные отрасли экономики страны.</w:t>
      </w:r>
      <w:r w:rsidR="007534BA">
        <w:rPr>
          <w:rFonts w:ascii="Times New Roman" w:eastAsia="Calibri" w:hAnsi="Times New Roman" w:cs="Times New Roman"/>
          <w:sz w:val="28"/>
          <w:szCs w:val="28"/>
        </w:rPr>
        <w:t xml:space="preserve"> </w:t>
      </w: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 xml:space="preserve">Кредитно-денежная система России еще мало развита, ее нельзя сравнить с кредитно-денежной системой любой промышленно развитой </w:t>
      </w:r>
      <w:r w:rsidRPr="00312184">
        <w:rPr>
          <w:rFonts w:ascii="Times New Roman" w:eastAsia="Calibri" w:hAnsi="Times New Roman" w:cs="Times New Roman"/>
          <w:sz w:val="28"/>
          <w:szCs w:val="28"/>
        </w:rPr>
        <w:lastRenderedPageBreak/>
        <w:t xml:space="preserve">страны. Но если в России в один день прекратится деятельность Банка России, а значит и всей банковской системы, это вызовет большие затруднения и дезорганизацию в работе и </w:t>
      </w:r>
      <w:r w:rsidR="00E00CA6">
        <w:rPr>
          <w:rFonts w:ascii="Times New Roman" w:eastAsia="Calibri" w:hAnsi="Times New Roman" w:cs="Times New Roman"/>
          <w:sz w:val="28"/>
          <w:szCs w:val="28"/>
        </w:rPr>
        <w:t xml:space="preserve">взаимодействии всех сфер </w:t>
      </w:r>
      <w:proofErr w:type="gramStart"/>
      <w:r w:rsidR="00E00CA6">
        <w:rPr>
          <w:rFonts w:ascii="Times New Roman" w:eastAsia="Calibri" w:hAnsi="Times New Roman" w:cs="Times New Roman"/>
          <w:sz w:val="28"/>
          <w:szCs w:val="28"/>
        </w:rPr>
        <w:t xml:space="preserve">жизни </w:t>
      </w:r>
      <w:r w:rsidR="00E00CA6">
        <w:rPr>
          <w:rFonts w:ascii="Times New Roman" w:eastAsia="Calibri" w:hAnsi="Times New Roman" w:cs="Times New Roman"/>
          <w:sz w:val="28"/>
          <w:szCs w:val="28"/>
        </w:rPr>
        <w:sym w:font="Symbol" w:char="F02D"/>
      </w:r>
      <w:r w:rsidRPr="00312184">
        <w:rPr>
          <w:rFonts w:ascii="Times New Roman" w:eastAsia="Calibri" w:hAnsi="Times New Roman" w:cs="Times New Roman"/>
          <w:sz w:val="28"/>
          <w:szCs w:val="28"/>
        </w:rPr>
        <w:t xml:space="preserve"> не</w:t>
      </w:r>
      <w:proofErr w:type="gramEnd"/>
      <w:r w:rsidRPr="00312184">
        <w:rPr>
          <w:rFonts w:ascii="Times New Roman" w:eastAsia="Calibri" w:hAnsi="Times New Roman" w:cs="Times New Roman"/>
          <w:sz w:val="28"/>
          <w:szCs w:val="28"/>
        </w:rPr>
        <w:t xml:space="preserve"> меньшие, чем если бы речь шла об остановке какой-либо отрасли промышленности. Предприятия не смогут осуществлять взаиморасчета, люди не п</w:t>
      </w:r>
      <w:r w:rsidR="00E00CA6">
        <w:rPr>
          <w:rFonts w:ascii="Times New Roman" w:eastAsia="Calibri" w:hAnsi="Times New Roman" w:cs="Times New Roman"/>
          <w:sz w:val="28"/>
          <w:szCs w:val="28"/>
        </w:rPr>
        <w:t xml:space="preserve">олучат зарплату, а </w:t>
      </w:r>
      <w:proofErr w:type="gramStart"/>
      <w:r w:rsidR="00E00CA6">
        <w:rPr>
          <w:rFonts w:ascii="Times New Roman" w:eastAsia="Calibri" w:hAnsi="Times New Roman" w:cs="Times New Roman"/>
          <w:sz w:val="28"/>
          <w:szCs w:val="28"/>
        </w:rPr>
        <w:t xml:space="preserve">государство </w:t>
      </w:r>
      <w:r w:rsidR="00E00CA6">
        <w:rPr>
          <w:rFonts w:ascii="Times New Roman" w:eastAsia="Calibri" w:hAnsi="Times New Roman" w:cs="Times New Roman"/>
          <w:sz w:val="28"/>
          <w:szCs w:val="28"/>
        </w:rPr>
        <w:sym w:font="Symbol" w:char="F02D"/>
      </w:r>
      <w:r w:rsidRPr="00312184">
        <w:rPr>
          <w:rFonts w:ascii="Times New Roman" w:eastAsia="Calibri" w:hAnsi="Times New Roman" w:cs="Times New Roman"/>
          <w:sz w:val="28"/>
          <w:szCs w:val="28"/>
        </w:rPr>
        <w:t xml:space="preserve"> налоги</w:t>
      </w:r>
      <w:proofErr w:type="gramEnd"/>
      <w:r w:rsidRPr="00312184">
        <w:rPr>
          <w:rFonts w:ascii="Times New Roman" w:eastAsia="Calibri" w:hAnsi="Times New Roman" w:cs="Times New Roman"/>
          <w:sz w:val="28"/>
          <w:szCs w:val="28"/>
        </w:rPr>
        <w:t>.</w:t>
      </w:r>
    </w:p>
    <w:p w:rsidR="001A01B3" w:rsidRPr="00312184" w:rsidRDefault="001A01B3" w:rsidP="001A01B3">
      <w:pPr>
        <w:tabs>
          <w:tab w:val="right" w:leader="dot" w:pos="9639"/>
        </w:tabs>
        <w:spacing w:after="0" w:line="360" w:lineRule="auto"/>
        <w:ind w:firstLine="851"/>
        <w:contextualSpacing/>
        <w:jc w:val="both"/>
        <w:rPr>
          <w:rFonts w:ascii="Times New Roman" w:eastAsia="Calibri" w:hAnsi="Times New Roman" w:cs="Times New Roman"/>
          <w:sz w:val="28"/>
          <w:szCs w:val="28"/>
        </w:rPr>
      </w:pPr>
      <w:r w:rsidRPr="00312184">
        <w:rPr>
          <w:rFonts w:ascii="Times New Roman" w:eastAsia="Calibri" w:hAnsi="Times New Roman" w:cs="Times New Roman"/>
          <w:sz w:val="28"/>
          <w:szCs w:val="28"/>
        </w:rPr>
        <w:t>Ядро конституционно-правового статуса Центрального банка Российской Федерации составляют его конституционные полномочия в области регулирования денежной системы Российской Федерации, защиты и обеспечения устойчивости рубля, включая полномочия по регулированию официальной денежной единиц</w:t>
      </w:r>
      <w:r w:rsidR="00530AC4">
        <w:rPr>
          <w:rFonts w:ascii="Times New Roman" w:eastAsia="Calibri" w:hAnsi="Times New Roman" w:cs="Times New Roman"/>
          <w:sz w:val="28"/>
          <w:szCs w:val="28"/>
        </w:rPr>
        <w:t xml:space="preserve">ы Российской Федерации (рубля), </w:t>
      </w:r>
      <w:r w:rsidRPr="00312184">
        <w:rPr>
          <w:rFonts w:ascii="Times New Roman" w:eastAsia="Calibri" w:hAnsi="Times New Roman" w:cs="Times New Roman"/>
          <w:sz w:val="28"/>
          <w:szCs w:val="28"/>
        </w:rPr>
        <w:t xml:space="preserve">видов денег, имеющих законную платежную силу на </w:t>
      </w:r>
      <w:r w:rsidR="00530AC4">
        <w:rPr>
          <w:rFonts w:ascii="Times New Roman" w:eastAsia="Calibri" w:hAnsi="Times New Roman" w:cs="Times New Roman"/>
          <w:sz w:val="28"/>
          <w:szCs w:val="28"/>
        </w:rPr>
        <w:t>территории Российской Федерации, эмиссии денежных знаков,</w:t>
      </w:r>
      <w:r w:rsidRPr="00312184">
        <w:rPr>
          <w:rFonts w:ascii="Times New Roman" w:eastAsia="Calibri" w:hAnsi="Times New Roman" w:cs="Times New Roman"/>
          <w:sz w:val="28"/>
          <w:szCs w:val="28"/>
        </w:rPr>
        <w:t xml:space="preserve"> организации и регулирования наличного и безналичного денежного обращения. На современном этапе требуется дальнейшее уточнение содержания полномочий Центрального банка Российской Федерации, в том числе посредством полномочий, усиливающих независимость от Правительства Российской Федерации (например, предоставления исключительного права эмиссии денежных знаков не только в наличной, но и в безналичной форме). </w:t>
      </w:r>
    </w:p>
    <w:p w:rsidR="00F72F26" w:rsidRPr="00430D40" w:rsidRDefault="001A01B3" w:rsidP="00430D40">
      <w:pPr>
        <w:tabs>
          <w:tab w:val="right" w:leader="dot" w:pos="9639"/>
        </w:tabs>
        <w:spacing w:after="0" w:line="360" w:lineRule="auto"/>
        <w:ind w:firstLine="851"/>
        <w:contextualSpacing/>
        <w:jc w:val="both"/>
        <w:rPr>
          <w:rFonts w:ascii="Times New Roman" w:eastAsia="Calibri" w:hAnsi="Times New Roman" w:cs="Times New Roman"/>
          <w:sz w:val="28"/>
          <w:szCs w:val="28"/>
        </w:rPr>
        <w:sectPr w:rsidR="00F72F26" w:rsidRPr="00430D40" w:rsidSect="004978CA">
          <w:footerReference w:type="default" r:id="rId12"/>
          <w:footerReference w:type="first" r:id="rId13"/>
          <w:pgSz w:w="11906" w:h="16838"/>
          <w:pgMar w:top="1134" w:right="850" w:bottom="1134" w:left="1701" w:header="708" w:footer="708" w:gutter="0"/>
          <w:pgNumType w:start="1"/>
          <w:cols w:space="708"/>
          <w:titlePg/>
          <w:docGrid w:linePitch="360"/>
        </w:sectPr>
      </w:pPr>
      <w:r w:rsidRPr="00312184">
        <w:rPr>
          <w:rFonts w:ascii="Times New Roman" w:eastAsia="Calibri" w:hAnsi="Times New Roman" w:cs="Times New Roman"/>
          <w:sz w:val="28"/>
          <w:szCs w:val="28"/>
        </w:rPr>
        <w:t xml:space="preserve">Денежно-кредитная политика страны является неотъемлемой составляющей общегосударственной политики и оказывает серьезное влияние на экономическое развитие. Установлено, что проблемы денежно-кредитной политики Банка России за последние десятилетия являются одними из актуальных с позиции экономического роста российской экономики. Сделан вывод о том, что в настоящее время в условиях сохраняющейся нестабильности на внешних рынках новые ориентиры денежно-кредитной политики России должны быть направлены на повышение доверия к российскому банковскому сектору и сохранение сложившихся условий конкуренции. </w:t>
      </w:r>
    </w:p>
    <w:p w:rsidR="00F72F26" w:rsidRDefault="00F72F26" w:rsidP="00D75F67">
      <w:pPr>
        <w:tabs>
          <w:tab w:val="right" w:leader="dot" w:pos="9639"/>
        </w:tabs>
        <w:spacing w:after="0" w:line="360" w:lineRule="auto"/>
        <w:ind w:firstLine="851"/>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СПИ</w:t>
      </w:r>
      <w:bookmarkStart w:id="10" w:name="_GoBack"/>
      <w:bookmarkEnd w:id="10"/>
      <w:r>
        <w:rPr>
          <w:rFonts w:ascii="Times New Roman" w:eastAsia="Calibri" w:hAnsi="Times New Roman" w:cs="Times New Roman"/>
          <w:sz w:val="28"/>
          <w:szCs w:val="28"/>
        </w:rPr>
        <w:t>СОК ИСПОЛЬЗОВАННОЙ ЛИТЕРАТУРЫ</w:t>
      </w:r>
    </w:p>
    <w:p w:rsidR="005372F3" w:rsidRDefault="005372F3" w:rsidP="005372F3">
      <w:pPr>
        <w:pStyle w:val="a5"/>
        <w:rPr>
          <w:rFonts w:ascii="Times New Roman" w:eastAsia="Calibri" w:hAnsi="Times New Roman" w:cs="Times New Roman"/>
          <w:sz w:val="28"/>
          <w:szCs w:val="28"/>
        </w:rPr>
      </w:pPr>
    </w:p>
    <w:p w:rsidR="000C4278" w:rsidRDefault="000C4278"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0C4278">
        <w:rPr>
          <w:rFonts w:ascii="Times New Roman" w:eastAsia="Calibri" w:hAnsi="Times New Roman" w:cs="Times New Roman"/>
          <w:sz w:val="28"/>
          <w:szCs w:val="28"/>
        </w:rPr>
        <w:t>К</w:t>
      </w:r>
      <w:r>
        <w:rPr>
          <w:rFonts w:ascii="Times New Roman" w:eastAsia="Calibri" w:hAnsi="Times New Roman" w:cs="Times New Roman"/>
          <w:sz w:val="28"/>
          <w:szCs w:val="28"/>
        </w:rPr>
        <w:t>онституция Российской Федерации</w:t>
      </w:r>
      <w:r w:rsidRPr="000C4278">
        <w:rPr>
          <w:rFonts w:ascii="Times New Roman" w:eastAsia="Calibri"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372F3" w:rsidRP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 xml:space="preserve">Гражданский кодекс Российской Федерации. Части первая и </w:t>
      </w:r>
      <w:proofErr w:type="gramStart"/>
      <w:r w:rsidRPr="005372F3">
        <w:rPr>
          <w:rFonts w:ascii="Times New Roman" w:eastAsia="Calibri" w:hAnsi="Times New Roman" w:cs="Times New Roman"/>
          <w:sz w:val="28"/>
          <w:szCs w:val="28"/>
        </w:rPr>
        <w:t>вторая.-</w:t>
      </w:r>
      <w:proofErr w:type="gramEnd"/>
      <w:r w:rsidRPr="005372F3">
        <w:rPr>
          <w:rFonts w:ascii="Times New Roman" w:eastAsia="Calibri" w:hAnsi="Times New Roman" w:cs="Times New Roman"/>
          <w:sz w:val="28"/>
          <w:szCs w:val="28"/>
        </w:rPr>
        <w:t xml:space="preserve"> М.: ИНФРА-М - НОРМА, 1996.</w:t>
      </w:r>
    </w:p>
    <w:p w:rsidR="005372F3" w:rsidRPr="005372F3" w:rsidRDefault="000C4278"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w:t>
      </w:r>
      <w:r w:rsidRPr="000C4278">
        <w:rPr>
          <w:rFonts w:ascii="Times New Roman" w:eastAsia="Calibri" w:hAnsi="Times New Roman" w:cs="Times New Roman"/>
          <w:sz w:val="28"/>
          <w:szCs w:val="28"/>
        </w:rPr>
        <w:t>едеральный закон "О Центральном банке Российской Федерации (Банке России)" от 10.07.2002 N 86-ФЗ (последняя редакция)</w:t>
      </w:r>
    </w:p>
    <w:p w:rsidR="005372F3" w:rsidRP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Закон РФ «О банках и банковской деятельности в РФ» от 02.12.1990 №395-1 (с изменениями)</w:t>
      </w:r>
    </w:p>
    <w:p w:rsidR="001F37C7" w:rsidRDefault="005372F3"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Авагян</w:t>
      </w:r>
      <w:proofErr w:type="spellEnd"/>
      <w:r w:rsidRPr="005372F3">
        <w:rPr>
          <w:rFonts w:ascii="Times New Roman" w:eastAsia="Calibri" w:hAnsi="Times New Roman" w:cs="Times New Roman"/>
          <w:sz w:val="28"/>
          <w:szCs w:val="28"/>
        </w:rPr>
        <w:t xml:space="preserve"> Г. Л. Деньги, кредит, ба</w:t>
      </w:r>
      <w:r>
        <w:rPr>
          <w:rFonts w:ascii="Times New Roman" w:eastAsia="Calibri" w:hAnsi="Times New Roman" w:cs="Times New Roman"/>
          <w:sz w:val="28"/>
          <w:szCs w:val="28"/>
        </w:rPr>
        <w:t xml:space="preserve">нки / Г.Л. </w:t>
      </w:r>
      <w:proofErr w:type="spellStart"/>
      <w:r>
        <w:rPr>
          <w:rFonts w:ascii="Times New Roman" w:eastAsia="Calibri" w:hAnsi="Times New Roman" w:cs="Times New Roman"/>
          <w:sz w:val="28"/>
          <w:szCs w:val="28"/>
        </w:rPr>
        <w:t>Авагян</w:t>
      </w:r>
      <w:proofErr w:type="spellEnd"/>
      <w:r>
        <w:rPr>
          <w:rFonts w:ascii="Times New Roman" w:eastAsia="Calibri" w:hAnsi="Times New Roman" w:cs="Times New Roman"/>
          <w:sz w:val="28"/>
          <w:szCs w:val="28"/>
        </w:rPr>
        <w:t xml:space="preserve">, Т.М. Ханина, Т.П. </w:t>
      </w:r>
      <w:r w:rsidRPr="005372F3">
        <w:rPr>
          <w:rFonts w:ascii="Times New Roman" w:eastAsia="Calibri" w:hAnsi="Times New Roman" w:cs="Times New Roman"/>
          <w:sz w:val="28"/>
          <w:szCs w:val="28"/>
        </w:rPr>
        <w:t>Носова. - М.: Инфра-М, Магистр, 2016. - 416 c.</w:t>
      </w:r>
    </w:p>
    <w:p w:rsidR="001F37C7" w:rsidRDefault="001F37C7"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1F37C7">
        <w:rPr>
          <w:rFonts w:ascii="Times New Roman" w:eastAsia="Calibri" w:hAnsi="Times New Roman" w:cs="Times New Roman"/>
          <w:sz w:val="28"/>
          <w:szCs w:val="28"/>
        </w:rPr>
        <w:t xml:space="preserve">Андрюшин С.А, </w:t>
      </w:r>
      <w:proofErr w:type="spellStart"/>
      <w:r w:rsidRPr="001F37C7">
        <w:rPr>
          <w:rFonts w:ascii="Times New Roman" w:eastAsia="Calibri" w:hAnsi="Times New Roman" w:cs="Times New Roman"/>
          <w:sz w:val="28"/>
          <w:szCs w:val="28"/>
        </w:rPr>
        <w:t>Бурлачков</w:t>
      </w:r>
      <w:proofErr w:type="spellEnd"/>
      <w:r w:rsidRPr="001F37C7">
        <w:rPr>
          <w:rFonts w:ascii="Times New Roman" w:eastAsia="Calibri" w:hAnsi="Times New Roman" w:cs="Times New Roman"/>
          <w:sz w:val="28"/>
          <w:szCs w:val="28"/>
        </w:rPr>
        <w:t xml:space="preserve"> </w:t>
      </w:r>
      <w:proofErr w:type="gramStart"/>
      <w:r w:rsidRPr="001F37C7">
        <w:rPr>
          <w:rFonts w:ascii="Times New Roman" w:eastAsia="Calibri" w:hAnsi="Times New Roman" w:cs="Times New Roman"/>
          <w:sz w:val="28"/>
          <w:szCs w:val="28"/>
        </w:rPr>
        <w:t>В.К. ,</w:t>
      </w:r>
      <w:proofErr w:type="gramEnd"/>
      <w:r w:rsidRPr="001F37C7">
        <w:rPr>
          <w:rFonts w:ascii="Times New Roman" w:eastAsia="Calibri" w:hAnsi="Times New Roman" w:cs="Times New Roman"/>
          <w:sz w:val="28"/>
          <w:szCs w:val="28"/>
        </w:rPr>
        <w:t xml:space="preserve">  Кузнецова В.В . Денежно-кредитная политика Банка России в 2016–2018 гг. — 2015. — №11. — С. 4-12.</w:t>
      </w:r>
    </w:p>
    <w:p w:rsidR="001F37C7" w:rsidRPr="001F37C7" w:rsidRDefault="001F37C7"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proofErr w:type="spellStart"/>
      <w:r w:rsidRPr="001F37C7">
        <w:rPr>
          <w:rFonts w:ascii="Times New Roman" w:eastAsia="Calibri" w:hAnsi="Times New Roman" w:cs="Times New Roman"/>
          <w:sz w:val="28"/>
          <w:szCs w:val="28"/>
        </w:rPr>
        <w:t>Бароновский</w:t>
      </w:r>
      <w:proofErr w:type="spellEnd"/>
      <w:r w:rsidRPr="001F37C7">
        <w:rPr>
          <w:rFonts w:ascii="Times New Roman" w:eastAsia="Calibri" w:hAnsi="Times New Roman" w:cs="Times New Roman"/>
          <w:sz w:val="28"/>
          <w:szCs w:val="28"/>
        </w:rPr>
        <w:t xml:space="preserve"> С.А. Методологический подход к оценке эффективности механизма формирования антикризисного федерального бюджета России // Финансовая аналитика: проблемы и решения. 2016. № 17. С. 42—53.</w:t>
      </w:r>
    </w:p>
    <w:p w:rsidR="00E94FD5"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 xml:space="preserve"> </w:t>
      </w:r>
      <w:r w:rsidR="00E94FD5" w:rsidRPr="00E94FD5">
        <w:rPr>
          <w:rFonts w:ascii="Times New Roman" w:eastAsia="Calibri" w:hAnsi="Times New Roman" w:cs="Times New Roman"/>
          <w:sz w:val="28"/>
          <w:szCs w:val="28"/>
        </w:rPr>
        <w:t xml:space="preserve">Белоглазова, Г.Н. Деньги, кредит, банки / Под редакцией - М.: </w:t>
      </w:r>
      <w:proofErr w:type="spellStart"/>
      <w:r w:rsidR="00E94FD5" w:rsidRPr="00E94FD5">
        <w:rPr>
          <w:rFonts w:ascii="Times New Roman" w:eastAsia="Calibri" w:hAnsi="Times New Roman" w:cs="Times New Roman"/>
          <w:sz w:val="28"/>
          <w:szCs w:val="28"/>
        </w:rPr>
        <w:t>Юрайт</w:t>
      </w:r>
      <w:proofErr w:type="spellEnd"/>
      <w:r w:rsidR="00E94FD5" w:rsidRPr="00E94FD5">
        <w:rPr>
          <w:rFonts w:ascii="Times New Roman" w:eastAsia="Calibri" w:hAnsi="Times New Roman" w:cs="Times New Roman"/>
          <w:sz w:val="28"/>
          <w:szCs w:val="28"/>
        </w:rPr>
        <w:t>, 2016. - 624 c.</w:t>
      </w:r>
    </w:p>
    <w:p w:rsidR="00E94FD5" w:rsidRDefault="00E94FD5"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E94FD5">
        <w:rPr>
          <w:rFonts w:ascii="Times New Roman" w:eastAsia="Calibri" w:hAnsi="Times New Roman" w:cs="Times New Roman"/>
          <w:sz w:val="28"/>
          <w:szCs w:val="28"/>
        </w:rPr>
        <w:t> </w:t>
      </w:r>
      <w:proofErr w:type="spellStart"/>
      <w:r w:rsidRPr="00E94FD5">
        <w:rPr>
          <w:rFonts w:ascii="Times New Roman" w:eastAsia="Calibri" w:hAnsi="Times New Roman" w:cs="Times New Roman"/>
          <w:sz w:val="28"/>
          <w:szCs w:val="28"/>
        </w:rPr>
        <w:t>Боровкова</w:t>
      </w:r>
      <w:proofErr w:type="spellEnd"/>
      <w:r w:rsidRPr="00E94FD5">
        <w:rPr>
          <w:rFonts w:ascii="Times New Roman" w:eastAsia="Calibri" w:hAnsi="Times New Roman" w:cs="Times New Roman"/>
          <w:sz w:val="28"/>
          <w:szCs w:val="28"/>
        </w:rPr>
        <w:t xml:space="preserve"> В.А. Банки и банковское дело. - М.: </w:t>
      </w:r>
      <w:proofErr w:type="spellStart"/>
      <w:r w:rsidRPr="00E94FD5">
        <w:rPr>
          <w:rFonts w:ascii="Times New Roman" w:eastAsia="Calibri" w:hAnsi="Times New Roman" w:cs="Times New Roman"/>
          <w:sz w:val="28"/>
          <w:szCs w:val="28"/>
        </w:rPr>
        <w:t>Юрайт</w:t>
      </w:r>
      <w:proofErr w:type="spellEnd"/>
      <w:r w:rsidRPr="00E94FD5">
        <w:rPr>
          <w:rFonts w:ascii="Times New Roman" w:eastAsia="Calibri" w:hAnsi="Times New Roman" w:cs="Times New Roman"/>
          <w:sz w:val="28"/>
          <w:szCs w:val="28"/>
        </w:rPr>
        <w:t>, 2016. - 623с.</w:t>
      </w:r>
    </w:p>
    <w:p w:rsid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Варламова, Т. П. Деньги, креди</w:t>
      </w:r>
      <w:r>
        <w:rPr>
          <w:rFonts w:ascii="Times New Roman" w:eastAsia="Calibri" w:hAnsi="Times New Roman" w:cs="Times New Roman"/>
          <w:sz w:val="28"/>
          <w:szCs w:val="28"/>
        </w:rPr>
        <w:t xml:space="preserve">т, банки / Т.П. Варламова, </w:t>
      </w:r>
      <w:proofErr w:type="spellStart"/>
      <w:r>
        <w:rPr>
          <w:rFonts w:ascii="Times New Roman" w:eastAsia="Calibri" w:hAnsi="Times New Roman" w:cs="Times New Roman"/>
          <w:sz w:val="28"/>
          <w:szCs w:val="28"/>
        </w:rPr>
        <w:t>Н.Б.</w:t>
      </w:r>
      <w:r w:rsidRPr="005372F3">
        <w:rPr>
          <w:rFonts w:ascii="Times New Roman" w:eastAsia="Calibri" w:hAnsi="Times New Roman" w:cs="Times New Roman"/>
          <w:sz w:val="28"/>
          <w:szCs w:val="28"/>
        </w:rPr>
        <w:t>Ермасова</w:t>
      </w:r>
      <w:proofErr w:type="spellEnd"/>
      <w:r w:rsidRPr="005372F3">
        <w:rPr>
          <w:rFonts w:ascii="Times New Roman" w:eastAsia="Calibri" w:hAnsi="Times New Roman" w:cs="Times New Roman"/>
          <w:sz w:val="28"/>
          <w:szCs w:val="28"/>
        </w:rPr>
        <w:t>, М.А. Варламова. - М.: РИОР, 2016. - 128 c.</w:t>
      </w:r>
    </w:p>
    <w:p w:rsidR="005372F3" w:rsidRPr="00E94FD5" w:rsidRDefault="00E94FD5"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E94FD5">
        <w:rPr>
          <w:rFonts w:ascii="Times New Roman" w:eastAsia="Calibri" w:hAnsi="Times New Roman" w:cs="Times New Roman"/>
          <w:sz w:val="28"/>
          <w:szCs w:val="28"/>
        </w:rPr>
        <w:t> </w:t>
      </w:r>
      <w:proofErr w:type="spellStart"/>
      <w:r w:rsidRPr="00E94FD5">
        <w:rPr>
          <w:rFonts w:ascii="Times New Roman" w:eastAsia="Calibri" w:hAnsi="Times New Roman" w:cs="Times New Roman"/>
          <w:sz w:val="28"/>
          <w:szCs w:val="28"/>
        </w:rPr>
        <w:t>Дворецкая</w:t>
      </w:r>
      <w:proofErr w:type="spellEnd"/>
      <w:r w:rsidRPr="00E94FD5">
        <w:rPr>
          <w:rFonts w:ascii="Times New Roman" w:eastAsia="Calibri" w:hAnsi="Times New Roman" w:cs="Times New Roman"/>
          <w:sz w:val="28"/>
          <w:szCs w:val="28"/>
        </w:rPr>
        <w:t xml:space="preserve">, А. Е. Деньги, кредит, банки. Учебник / А.Е. </w:t>
      </w:r>
      <w:proofErr w:type="spellStart"/>
      <w:r w:rsidRPr="00E94FD5">
        <w:rPr>
          <w:rFonts w:ascii="Times New Roman" w:eastAsia="Calibri" w:hAnsi="Times New Roman" w:cs="Times New Roman"/>
          <w:sz w:val="28"/>
          <w:szCs w:val="28"/>
        </w:rPr>
        <w:t>Дворецкая</w:t>
      </w:r>
      <w:proofErr w:type="spellEnd"/>
      <w:r w:rsidRPr="00E94FD5">
        <w:rPr>
          <w:rFonts w:ascii="Times New Roman" w:eastAsia="Calibri" w:hAnsi="Times New Roman" w:cs="Times New Roman"/>
          <w:sz w:val="28"/>
          <w:szCs w:val="28"/>
        </w:rPr>
        <w:t xml:space="preserve">. - М.: </w:t>
      </w:r>
      <w:proofErr w:type="spellStart"/>
      <w:r w:rsidRPr="00E94FD5">
        <w:rPr>
          <w:rFonts w:ascii="Times New Roman" w:eastAsia="Calibri" w:hAnsi="Times New Roman" w:cs="Times New Roman"/>
          <w:sz w:val="28"/>
          <w:szCs w:val="28"/>
        </w:rPr>
        <w:t>Юрайт</w:t>
      </w:r>
      <w:proofErr w:type="spellEnd"/>
      <w:r w:rsidRPr="00E94FD5">
        <w:rPr>
          <w:rFonts w:ascii="Times New Roman" w:eastAsia="Calibri" w:hAnsi="Times New Roman" w:cs="Times New Roman"/>
          <w:sz w:val="28"/>
          <w:szCs w:val="28"/>
        </w:rPr>
        <w:t>, 2016. - 482 c.</w:t>
      </w:r>
    </w:p>
    <w:p w:rsidR="00E94FD5" w:rsidRDefault="00E94FD5"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proofErr w:type="spellStart"/>
      <w:r w:rsidRPr="00E94FD5">
        <w:rPr>
          <w:rFonts w:ascii="Times New Roman" w:eastAsia="Calibri" w:hAnsi="Times New Roman" w:cs="Times New Roman"/>
          <w:sz w:val="28"/>
          <w:szCs w:val="28"/>
        </w:rPr>
        <w:t>Жарковская</w:t>
      </w:r>
      <w:proofErr w:type="spellEnd"/>
      <w:r w:rsidRPr="00E94FD5">
        <w:rPr>
          <w:rFonts w:ascii="Times New Roman" w:eastAsia="Calibri" w:hAnsi="Times New Roman" w:cs="Times New Roman"/>
          <w:sz w:val="28"/>
          <w:szCs w:val="28"/>
        </w:rPr>
        <w:t xml:space="preserve">, Е.П. Банковское дело: Учебник. 9-е изд., </w:t>
      </w:r>
      <w:proofErr w:type="spellStart"/>
      <w:r>
        <w:rPr>
          <w:rFonts w:ascii="Times New Roman" w:eastAsia="Calibri" w:hAnsi="Times New Roman" w:cs="Times New Roman"/>
          <w:sz w:val="28"/>
          <w:szCs w:val="28"/>
        </w:rPr>
        <w:t>исп</w:t>
      </w:r>
      <w:proofErr w:type="spellEnd"/>
      <w:r>
        <w:rPr>
          <w:rFonts w:ascii="Times New Roman" w:eastAsia="Calibri" w:hAnsi="Times New Roman" w:cs="Times New Roman"/>
          <w:sz w:val="28"/>
          <w:szCs w:val="28"/>
        </w:rPr>
        <w:t xml:space="preserve"> и </w:t>
      </w:r>
      <w:proofErr w:type="gramStart"/>
      <w:r>
        <w:rPr>
          <w:rFonts w:ascii="Times New Roman" w:eastAsia="Calibri" w:hAnsi="Times New Roman" w:cs="Times New Roman"/>
          <w:sz w:val="28"/>
          <w:szCs w:val="28"/>
        </w:rPr>
        <w:t>доп..</w:t>
      </w:r>
      <w:proofErr w:type="gramEnd"/>
      <w:r>
        <w:rPr>
          <w:rFonts w:ascii="Times New Roman" w:eastAsia="Calibri" w:hAnsi="Times New Roman" w:cs="Times New Roman"/>
          <w:sz w:val="28"/>
          <w:szCs w:val="28"/>
        </w:rPr>
        <w:t xml:space="preserve"> – Москва: Омега – Л,2016. </w:t>
      </w: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526 с.</w:t>
      </w:r>
    </w:p>
    <w:p w:rsidR="00E94FD5" w:rsidRPr="00E94FD5" w:rsidRDefault="00E94FD5"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E94FD5">
        <w:rPr>
          <w:rFonts w:ascii="Times New Roman" w:eastAsia="Calibri" w:hAnsi="Times New Roman" w:cs="Times New Roman"/>
          <w:sz w:val="28"/>
          <w:szCs w:val="28"/>
        </w:rPr>
        <w:lastRenderedPageBreak/>
        <w:t xml:space="preserve">Жуков Е.Ф. Банковское дело в 2 ч. Часть 1. Учебник для академического </w:t>
      </w:r>
      <w:proofErr w:type="spellStart"/>
      <w:r w:rsidRPr="00E94FD5">
        <w:rPr>
          <w:rFonts w:ascii="Times New Roman" w:eastAsia="Calibri" w:hAnsi="Times New Roman" w:cs="Times New Roman"/>
          <w:sz w:val="28"/>
          <w:szCs w:val="28"/>
        </w:rPr>
        <w:t>бакалавриата</w:t>
      </w:r>
      <w:proofErr w:type="spellEnd"/>
      <w:r w:rsidRPr="00E94FD5">
        <w:rPr>
          <w:rFonts w:ascii="Times New Roman" w:eastAsia="Calibri" w:hAnsi="Times New Roman" w:cs="Times New Roman"/>
          <w:sz w:val="28"/>
          <w:szCs w:val="28"/>
        </w:rPr>
        <w:t xml:space="preserve"> / Отв. - Е.Ф. Жуков, Отв. - Ю.А. Соколов. - Москва: </w:t>
      </w:r>
      <w:r w:rsidRPr="00E94FD5">
        <w:rPr>
          <w:rFonts w:ascii="Times New Roman" w:eastAsia="Calibri" w:hAnsi="Times New Roman" w:cs="Times New Roman"/>
          <w:bCs/>
          <w:sz w:val="28"/>
          <w:szCs w:val="28"/>
        </w:rPr>
        <w:t>Наука</w:t>
      </w:r>
      <w:r w:rsidRPr="00E94FD5">
        <w:rPr>
          <w:rFonts w:ascii="Times New Roman" w:eastAsia="Calibri" w:hAnsi="Times New Roman" w:cs="Times New Roman"/>
          <w:sz w:val="28"/>
          <w:szCs w:val="28"/>
        </w:rPr>
        <w:t>, 2016. - 312 c.</w:t>
      </w:r>
    </w:p>
    <w:p w:rsid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 xml:space="preserve">Иванов, В. В.   Деньги, кредит, </w:t>
      </w:r>
      <w:proofErr w:type="gramStart"/>
      <w:r w:rsidRPr="005372F3">
        <w:rPr>
          <w:rFonts w:ascii="Times New Roman" w:eastAsia="Calibri" w:hAnsi="Times New Roman" w:cs="Times New Roman"/>
          <w:sz w:val="28"/>
          <w:szCs w:val="28"/>
        </w:rPr>
        <w:t>банки :</w:t>
      </w:r>
      <w:proofErr w:type="gramEnd"/>
      <w:r w:rsidRPr="005372F3">
        <w:rPr>
          <w:rFonts w:ascii="Times New Roman" w:eastAsia="Calibri" w:hAnsi="Times New Roman" w:cs="Times New Roman"/>
          <w:sz w:val="28"/>
          <w:szCs w:val="28"/>
        </w:rPr>
        <w:t xml:space="preserve"> учебник и практикум для академического </w:t>
      </w:r>
      <w:proofErr w:type="spellStart"/>
      <w:r w:rsidRPr="005372F3">
        <w:rPr>
          <w:rFonts w:ascii="Times New Roman" w:eastAsia="Calibri" w:hAnsi="Times New Roman" w:cs="Times New Roman"/>
          <w:sz w:val="28"/>
          <w:szCs w:val="28"/>
        </w:rPr>
        <w:t>бакалавриата</w:t>
      </w:r>
      <w:proofErr w:type="spellEnd"/>
      <w:r w:rsidRPr="005372F3">
        <w:rPr>
          <w:rFonts w:ascii="Times New Roman" w:eastAsia="Calibri" w:hAnsi="Times New Roman" w:cs="Times New Roman"/>
          <w:sz w:val="28"/>
          <w:szCs w:val="28"/>
        </w:rPr>
        <w:t xml:space="preserve"> / В. В. Иванов, Б. И. Соколов ; под ред. В. В. Иванова, Б. И. Соколова. — </w:t>
      </w:r>
      <w:proofErr w:type="gramStart"/>
      <w:r w:rsidRPr="005372F3">
        <w:rPr>
          <w:rFonts w:ascii="Times New Roman" w:eastAsia="Calibri" w:hAnsi="Times New Roman" w:cs="Times New Roman"/>
          <w:sz w:val="28"/>
          <w:szCs w:val="28"/>
        </w:rPr>
        <w:t>М. :</w:t>
      </w:r>
      <w:proofErr w:type="gramEnd"/>
      <w:r w:rsidRPr="005372F3">
        <w:rPr>
          <w:rFonts w:ascii="Times New Roman" w:eastAsia="Calibri" w:hAnsi="Times New Roman" w:cs="Times New Roman"/>
          <w:sz w:val="28"/>
          <w:szCs w:val="28"/>
        </w:rPr>
        <w:t xml:space="preserve"> Издательство </w:t>
      </w:r>
      <w:proofErr w:type="spellStart"/>
      <w:r w:rsidRPr="005372F3">
        <w:rPr>
          <w:rFonts w:ascii="Times New Roman" w:eastAsia="Calibri" w:hAnsi="Times New Roman" w:cs="Times New Roman"/>
          <w:sz w:val="28"/>
          <w:szCs w:val="28"/>
        </w:rPr>
        <w:t>Юрайт</w:t>
      </w:r>
      <w:proofErr w:type="spellEnd"/>
      <w:r w:rsidRPr="005372F3">
        <w:rPr>
          <w:rFonts w:ascii="Times New Roman" w:eastAsia="Calibri" w:hAnsi="Times New Roman" w:cs="Times New Roman"/>
          <w:sz w:val="28"/>
          <w:szCs w:val="28"/>
        </w:rPr>
        <w:t xml:space="preserve">, 2018. — 371 с. </w:t>
      </w:r>
    </w:p>
    <w:p w:rsidR="00DD7FC2" w:rsidRDefault="00DD7FC2"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Коробова Г.Г. Банковское дело. </w:t>
      </w:r>
      <w:r w:rsidRPr="00DD7FC2">
        <w:rPr>
          <w:rFonts w:ascii="Times New Roman" w:eastAsia="Calibri" w:hAnsi="Times New Roman" w:cs="Times New Roman"/>
          <w:sz w:val="28"/>
          <w:szCs w:val="28"/>
        </w:rPr>
        <w:t xml:space="preserve">Учебник. — 2-е изд., </w:t>
      </w:r>
      <w:proofErr w:type="spellStart"/>
      <w:r w:rsidRPr="00DD7FC2">
        <w:rPr>
          <w:rFonts w:ascii="Times New Roman" w:eastAsia="Calibri" w:hAnsi="Times New Roman" w:cs="Times New Roman"/>
          <w:sz w:val="28"/>
          <w:szCs w:val="28"/>
        </w:rPr>
        <w:t>перераб</w:t>
      </w:r>
      <w:proofErr w:type="spellEnd"/>
      <w:r w:rsidRPr="00DD7FC2">
        <w:rPr>
          <w:rFonts w:ascii="Times New Roman" w:eastAsia="Calibri" w:hAnsi="Times New Roman" w:cs="Times New Roman"/>
          <w:sz w:val="28"/>
          <w:szCs w:val="28"/>
        </w:rPr>
        <w:t xml:space="preserve">. и доп. — М.: Магистр, Инфра-М, 2015. — 592 с. </w:t>
      </w:r>
    </w:p>
    <w:p w:rsidR="001F37C7" w:rsidRDefault="005372F3"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Корчагин</w:t>
      </w:r>
      <w:r w:rsidRPr="005372F3">
        <w:rPr>
          <w:rFonts w:ascii="Times New Roman" w:eastAsia="Calibri" w:hAnsi="Times New Roman" w:cs="Times New Roman"/>
          <w:sz w:val="28"/>
          <w:szCs w:val="28"/>
        </w:rPr>
        <w:t xml:space="preserve"> Ю.А. Деньги, кредит, банки / Ю.А. Корчагин. - М.: Ростов н/Д: Феникс, 2015. - 348 c.</w:t>
      </w:r>
    </w:p>
    <w:p w:rsidR="001F37C7" w:rsidRDefault="001F37C7"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1F37C7">
        <w:rPr>
          <w:rFonts w:ascii="Times New Roman" w:eastAsia="Calibri" w:hAnsi="Times New Roman" w:cs="Times New Roman"/>
          <w:sz w:val="28"/>
          <w:szCs w:val="28"/>
        </w:rPr>
        <w:t>Косов М.Е. Сравнительный анализ основных направлений денежно-кредитной и бюджетной политик// Финансы и кредит. — 2018. — №3 (771). — С. 591-612.</w:t>
      </w:r>
    </w:p>
    <w:p w:rsidR="001F37C7" w:rsidRPr="001F37C7" w:rsidRDefault="001F37C7" w:rsidP="001F37C7">
      <w:pPr>
        <w:numPr>
          <w:ilvl w:val="0"/>
          <w:numId w:val="4"/>
        </w:numPr>
        <w:spacing w:after="0" w:line="360" w:lineRule="auto"/>
        <w:ind w:left="0" w:firstLine="0"/>
        <w:contextualSpacing/>
        <w:jc w:val="both"/>
        <w:rPr>
          <w:rFonts w:ascii="Times New Roman" w:eastAsia="Calibri" w:hAnsi="Times New Roman" w:cs="Times New Roman"/>
          <w:sz w:val="28"/>
          <w:szCs w:val="28"/>
        </w:rPr>
      </w:pPr>
      <w:proofErr w:type="spellStart"/>
      <w:r w:rsidRPr="001F37C7">
        <w:rPr>
          <w:rFonts w:ascii="Times New Roman" w:eastAsia="Calibri" w:hAnsi="Times New Roman" w:cs="Times New Roman"/>
          <w:sz w:val="28"/>
          <w:szCs w:val="28"/>
        </w:rPr>
        <w:t>Кропин</w:t>
      </w:r>
      <w:proofErr w:type="spellEnd"/>
      <w:r w:rsidRPr="001F37C7">
        <w:rPr>
          <w:rFonts w:ascii="Times New Roman" w:eastAsia="Calibri" w:hAnsi="Times New Roman" w:cs="Times New Roman"/>
          <w:sz w:val="28"/>
          <w:szCs w:val="28"/>
        </w:rPr>
        <w:t xml:space="preserve"> Ю.А. Актуальные проблемы трансформации статуса и функций Банка России// Банковское дело. — 2017. — №1. — С. 18-23.</w:t>
      </w:r>
    </w:p>
    <w:p w:rsid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5372F3">
        <w:rPr>
          <w:rFonts w:ascii="Times New Roman" w:eastAsia="Calibri" w:hAnsi="Times New Roman" w:cs="Times New Roman"/>
          <w:sz w:val="28"/>
          <w:szCs w:val="28"/>
        </w:rPr>
        <w:t xml:space="preserve"> Кузнецова, Е. И. Деньги, кредит, банки / Е.И. Кузнецова. - М.: </w:t>
      </w:r>
      <w:proofErr w:type="spellStart"/>
      <w:r w:rsidRPr="005372F3">
        <w:rPr>
          <w:rFonts w:ascii="Times New Roman" w:eastAsia="Calibri" w:hAnsi="Times New Roman" w:cs="Times New Roman"/>
          <w:sz w:val="28"/>
          <w:szCs w:val="28"/>
        </w:rPr>
        <w:t>Юнити</w:t>
      </w:r>
      <w:proofErr w:type="spellEnd"/>
      <w:r w:rsidRPr="005372F3">
        <w:rPr>
          <w:rFonts w:ascii="Times New Roman" w:eastAsia="Calibri" w:hAnsi="Times New Roman" w:cs="Times New Roman"/>
          <w:sz w:val="28"/>
          <w:szCs w:val="28"/>
        </w:rPr>
        <w:t>-Дана, 2016. - 528 c.</w:t>
      </w:r>
    </w:p>
    <w:p w:rsidR="001F37C7" w:rsidRDefault="001F37C7"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sidRPr="001F37C7">
        <w:rPr>
          <w:rFonts w:ascii="Times New Roman" w:eastAsia="Calibri" w:hAnsi="Times New Roman" w:cs="Times New Roman"/>
          <w:sz w:val="28"/>
          <w:szCs w:val="28"/>
        </w:rPr>
        <w:t>Никонова Ю. С., Власенко Р. Д. Анализ структуры и динамики денежной массы России // Молодой ученый. — 2016. — №10. — С. 797-800</w:t>
      </w:r>
      <w:r>
        <w:rPr>
          <w:rFonts w:ascii="Times New Roman" w:eastAsia="Calibri" w:hAnsi="Times New Roman" w:cs="Times New Roman"/>
          <w:sz w:val="28"/>
          <w:szCs w:val="28"/>
        </w:rPr>
        <w:t>.</w:t>
      </w:r>
    </w:p>
    <w:p w:rsidR="00D21313" w:rsidRDefault="00D2131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Рождественская</w:t>
      </w:r>
      <w:r w:rsidRPr="00D21313">
        <w:rPr>
          <w:rFonts w:ascii="Times New Roman" w:eastAsia="Calibri" w:hAnsi="Times New Roman" w:cs="Times New Roman"/>
          <w:i/>
          <w:iCs/>
          <w:sz w:val="28"/>
          <w:szCs w:val="28"/>
        </w:rPr>
        <w:t xml:space="preserve"> </w:t>
      </w:r>
      <w:r w:rsidRPr="00D21313">
        <w:rPr>
          <w:rFonts w:ascii="Times New Roman" w:eastAsia="Calibri" w:hAnsi="Times New Roman" w:cs="Times New Roman"/>
          <w:iCs/>
          <w:sz w:val="28"/>
          <w:szCs w:val="28"/>
        </w:rPr>
        <w:t>Т. Э.</w:t>
      </w:r>
      <w:r w:rsidRPr="00D21313">
        <w:rPr>
          <w:rFonts w:ascii="Times New Roman" w:eastAsia="Calibri" w:hAnsi="Times New Roman" w:cs="Times New Roman"/>
          <w:sz w:val="28"/>
          <w:szCs w:val="28"/>
        </w:rPr>
        <w:t xml:space="preserve"> Банковское право. Публично-правовое </w:t>
      </w:r>
      <w:proofErr w:type="gramStart"/>
      <w:r w:rsidRPr="00D21313">
        <w:rPr>
          <w:rFonts w:ascii="Times New Roman" w:eastAsia="Calibri" w:hAnsi="Times New Roman" w:cs="Times New Roman"/>
          <w:sz w:val="28"/>
          <w:szCs w:val="28"/>
        </w:rPr>
        <w:t>регулирование :</w:t>
      </w:r>
      <w:proofErr w:type="gramEnd"/>
      <w:r w:rsidRPr="00D21313">
        <w:rPr>
          <w:rFonts w:ascii="Times New Roman" w:eastAsia="Calibri" w:hAnsi="Times New Roman" w:cs="Times New Roman"/>
          <w:sz w:val="28"/>
          <w:szCs w:val="28"/>
        </w:rPr>
        <w:t xml:space="preserve"> учебник и практикум для </w:t>
      </w:r>
      <w:proofErr w:type="spellStart"/>
      <w:r w:rsidRPr="00D21313">
        <w:rPr>
          <w:rFonts w:ascii="Times New Roman" w:eastAsia="Calibri" w:hAnsi="Times New Roman" w:cs="Times New Roman"/>
          <w:sz w:val="28"/>
          <w:szCs w:val="28"/>
        </w:rPr>
        <w:t>бакалавриата</w:t>
      </w:r>
      <w:proofErr w:type="spellEnd"/>
      <w:r w:rsidRPr="00D21313">
        <w:rPr>
          <w:rFonts w:ascii="Times New Roman" w:eastAsia="Calibri" w:hAnsi="Times New Roman" w:cs="Times New Roman"/>
          <w:sz w:val="28"/>
          <w:szCs w:val="28"/>
        </w:rPr>
        <w:t xml:space="preserve"> и магистратуры / Т. Э. Рождественская, А. Г. </w:t>
      </w:r>
      <w:proofErr w:type="spellStart"/>
      <w:r w:rsidRPr="00D21313">
        <w:rPr>
          <w:rFonts w:ascii="Times New Roman" w:eastAsia="Calibri" w:hAnsi="Times New Roman" w:cs="Times New Roman"/>
          <w:sz w:val="28"/>
          <w:szCs w:val="28"/>
        </w:rPr>
        <w:t>Гузнов</w:t>
      </w:r>
      <w:proofErr w:type="spellEnd"/>
      <w:r w:rsidRPr="00D21313">
        <w:rPr>
          <w:rFonts w:ascii="Times New Roman" w:eastAsia="Calibri" w:hAnsi="Times New Roman" w:cs="Times New Roman"/>
          <w:sz w:val="28"/>
          <w:szCs w:val="28"/>
        </w:rPr>
        <w:t xml:space="preserve">. — 2-е изд., </w:t>
      </w:r>
      <w:proofErr w:type="spellStart"/>
      <w:r w:rsidRPr="00D21313">
        <w:rPr>
          <w:rFonts w:ascii="Times New Roman" w:eastAsia="Calibri" w:hAnsi="Times New Roman" w:cs="Times New Roman"/>
          <w:sz w:val="28"/>
          <w:szCs w:val="28"/>
        </w:rPr>
        <w:t>перераб</w:t>
      </w:r>
      <w:proofErr w:type="spellEnd"/>
      <w:r w:rsidRPr="00D21313">
        <w:rPr>
          <w:rFonts w:ascii="Times New Roman" w:eastAsia="Calibri" w:hAnsi="Times New Roman" w:cs="Times New Roman"/>
          <w:sz w:val="28"/>
          <w:szCs w:val="28"/>
        </w:rPr>
        <w:t xml:space="preserve">. и доп. — </w:t>
      </w:r>
      <w:proofErr w:type="gramStart"/>
      <w:r w:rsidRPr="00D21313">
        <w:rPr>
          <w:rFonts w:ascii="Times New Roman" w:eastAsia="Calibri" w:hAnsi="Times New Roman" w:cs="Times New Roman"/>
          <w:sz w:val="28"/>
          <w:szCs w:val="28"/>
        </w:rPr>
        <w:t>М. :</w:t>
      </w:r>
      <w:proofErr w:type="gramEnd"/>
      <w:r w:rsidRPr="00D21313">
        <w:rPr>
          <w:rFonts w:ascii="Times New Roman" w:eastAsia="Calibri" w:hAnsi="Times New Roman" w:cs="Times New Roman"/>
          <w:sz w:val="28"/>
          <w:szCs w:val="28"/>
        </w:rPr>
        <w:t xml:space="preserve"> Издательство </w:t>
      </w:r>
      <w:proofErr w:type="spellStart"/>
      <w:r w:rsidRPr="00D21313">
        <w:rPr>
          <w:rFonts w:ascii="Times New Roman" w:eastAsia="Calibri" w:hAnsi="Times New Roman" w:cs="Times New Roman"/>
          <w:sz w:val="28"/>
          <w:szCs w:val="28"/>
        </w:rPr>
        <w:t>Юрайт</w:t>
      </w:r>
      <w:proofErr w:type="spellEnd"/>
      <w:r w:rsidRPr="00D21313">
        <w:rPr>
          <w:rFonts w:ascii="Times New Roman" w:eastAsia="Calibri" w:hAnsi="Times New Roman" w:cs="Times New Roman"/>
          <w:sz w:val="28"/>
          <w:szCs w:val="28"/>
        </w:rPr>
        <w:t>, 2018. — 222 с. —</w:t>
      </w:r>
    </w:p>
    <w:p w:rsidR="005372F3" w:rsidRPr="005372F3" w:rsidRDefault="005372F3" w:rsidP="00430D40">
      <w:pPr>
        <w:numPr>
          <w:ilvl w:val="0"/>
          <w:numId w:val="4"/>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Щегорцов</w:t>
      </w:r>
      <w:proofErr w:type="spellEnd"/>
      <w:r w:rsidRPr="005372F3">
        <w:rPr>
          <w:rFonts w:ascii="Times New Roman" w:eastAsia="Calibri" w:hAnsi="Times New Roman" w:cs="Times New Roman"/>
          <w:sz w:val="28"/>
          <w:szCs w:val="28"/>
        </w:rPr>
        <w:t xml:space="preserve"> В. А. Деньги, кредит, банки / В.А. </w:t>
      </w:r>
      <w:proofErr w:type="spellStart"/>
      <w:r w:rsidRPr="005372F3">
        <w:rPr>
          <w:rFonts w:ascii="Times New Roman" w:eastAsia="Calibri" w:hAnsi="Times New Roman" w:cs="Times New Roman"/>
          <w:sz w:val="28"/>
          <w:szCs w:val="28"/>
        </w:rPr>
        <w:t>Щегорцов</w:t>
      </w:r>
      <w:proofErr w:type="spellEnd"/>
      <w:r w:rsidRPr="005372F3">
        <w:rPr>
          <w:rFonts w:ascii="Times New Roman" w:eastAsia="Calibri" w:hAnsi="Times New Roman" w:cs="Times New Roman"/>
          <w:sz w:val="28"/>
          <w:szCs w:val="28"/>
        </w:rPr>
        <w:t xml:space="preserve">, В.А. Таран. - М.: </w:t>
      </w:r>
      <w:proofErr w:type="spellStart"/>
      <w:r w:rsidRPr="005372F3">
        <w:rPr>
          <w:rFonts w:ascii="Times New Roman" w:eastAsia="Calibri" w:hAnsi="Times New Roman" w:cs="Times New Roman"/>
          <w:sz w:val="28"/>
          <w:szCs w:val="28"/>
        </w:rPr>
        <w:t>Юнити</w:t>
      </w:r>
      <w:proofErr w:type="spellEnd"/>
      <w:r w:rsidRPr="005372F3">
        <w:rPr>
          <w:rFonts w:ascii="Times New Roman" w:eastAsia="Calibri" w:hAnsi="Times New Roman" w:cs="Times New Roman"/>
          <w:sz w:val="28"/>
          <w:szCs w:val="28"/>
        </w:rPr>
        <w:t>-Дана, 2016. - 416 c.</w:t>
      </w:r>
    </w:p>
    <w:p w:rsidR="007534BA" w:rsidRPr="001F37C7" w:rsidRDefault="005372F3" w:rsidP="001F37C7">
      <w:pPr>
        <w:numPr>
          <w:ilvl w:val="0"/>
          <w:numId w:val="4"/>
        </w:numPr>
        <w:spacing w:after="0" w:line="360" w:lineRule="auto"/>
        <w:ind w:left="0" w:firstLine="0"/>
        <w:contextualSpacing/>
        <w:jc w:val="both"/>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sz w:val="28"/>
          <w:szCs w:val="28"/>
        </w:rPr>
        <w:t>Янкина</w:t>
      </w:r>
      <w:proofErr w:type="spellEnd"/>
      <w:r w:rsidRPr="005372F3">
        <w:rPr>
          <w:rFonts w:ascii="Times New Roman" w:eastAsia="Calibri" w:hAnsi="Times New Roman" w:cs="Times New Roman"/>
          <w:sz w:val="28"/>
          <w:szCs w:val="28"/>
        </w:rPr>
        <w:t xml:space="preserve"> И. А. Деньги, кредит, банки. Практикум / И.А. </w:t>
      </w:r>
      <w:proofErr w:type="spellStart"/>
      <w:r w:rsidRPr="005372F3">
        <w:rPr>
          <w:rFonts w:ascii="Times New Roman" w:eastAsia="Calibri" w:hAnsi="Times New Roman" w:cs="Times New Roman"/>
          <w:sz w:val="28"/>
          <w:szCs w:val="28"/>
        </w:rPr>
        <w:t>Янкина</w:t>
      </w:r>
      <w:proofErr w:type="spellEnd"/>
      <w:r w:rsidRPr="005372F3">
        <w:rPr>
          <w:rFonts w:ascii="Times New Roman" w:eastAsia="Calibri" w:hAnsi="Times New Roman" w:cs="Times New Roman"/>
          <w:sz w:val="28"/>
          <w:szCs w:val="28"/>
        </w:rPr>
        <w:t xml:space="preserve">. - М.: </w:t>
      </w:r>
      <w:proofErr w:type="spellStart"/>
      <w:r w:rsidRPr="00D728C3">
        <w:rPr>
          <w:rFonts w:ascii="Times New Roman" w:eastAsia="Calibri" w:hAnsi="Times New Roman" w:cs="Times New Roman"/>
          <w:color w:val="000000" w:themeColor="text1"/>
          <w:sz w:val="28"/>
          <w:szCs w:val="28"/>
        </w:rPr>
        <w:t>КноРус</w:t>
      </w:r>
      <w:proofErr w:type="spellEnd"/>
      <w:r w:rsidRPr="00D728C3">
        <w:rPr>
          <w:rFonts w:ascii="Times New Roman" w:eastAsia="Calibri" w:hAnsi="Times New Roman" w:cs="Times New Roman"/>
          <w:color w:val="000000" w:themeColor="text1"/>
          <w:sz w:val="28"/>
          <w:szCs w:val="28"/>
        </w:rPr>
        <w:t>, 2016. - 190 c.</w:t>
      </w:r>
    </w:p>
    <w:p w:rsidR="007534BA" w:rsidRPr="007534BA" w:rsidRDefault="001F37C7" w:rsidP="007534BA">
      <w:pPr>
        <w:numPr>
          <w:ilvl w:val="0"/>
          <w:numId w:val="4"/>
        </w:numPr>
        <w:spacing w:after="0" w:line="360" w:lineRule="auto"/>
        <w:ind w:left="0" w:firstLine="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Введение</w:t>
      </w:r>
      <w:r w:rsidR="007534BA" w:rsidRPr="007534BA">
        <w:rPr>
          <w:rFonts w:ascii="Times New Roman" w:eastAsia="Calibri" w:hAnsi="Times New Roman" w:cs="Times New Roman"/>
          <w:color w:val="000000" w:themeColor="text1"/>
          <w:sz w:val="28"/>
          <w:szCs w:val="28"/>
        </w:rPr>
        <w:t xml:space="preserve"> дополнительного механизма предоставления </w:t>
      </w:r>
      <w:proofErr w:type="gramStart"/>
      <w:r w:rsidR="007534BA" w:rsidRPr="007534BA">
        <w:rPr>
          <w:rFonts w:ascii="Times New Roman" w:eastAsia="Calibri" w:hAnsi="Times New Roman" w:cs="Times New Roman"/>
          <w:color w:val="000000" w:themeColor="text1"/>
          <w:sz w:val="28"/>
          <w:szCs w:val="28"/>
        </w:rPr>
        <w:t>ликвидности»  [</w:t>
      </w:r>
      <w:proofErr w:type="gramEnd"/>
      <w:r w:rsidR="007534BA" w:rsidRPr="007534BA">
        <w:rPr>
          <w:rFonts w:ascii="Times New Roman" w:eastAsia="Calibri" w:hAnsi="Times New Roman" w:cs="Times New Roman"/>
          <w:color w:val="000000" w:themeColor="text1"/>
          <w:sz w:val="28"/>
          <w:szCs w:val="28"/>
        </w:rPr>
        <w:t xml:space="preserve">Электронный ресурс] / Режим доступа: </w:t>
      </w:r>
      <w:hyperlink r:id="rId14" w:history="1">
        <w:r w:rsidR="007534BA" w:rsidRPr="007F73A7">
          <w:rPr>
            <w:rStyle w:val="a7"/>
            <w:rFonts w:ascii="Times New Roman" w:eastAsia="Calibri" w:hAnsi="Times New Roman" w:cs="Times New Roman"/>
            <w:sz w:val="28"/>
            <w:szCs w:val="28"/>
          </w:rPr>
          <w:t>http://www.consultant.ru</w:t>
        </w:r>
      </w:hyperlink>
      <w:r w:rsidR="007534BA">
        <w:rPr>
          <w:rFonts w:ascii="Times New Roman" w:eastAsia="Calibri" w:hAnsi="Times New Roman" w:cs="Times New Roman"/>
          <w:color w:val="000000" w:themeColor="text1"/>
          <w:sz w:val="28"/>
          <w:szCs w:val="28"/>
        </w:rPr>
        <w:t xml:space="preserve"> </w:t>
      </w:r>
      <w:r w:rsidR="007534BA" w:rsidRPr="007534BA">
        <w:rPr>
          <w:rFonts w:ascii="Times New Roman" w:eastAsia="Calibri" w:hAnsi="Times New Roman" w:cs="Times New Roman"/>
          <w:color w:val="000000" w:themeColor="text1"/>
          <w:sz w:val="28"/>
          <w:szCs w:val="28"/>
        </w:rPr>
        <w:t>/ (</w:t>
      </w:r>
      <w:r w:rsidR="007534BA">
        <w:rPr>
          <w:rFonts w:ascii="Times New Roman" w:eastAsia="Calibri" w:hAnsi="Times New Roman" w:cs="Times New Roman"/>
          <w:color w:val="000000" w:themeColor="text1"/>
          <w:sz w:val="28"/>
          <w:szCs w:val="28"/>
        </w:rPr>
        <w:t>Дата обращения: 01.12.2018)</w:t>
      </w:r>
    </w:p>
    <w:p w:rsidR="00F72F26" w:rsidRDefault="007534BA" w:rsidP="004B1284">
      <w:pPr>
        <w:numPr>
          <w:ilvl w:val="0"/>
          <w:numId w:val="4"/>
        </w:numPr>
        <w:spacing w:after="0" w:line="360" w:lineRule="auto"/>
        <w:ind w:left="0" w:firstLine="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Пр</w:t>
      </w:r>
      <w:r w:rsidR="009B698B" w:rsidRPr="004B1284">
        <w:rPr>
          <w:rFonts w:ascii="Times New Roman" w:eastAsia="Calibri" w:hAnsi="Times New Roman" w:cs="Times New Roman"/>
          <w:color w:val="000000" w:themeColor="text1"/>
          <w:sz w:val="28"/>
          <w:szCs w:val="28"/>
        </w:rPr>
        <w:t xml:space="preserve">оцентные ставки по операциям денежно-кредитной политики [Электронный ресурс] / Режим доступа: </w:t>
      </w:r>
      <w:r w:rsidR="004B1284" w:rsidRPr="004B1284">
        <w:rPr>
          <w:rFonts w:ascii="Times New Roman" w:eastAsia="Calibri" w:hAnsi="Times New Roman" w:cs="Times New Roman"/>
          <w:color w:val="000000" w:themeColor="text1"/>
          <w:sz w:val="28"/>
          <w:szCs w:val="28"/>
        </w:rPr>
        <w:t xml:space="preserve">http://www.cbr.ru/hd_base/ProcStav/IR_MPO/ </w:t>
      </w:r>
      <w:r w:rsidR="004B1284">
        <w:rPr>
          <w:rFonts w:ascii="Times New Roman" w:eastAsia="Calibri" w:hAnsi="Times New Roman" w:cs="Times New Roman"/>
          <w:color w:val="000000" w:themeColor="text1"/>
          <w:sz w:val="28"/>
          <w:szCs w:val="28"/>
        </w:rPr>
        <w:t>(Дата обращения: 01.11.2018</w:t>
      </w:r>
      <w:r w:rsidR="009B698B" w:rsidRPr="004B1284">
        <w:rPr>
          <w:rFonts w:ascii="Times New Roman" w:eastAsia="Calibri" w:hAnsi="Times New Roman" w:cs="Times New Roman"/>
          <w:color w:val="000000" w:themeColor="text1"/>
          <w:sz w:val="28"/>
          <w:szCs w:val="28"/>
        </w:rPr>
        <w:t>г.</w:t>
      </w:r>
      <w:r w:rsidR="004B1284">
        <w:rPr>
          <w:rFonts w:ascii="Times New Roman" w:eastAsia="Calibri" w:hAnsi="Times New Roman" w:cs="Times New Roman"/>
          <w:color w:val="000000" w:themeColor="text1"/>
          <w:sz w:val="28"/>
          <w:szCs w:val="28"/>
        </w:rPr>
        <w:t>)</w:t>
      </w:r>
    </w:p>
    <w:p w:rsidR="007534BA" w:rsidRPr="004B1284" w:rsidRDefault="007534BA" w:rsidP="007534BA">
      <w:pPr>
        <w:spacing w:after="0" w:line="360" w:lineRule="auto"/>
        <w:contextualSpacing/>
        <w:jc w:val="both"/>
        <w:rPr>
          <w:rFonts w:ascii="Times New Roman" w:eastAsia="Calibri" w:hAnsi="Times New Roman" w:cs="Times New Roman"/>
          <w:color w:val="000000" w:themeColor="text1"/>
          <w:sz w:val="28"/>
          <w:szCs w:val="28"/>
        </w:rPr>
      </w:pPr>
    </w:p>
    <w:p w:rsidR="00D574C2" w:rsidRPr="00F72F26" w:rsidRDefault="00D574C2" w:rsidP="00F72F26">
      <w:pPr>
        <w:tabs>
          <w:tab w:val="right" w:leader="dot" w:pos="9639"/>
        </w:tabs>
        <w:spacing w:after="0" w:line="360" w:lineRule="auto"/>
        <w:contextualSpacing/>
        <w:jc w:val="both"/>
        <w:rPr>
          <w:rFonts w:ascii="Times New Roman" w:eastAsia="Calibri" w:hAnsi="Times New Roman" w:cs="Times New Roman"/>
          <w:sz w:val="28"/>
          <w:szCs w:val="28"/>
        </w:rPr>
      </w:pPr>
    </w:p>
    <w:sectPr w:rsidR="00D574C2" w:rsidRPr="00F72F26" w:rsidSect="00D574C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16" w:rsidRDefault="005E4116">
      <w:pPr>
        <w:spacing w:after="0" w:line="240" w:lineRule="auto"/>
      </w:pPr>
      <w:r>
        <w:separator/>
      </w:r>
    </w:p>
  </w:endnote>
  <w:endnote w:type="continuationSeparator" w:id="0">
    <w:p w:rsidR="005E4116" w:rsidRDefault="005E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083913"/>
      <w:docPartObj>
        <w:docPartGallery w:val="Page Numbers (Bottom of Page)"/>
        <w:docPartUnique/>
      </w:docPartObj>
    </w:sdtPr>
    <w:sdtEndPr>
      <w:rPr>
        <w:rFonts w:ascii="Times New Roman" w:hAnsi="Times New Roman" w:cs="Times New Roman"/>
        <w:sz w:val="24"/>
        <w:szCs w:val="24"/>
      </w:rPr>
    </w:sdtEndPr>
    <w:sdtContent>
      <w:p w:rsidR="004978CA" w:rsidRPr="004978CA" w:rsidRDefault="004978CA">
        <w:pPr>
          <w:pStyle w:val="a3"/>
          <w:jc w:val="center"/>
          <w:rPr>
            <w:rFonts w:ascii="Times New Roman" w:hAnsi="Times New Roman" w:cs="Times New Roman"/>
            <w:sz w:val="24"/>
            <w:szCs w:val="24"/>
          </w:rPr>
        </w:pPr>
        <w:r w:rsidRPr="004978CA">
          <w:rPr>
            <w:rFonts w:ascii="Times New Roman" w:hAnsi="Times New Roman" w:cs="Times New Roman"/>
            <w:sz w:val="24"/>
            <w:szCs w:val="24"/>
          </w:rPr>
          <w:fldChar w:fldCharType="begin"/>
        </w:r>
        <w:r w:rsidRPr="004978CA">
          <w:rPr>
            <w:rFonts w:ascii="Times New Roman" w:hAnsi="Times New Roman" w:cs="Times New Roman"/>
            <w:sz w:val="24"/>
            <w:szCs w:val="24"/>
          </w:rPr>
          <w:instrText>PAGE   \* MERGEFORMAT</w:instrText>
        </w:r>
        <w:r w:rsidRPr="004978CA">
          <w:rPr>
            <w:rFonts w:ascii="Times New Roman" w:hAnsi="Times New Roman" w:cs="Times New Roman"/>
            <w:sz w:val="24"/>
            <w:szCs w:val="24"/>
          </w:rPr>
          <w:fldChar w:fldCharType="separate"/>
        </w:r>
        <w:r w:rsidR="004277F2">
          <w:rPr>
            <w:rFonts w:ascii="Times New Roman" w:hAnsi="Times New Roman" w:cs="Times New Roman"/>
            <w:noProof/>
            <w:sz w:val="24"/>
            <w:szCs w:val="24"/>
          </w:rPr>
          <w:t>28</w:t>
        </w:r>
        <w:r w:rsidRPr="004978CA">
          <w:rPr>
            <w:rFonts w:ascii="Times New Roman" w:hAnsi="Times New Roman" w:cs="Times New Roman"/>
            <w:sz w:val="24"/>
            <w:szCs w:val="24"/>
          </w:rPr>
          <w:fldChar w:fldCharType="end"/>
        </w:r>
      </w:p>
    </w:sdtContent>
  </w:sdt>
  <w:p w:rsidR="007534BA" w:rsidRPr="005269F1" w:rsidRDefault="007534BA" w:rsidP="00D574C2">
    <w:pPr>
      <w:pStyle w:val="a3"/>
      <w:tabs>
        <w:tab w:val="center" w:pos="4819"/>
        <w:tab w:val="left" w:pos="7188"/>
      </w:tabs>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BA" w:rsidRDefault="007534BA">
    <w:pPr>
      <w:pStyle w:val="a3"/>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16" w:rsidRDefault="005E4116">
      <w:pPr>
        <w:spacing w:after="0" w:line="240" w:lineRule="auto"/>
      </w:pPr>
      <w:r>
        <w:separator/>
      </w:r>
    </w:p>
  </w:footnote>
  <w:footnote w:type="continuationSeparator" w:id="0">
    <w:p w:rsidR="005E4116" w:rsidRDefault="005E4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CBF"/>
    <w:multiLevelType w:val="hybridMultilevel"/>
    <w:tmpl w:val="E826B394"/>
    <w:lvl w:ilvl="0" w:tplc="F3780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A7255"/>
    <w:multiLevelType w:val="multilevel"/>
    <w:tmpl w:val="D3D2D68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06F361C"/>
    <w:multiLevelType w:val="multilevel"/>
    <w:tmpl w:val="EEAE1D18"/>
    <w:lvl w:ilvl="0">
      <w:start w:val="3"/>
      <w:numFmt w:val="decimal"/>
      <w:lvlText w:val="%1."/>
      <w:lvlJc w:val="left"/>
      <w:pPr>
        <w:ind w:left="720" w:hanging="360"/>
      </w:pPr>
      <w:rPr>
        <w:rFonts w:ascii="Times New Roman" w:eastAsia="Calibri" w:hAnsi="Times New Roman" w:cs="Times New Roman" w:hint="default"/>
        <w:sz w:val="28"/>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1772CE"/>
    <w:multiLevelType w:val="hybridMultilevel"/>
    <w:tmpl w:val="36001638"/>
    <w:lvl w:ilvl="0" w:tplc="F2509C4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202262"/>
    <w:multiLevelType w:val="multilevel"/>
    <w:tmpl w:val="68F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94CE7"/>
    <w:multiLevelType w:val="hybridMultilevel"/>
    <w:tmpl w:val="36001638"/>
    <w:lvl w:ilvl="0" w:tplc="F2509C4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462C01"/>
    <w:multiLevelType w:val="hybridMultilevel"/>
    <w:tmpl w:val="D62604FA"/>
    <w:lvl w:ilvl="0" w:tplc="FD58D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DE2101"/>
    <w:multiLevelType w:val="hybridMultilevel"/>
    <w:tmpl w:val="6EBA4414"/>
    <w:lvl w:ilvl="0" w:tplc="14AECE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D2C36"/>
    <w:multiLevelType w:val="multilevel"/>
    <w:tmpl w:val="8DFC93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47267E"/>
    <w:multiLevelType w:val="multilevel"/>
    <w:tmpl w:val="BC1C0D1C"/>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9"/>
  </w:num>
  <w:num w:numId="3">
    <w:abstractNumId w:val="2"/>
  </w:num>
  <w:num w:numId="4">
    <w:abstractNumId w:val="3"/>
  </w:num>
  <w:num w:numId="5">
    <w:abstractNumId w:val="5"/>
  </w:num>
  <w:num w:numId="6">
    <w:abstractNumId w:val="1"/>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F8"/>
    <w:rsid w:val="00017AF8"/>
    <w:rsid w:val="000C4278"/>
    <w:rsid w:val="000F0322"/>
    <w:rsid w:val="001032AE"/>
    <w:rsid w:val="00110D44"/>
    <w:rsid w:val="00112EE9"/>
    <w:rsid w:val="00127AFE"/>
    <w:rsid w:val="001866F5"/>
    <w:rsid w:val="001A01B3"/>
    <w:rsid w:val="001C6C0B"/>
    <w:rsid w:val="001F37C7"/>
    <w:rsid w:val="00204A5F"/>
    <w:rsid w:val="002105B8"/>
    <w:rsid w:val="002847D8"/>
    <w:rsid w:val="00382BB8"/>
    <w:rsid w:val="003E301D"/>
    <w:rsid w:val="004277F2"/>
    <w:rsid w:val="00430D40"/>
    <w:rsid w:val="004374DF"/>
    <w:rsid w:val="004978CA"/>
    <w:rsid w:val="004B1284"/>
    <w:rsid w:val="004F0D67"/>
    <w:rsid w:val="004F498B"/>
    <w:rsid w:val="004F4DF7"/>
    <w:rsid w:val="0051021D"/>
    <w:rsid w:val="00530AC4"/>
    <w:rsid w:val="005372F3"/>
    <w:rsid w:val="005654FF"/>
    <w:rsid w:val="005A3871"/>
    <w:rsid w:val="005A78C8"/>
    <w:rsid w:val="005B2AC3"/>
    <w:rsid w:val="005E4116"/>
    <w:rsid w:val="005E4F8B"/>
    <w:rsid w:val="00617B46"/>
    <w:rsid w:val="006357FC"/>
    <w:rsid w:val="00677740"/>
    <w:rsid w:val="00677E30"/>
    <w:rsid w:val="006D2BE6"/>
    <w:rsid w:val="006E5585"/>
    <w:rsid w:val="007341DF"/>
    <w:rsid w:val="007534BA"/>
    <w:rsid w:val="00776F02"/>
    <w:rsid w:val="007C7EFD"/>
    <w:rsid w:val="00823109"/>
    <w:rsid w:val="00844940"/>
    <w:rsid w:val="0087438A"/>
    <w:rsid w:val="008D7FFC"/>
    <w:rsid w:val="008F378E"/>
    <w:rsid w:val="00917102"/>
    <w:rsid w:val="00995D35"/>
    <w:rsid w:val="009B698B"/>
    <w:rsid w:val="00A17E78"/>
    <w:rsid w:val="00A71F0B"/>
    <w:rsid w:val="00A86532"/>
    <w:rsid w:val="00A90978"/>
    <w:rsid w:val="00AB323B"/>
    <w:rsid w:val="00AE6EED"/>
    <w:rsid w:val="00B0611A"/>
    <w:rsid w:val="00B17E7C"/>
    <w:rsid w:val="00B32A1C"/>
    <w:rsid w:val="00B71F23"/>
    <w:rsid w:val="00B73C07"/>
    <w:rsid w:val="00C01C2F"/>
    <w:rsid w:val="00C210F6"/>
    <w:rsid w:val="00C421E0"/>
    <w:rsid w:val="00C54D49"/>
    <w:rsid w:val="00D21313"/>
    <w:rsid w:val="00D402FB"/>
    <w:rsid w:val="00D574C2"/>
    <w:rsid w:val="00D7035C"/>
    <w:rsid w:val="00D728C3"/>
    <w:rsid w:val="00D75F67"/>
    <w:rsid w:val="00DA1057"/>
    <w:rsid w:val="00DD7FC2"/>
    <w:rsid w:val="00DE6052"/>
    <w:rsid w:val="00E00CA6"/>
    <w:rsid w:val="00E94FD5"/>
    <w:rsid w:val="00F72F26"/>
    <w:rsid w:val="00FA70D2"/>
    <w:rsid w:val="00FD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11566-61AF-4C97-9DA0-052DB803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B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01B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1B3"/>
  </w:style>
  <w:style w:type="paragraph" w:styleId="a5">
    <w:name w:val="List Paragraph"/>
    <w:basedOn w:val="a"/>
    <w:uiPriority w:val="34"/>
    <w:qFormat/>
    <w:rsid w:val="001A01B3"/>
    <w:pPr>
      <w:ind w:left="720"/>
      <w:contextualSpacing/>
    </w:pPr>
  </w:style>
  <w:style w:type="table" w:styleId="a6">
    <w:name w:val="Table Grid"/>
    <w:basedOn w:val="a1"/>
    <w:uiPriority w:val="39"/>
    <w:rsid w:val="001A0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372F3"/>
    <w:rPr>
      <w:color w:val="0563C1" w:themeColor="hyperlink"/>
      <w:u w:val="single"/>
    </w:rPr>
  </w:style>
  <w:style w:type="paragraph" w:styleId="a8">
    <w:name w:val="header"/>
    <w:basedOn w:val="a"/>
    <w:link w:val="a9"/>
    <w:uiPriority w:val="99"/>
    <w:unhideWhenUsed/>
    <w:rsid w:val="007C7E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7EFD"/>
  </w:style>
  <w:style w:type="character" w:styleId="aa">
    <w:name w:val="Strong"/>
    <w:basedOn w:val="a0"/>
    <w:uiPriority w:val="22"/>
    <w:qFormat/>
    <w:rsid w:val="00D72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0094">
      <w:bodyDiv w:val="1"/>
      <w:marLeft w:val="0"/>
      <w:marRight w:val="0"/>
      <w:marTop w:val="0"/>
      <w:marBottom w:val="0"/>
      <w:divBdr>
        <w:top w:val="none" w:sz="0" w:space="0" w:color="auto"/>
        <w:left w:val="none" w:sz="0" w:space="0" w:color="auto"/>
        <w:bottom w:val="none" w:sz="0" w:space="0" w:color="auto"/>
        <w:right w:val="none" w:sz="0" w:space="0" w:color="auto"/>
      </w:divBdr>
    </w:div>
    <w:div w:id="499009010">
      <w:bodyDiv w:val="1"/>
      <w:marLeft w:val="0"/>
      <w:marRight w:val="0"/>
      <w:marTop w:val="0"/>
      <w:marBottom w:val="0"/>
      <w:divBdr>
        <w:top w:val="none" w:sz="0" w:space="0" w:color="auto"/>
        <w:left w:val="none" w:sz="0" w:space="0" w:color="auto"/>
        <w:bottom w:val="none" w:sz="0" w:space="0" w:color="auto"/>
        <w:right w:val="none" w:sz="0" w:space="0" w:color="auto"/>
      </w:divBdr>
    </w:div>
    <w:div w:id="1269314726">
      <w:bodyDiv w:val="1"/>
      <w:marLeft w:val="0"/>
      <w:marRight w:val="0"/>
      <w:marTop w:val="0"/>
      <w:marBottom w:val="0"/>
      <w:divBdr>
        <w:top w:val="none" w:sz="0" w:space="0" w:color="auto"/>
        <w:left w:val="none" w:sz="0" w:space="0" w:color="auto"/>
        <w:bottom w:val="none" w:sz="0" w:space="0" w:color="auto"/>
        <w:right w:val="none" w:sz="0" w:space="0" w:color="auto"/>
      </w:divBdr>
    </w:div>
    <w:div w:id="1272862662">
      <w:bodyDiv w:val="1"/>
      <w:marLeft w:val="0"/>
      <w:marRight w:val="0"/>
      <w:marTop w:val="0"/>
      <w:marBottom w:val="0"/>
      <w:divBdr>
        <w:top w:val="none" w:sz="0" w:space="0" w:color="auto"/>
        <w:left w:val="none" w:sz="0" w:space="0" w:color="auto"/>
        <w:bottom w:val="none" w:sz="0" w:space="0" w:color="auto"/>
        <w:right w:val="none" w:sz="0" w:space="0" w:color="auto"/>
      </w:divBdr>
    </w:div>
    <w:div w:id="21246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A807-A2EF-40DB-B9AF-ECC532C6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12552</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2018-10-17T15:39:00Z</dcterms:created>
  <dcterms:modified xsi:type="dcterms:W3CDTF">2018-12-24T12:16:00Z</dcterms:modified>
</cp:coreProperties>
</file>