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575A4" w14:textId="5294E0C8" w:rsidR="0021150B" w:rsidRDefault="0021150B" w:rsidP="0021150B">
      <w:pPr>
        <w:spacing w:after="0" w:line="240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МИНИСТЕРСТВО НАУКИ И ВЫСШЕГО ОБРАЗОВАНИЯ РОССИЙСКОЙ ФЕДЕРАЦИИ</w:t>
      </w:r>
    </w:p>
    <w:p w14:paraId="319EEA99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389AB724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высшего образования</w:t>
      </w:r>
    </w:p>
    <w:p w14:paraId="2270A577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</w:rPr>
        <w:t>«КУБАНСКИЙ ГОСУДАРСТВЕННЫЙ УНИВЕРСИТЕТ»</w:t>
      </w:r>
    </w:p>
    <w:p w14:paraId="56888159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(ФГБОУ ВО «</w:t>
      </w:r>
      <w:proofErr w:type="spellStart"/>
      <w:r>
        <w:rPr>
          <w:rFonts w:ascii="Times New Roman" w:eastAsia="Calibri" w:hAnsi="Times New Roman" w:cs="Times New Roman"/>
          <w:b/>
        </w:rPr>
        <w:t>КубГУ</w:t>
      </w:r>
      <w:proofErr w:type="spellEnd"/>
      <w:r>
        <w:rPr>
          <w:rFonts w:ascii="Times New Roman" w:eastAsia="Calibri" w:hAnsi="Times New Roman" w:cs="Times New Roman"/>
          <w:b/>
        </w:rPr>
        <w:t>»)</w:t>
      </w:r>
    </w:p>
    <w:p w14:paraId="4DD7193C" w14:textId="77777777" w:rsidR="0021150B" w:rsidRPr="006F2CB6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FEFEDD6" w14:textId="77777777" w:rsidR="0021150B" w:rsidRPr="006F2CB6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2CB6">
        <w:rPr>
          <w:rFonts w:ascii="Times New Roman" w:eastAsia="Calibri" w:hAnsi="Times New Roman" w:cs="Times New Roman"/>
          <w:b/>
          <w:sz w:val="28"/>
          <w:szCs w:val="28"/>
        </w:rPr>
        <w:t>Факультет экономический</w:t>
      </w:r>
    </w:p>
    <w:p w14:paraId="5BED4E1B" w14:textId="19CC0C10" w:rsidR="0021150B" w:rsidRPr="006F2CB6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2CB6">
        <w:rPr>
          <w:rFonts w:ascii="Times New Roman" w:eastAsia="Calibri" w:hAnsi="Times New Roman" w:cs="Times New Roman"/>
          <w:b/>
          <w:sz w:val="28"/>
          <w:szCs w:val="28"/>
        </w:rPr>
        <w:t xml:space="preserve">Кафедра </w:t>
      </w:r>
      <w:r w:rsidR="00DD0C33" w:rsidRPr="006F2CB6">
        <w:rPr>
          <w:rFonts w:ascii="Times New Roman" w:eastAsia="Calibri" w:hAnsi="Times New Roman" w:cs="Times New Roman"/>
          <w:b/>
          <w:sz w:val="28"/>
          <w:szCs w:val="28"/>
        </w:rPr>
        <w:t>экономического анализа, статистики и финансов.</w:t>
      </w:r>
    </w:p>
    <w:p w14:paraId="00A4BD5C" w14:textId="77777777" w:rsidR="00DD0C33" w:rsidRPr="006F2CB6" w:rsidRDefault="00DD0C33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C393EA" w14:textId="77777777" w:rsidR="00A3654A" w:rsidRDefault="00A3654A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14:paraId="690E2171" w14:textId="77777777" w:rsidR="00A3654A" w:rsidRDefault="00A3654A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14:paraId="5E25D70C" w14:textId="77777777" w:rsidR="00A3654A" w:rsidRDefault="00A3654A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14:paraId="6CB7CFE2" w14:textId="77777777" w:rsidR="00A3654A" w:rsidRDefault="00A3654A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14:paraId="62AEF9D9" w14:textId="77777777" w:rsidR="00A3654A" w:rsidRPr="00DD0C33" w:rsidRDefault="00A3654A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14:paraId="506FEA69" w14:textId="25437354" w:rsidR="0021150B" w:rsidRPr="006F2CB6" w:rsidRDefault="0021150B" w:rsidP="006F2CB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2CB6">
        <w:rPr>
          <w:rFonts w:ascii="Times New Roman" w:eastAsia="Calibri" w:hAnsi="Times New Roman" w:cs="Times New Roman"/>
          <w:b/>
          <w:sz w:val="28"/>
          <w:szCs w:val="28"/>
        </w:rPr>
        <w:t>Контрольная работа</w:t>
      </w:r>
    </w:p>
    <w:p w14:paraId="4B01133D" w14:textId="493DFC4D" w:rsidR="00DD0C33" w:rsidRPr="00AF5B2C" w:rsidRDefault="00DD0C33" w:rsidP="006F2CB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2CB6">
        <w:rPr>
          <w:rFonts w:ascii="Times New Roman" w:eastAsia="Calibri" w:hAnsi="Times New Roman" w:cs="Times New Roman"/>
          <w:sz w:val="28"/>
          <w:szCs w:val="28"/>
        </w:rPr>
        <w:t>Управление рисками</w:t>
      </w:r>
      <w:r w:rsidR="00133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F2CB6">
        <w:rPr>
          <w:rFonts w:ascii="Times New Roman" w:eastAsia="Calibri" w:hAnsi="Times New Roman" w:cs="Times New Roman"/>
          <w:sz w:val="28"/>
          <w:szCs w:val="28"/>
        </w:rPr>
        <w:t>ПАО</w:t>
      </w:r>
      <w:r w:rsidR="007749E6" w:rsidRPr="00AF5B2C">
        <w:rPr>
          <w:rFonts w:ascii="Times New Roman" w:eastAsia="Calibri" w:hAnsi="Times New Roman" w:cs="Times New Roman"/>
          <w:sz w:val="28"/>
          <w:szCs w:val="28"/>
        </w:rPr>
        <w:t xml:space="preserve"> “</w:t>
      </w:r>
      <w:r w:rsidR="00F8488B">
        <w:rPr>
          <w:rFonts w:ascii="Times New Roman" w:eastAsia="Calibri" w:hAnsi="Times New Roman" w:cs="Times New Roman"/>
          <w:sz w:val="28"/>
          <w:szCs w:val="28"/>
        </w:rPr>
        <w:t>Сбербанк</w:t>
      </w:r>
      <w:r w:rsidR="007749E6">
        <w:rPr>
          <w:rFonts w:ascii="Times New Roman" w:eastAsia="Calibri" w:hAnsi="Times New Roman" w:cs="Times New Roman"/>
          <w:sz w:val="28"/>
          <w:szCs w:val="28"/>
        </w:rPr>
        <w:t>”</w:t>
      </w:r>
    </w:p>
    <w:p w14:paraId="101FB28D" w14:textId="77777777" w:rsidR="0021150B" w:rsidRPr="006F2CB6" w:rsidRDefault="0021150B" w:rsidP="006F2CB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117BB4" w14:textId="77777777" w:rsidR="0021150B" w:rsidRPr="006F2CB6" w:rsidRDefault="0021150B" w:rsidP="006F2CB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551D13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56494076" w14:textId="77777777" w:rsidR="0021150B" w:rsidRDefault="0021150B" w:rsidP="002115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1285CA2B" w14:textId="77777777" w:rsidR="0021150B" w:rsidRDefault="0021150B" w:rsidP="0021150B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</w:p>
    <w:p w14:paraId="31A99316" w14:textId="77777777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7C8710" w14:textId="537EDA4B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Работу в</w:t>
      </w:r>
      <w:r w:rsidR="005F6423">
        <w:rPr>
          <w:rFonts w:ascii="Times New Roman" w:eastAsia="Calibri" w:hAnsi="Times New Roman" w:cs="Times New Roman"/>
          <w:sz w:val="28"/>
          <w:szCs w:val="28"/>
        </w:rPr>
        <w:t>ыполнила _____________________</w:t>
      </w:r>
      <w:r w:rsidRPr="005F6423">
        <w:rPr>
          <w:rFonts w:ascii="Times New Roman" w:eastAsia="Calibri" w:hAnsi="Times New Roman" w:cs="Times New Roman"/>
          <w:sz w:val="28"/>
          <w:szCs w:val="28"/>
        </w:rPr>
        <w:t>_________________ Э.</w:t>
      </w:r>
      <w:r w:rsidR="005F6423" w:rsidRPr="005F64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F6423">
        <w:rPr>
          <w:rFonts w:ascii="Times New Roman" w:eastAsia="Calibri" w:hAnsi="Times New Roman" w:cs="Times New Roman"/>
          <w:sz w:val="28"/>
          <w:szCs w:val="28"/>
        </w:rPr>
        <w:t>Бушалова</w:t>
      </w:r>
      <w:proofErr w:type="spellEnd"/>
    </w:p>
    <w:p w14:paraId="31564303" w14:textId="36800A2A" w:rsidR="0021150B" w:rsidRPr="005F6423" w:rsidRDefault="0021150B" w:rsidP="002115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(подпись, дата)</w:t>
      </w:r>
    </w:p>
    <w:p w14:paraId="4CDB792E" w14:textId="77777777" w:rsidR="007749E6" w:rsidRPr="005F6423" w:rsidRDefault="007749E6" w:rsidP="002115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558788" w14:textId="1C86BAAF" w:rsidR="0021150B" w:rsidRPr="005F6423" w:rsidRDefault="00DD0C33" w:rsidP="0021150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Направление подготовки 38.03.01</w:t>
      </w:r>
      <w:r w:rsidR="0021150B" w:rsidRPr="005F6423">
        <w:rPr>
          <w:rFonts w:ascii="Times New Roman" w:eastAsia="Calibri" w:hAnsi="Times New Roman" w:cs="Times New Roman"/>
          <w:sz w:val="28"/>
          <w:szCs w:val="28"/>
        </w:rPr>
        <w:t xml:space="preserve"> – Финансы и кредит   курс   3</w:t>
      </w:r>
      <w:r w:rsidRPr="005F6423">
        <w:rPr>
          <w:rFonts w:ascii="Times New Roman" w:eastAsia="Calibri" w:hAnsi="Times New Roman" w:cs="Times New Roman"/>
          <w:sz w:val="28"/>
          <w:szCs w:val="28"/>
        </w:rPr>
        <w:t>_ЗФО_</w:t>
      </w:r>
    </w:p>
    <w:p w14:paraId="426C342E" w14:textId="77777777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Научный руководитель</w:t>
      </w:r>
    </w:p>
    <w:p w14:paraId="4C1AA266" w14:textId="4B3A6714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 xml:space="preserve">канд. </w:t>
      </w:r>
      <w:proofErr w:type="spellStart"/>
      <w:r w:rsidRPr="005F6423">
        <w:rPr>
          <w:rFonts w:ascii="Times New Roman" w:eastAsia="Calibri" w:hAnsi="Times New Roman" w:cs="Times New Roman"/>
          <w:sz w:val="28"/>
          <w:szCs w:val="28"/>
        </w:rPr>
        <w:t>экон</w:t>
      </w:r>
      <w:proofErr w:type="spellEnd"/>
      <w:r w:rsidRPr="005F6423">
        <w:rPr>
          <w:rFonts w:ascii="Times New Roman" w:eastAsia="Calibri" w:hAnsi="Times New Roman" w:cs="Times New Roman"/>
          <w:sz w:val="28"/>
          <w:szCs w:val="28"/>
        </w:rPr>
        <w:t>. наук, д</w:t>
      </w:r>
      <w:r w:rsidR="005F6423">
        <w:rPr>
          <w:rFonts w:ascii="Times New Roman" w:eastAsia="Calibri" w:hAnsi="Times New Roman" w:cs="Times New Roman"/>
          <w:sz w:val="28"/>
          <w:szCs w:val="28"/>
        </w:rPr>
        <w:t>оцент ____________________</w:t>
      </w:r>
      <w:r w:rsidRPr="005F6423">
        <w:rPr>
          <w:rFonts w:ascii="Times New Roman" w:eastAsia="Calibri" w:hAnsi="Times New Roman" w:cs="Times New Roman"/>
          <w:sz w:val="28"/>
          <w:szCs w:val="28"/>
        </w:rPr>
        <w:t>___________ А.Р.</w:t>
      </w:r>
      <w:r w:rsidR="005F6423" w:rsidRPr="005F64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6423">
        <w:rPr>
          <w:rFonts w:ascii="Times New Roman" w:eastAsia="Calibri" w:hAnsi="Times New Roman" w:cs="Times New Roman"/>
          <w:sz w:val="28"/>
          <w:szCs w:val="28"/>
        </w:rPr>
        <w:t>Базилевич</w:t>
      </w:r>
    </w:p>
    <w:p w14:paraId="34D50D27" w14:textId="77777777" w:rsidR="0021150B" w:rsidRPr="005F6423" w:rsidRDefault="0021150B" w:rsidP="0021150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(подпись, дата)</w:t>
      </w:r>
    </w:p>
    <w:p w14:paraId="6C6672CC" w14:textId="77777777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F6423">
        <w:rPr>
          <w:rFonts w:ascii="Times New Roman" w:eastAsia="Calibri" w:hAnsi="Times New Roman" w:cs="Times New Roman"/>
          <w:sz w:val="28"/>
          <w:szCs w:val="28"/>
        </w:rPr>
        <w:t>Нормоконтролер</w:t>
      </w:r>
      <w:proofErr w:type="spellEnd"/>
    </w:p>
    <w:p w14:paraId="314EEFF3" w14:textId="1183D0B5" w:rsidR="0021150B" w:rsidRPr="005F6423" w:rsidRDefault="0021150B" w:rsidP="002115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 xml:space="preserve">канд. </w:t>
      </w:r>
      <w:proofErr w:type="spellStart"/>
      <w:r w:rsidRPr="005F6423">
        <w:rPr>
          <w:rFonts w:ascii="Times New Roman" w:eastAsia="Calibri" w:hAnsi="Times New Roman" w:cs="Times New Roman"/>
          <w:sz w:val="28"/>
          <w:szCs w:val="28"/>
        </w:rPr>
        <w:t>экон</w:t>
      </w:r>
      <w:proofErr w:type="spellEnd"/>
      <w:r w:rsidRPr="005F6423">
        <w:rPr>
          <w:rFonts w:ascii="Times New Roman" w:eastAsia="Calibri" w:hAnsi="Times New Roman" w:cs="Times New Roman"/>
          <w:sz w:val="28"/>
          <w:szCs w:val="28"/>
        </w:rPr>
        <w:t>. наук, доцент _</w:t>
      </w:r>
      <w:r w:rsidR="005F6423">
        <w:rPr>
          <w:rFonts w:ascii="Times New Roman" w:eastAsia="Calibri" w:hAnsi="Times New Roman" w:cs="Times New Roman"/>
          <w:sz w:val="28"/>
          <w:szCs w:val="28"/>
        </w:rPr>
        <w:t>__________________________</w:t>
      </w:r>
      <w:r w:rsidRPr="005F6423">
        <w:rPr>
          <w:rFonts w:ascii="Times New Roman" w:eastAsia="Calibri" w:hAnsi="Times New Roman" w:cs="Times New Roman"/>
          <w:sz w:val="28"/>
          <w:szCs w:val="28"/>
        </w:rPr>
        <w:t>____ А.Р.</w:t>
      </w:r>
      <w:r w:rsidR="005F6423" w:rsidRPr="005F64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6423">
        <w:rPr>
          <w:rFonts w:ascii="Times New Roman" w:eastAsia="Calibri" w:hAnsi="Times New Roman" w:cs="Times New Roman"/>
          <w:sz w:val="28"/>
          <w:szCs w:val="28"/>
        </w:rPr>
        <w:t>Базилевич</w:t>
      </w:r>
    </w:p>
    <w:p w14:paraId="3C581039" w14:textId="77777777" w:rsidR="0021150B" w:rsidRPr="005F6423" w:rsidRDefault="0021150B" w:rsidP="0021150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423">
        <w:rPr>
          <w:rFonts w:ascii="Times New Roman" w:eastAsia="Calibri" w:hAnsi="Times New Roman" w:cs="Times New Roman"/>
          <w:sz w:val="28"/>
          <w:szCs w:val="28"/>
        </w:rPr>
        <w:t>(подпись, дата)</w:t>
      </w:r>
    </w:p>
    <w:p w14:paraId="19733779" w14:textId="77777777" w:rsidR="0021150B" w:rsidRPr="006F2CB6" w:rsidRDefault="0021150B" w:rsidP="0021150B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63927272" w14:textId="77777777" w:rsidR="00A3654A" w:rsidRPr="00524B85" w:rsidRDefault="00A3654A" w:rsidP="0021150B">
      <w:pPr>
        <w:rPr>
          <w:rFonts w:ascii="Times New Roman" w:eastAsiaTheme="minorHAnsi" w:hAnsi="Times New Roman" w:cs="Times New Roman"/>
          <w:sz w:val="28"/>
          <w:szCs w:val="28"/>
        </w:rPr>
      </w:pPr>
    </w:p>
    <w:p w14:paraId="043D5882" w14:textId="77777777" w:rsidR="00A3654A" w:rsidRDefault="00A3654A" w:rsidP="0021150B">
      <w:pPr>
        <w:rPr>
          <w:rFonts w:ascii="Times New Roman" w:eastAsiaTheme="minorHAnsi" w:hAnsi="Times New Roman" w:cs="Times New Roman"/>
          <w:sz w:val="28"/>
          <w:szCs w:val="28"/>
        </w:rPr>
      </w:pPr>
    </w:p>
    <w:p w14:paraId="40792594" w14:textId="77777777" w:rsidR="00A3654A" w:rsidRDefault="00A3654A" w:rsidP="0021150B">
      <w:pPr>
        <w:rPr>
          <w:rFonts w:ascii="Times New Roman" w:eastAsiaTheme="minorHAnsi" w:hAnsi="Times New Roman" w:cs="Times New Roman"/>
          <w:sz w:val="28"/>
          <w:szCs w:val="28"/>
        </w:rPr>
      </w:pPr>
    </w:p>
    <w:p w14:paraId="02A37B02" w14:textId="77777777" w:rsidR="00A3654A" w:rsidRDefault="00A3654A" w:rsidP="0021150B">
      <w:pPr>
        <w:rPr>
          <w:rFonts w:ascii="Times New Roman" w:eastAsiaTheme="minorHAnsi" w:hAnsi="Times New Roman" w:cs="Times New Roman"/>
          <w:sz w:val="28"/>
          <w:szCs w:val="28"/>
        </w:rPr>
      </w:pPr>
    </w:p>
    <w:p w14:paraId="1C424C89" w14:textId="1DEC26C2" w:rsidR="0021150B" w:rsidRDefault="0021150B" w:rsidP="0021150B">
      <w:pPr>
        <w:rPr>
          <w:rFonts w:ascii="Times New Roman" w:hAnsi="Times New Roman" w:cs="Times New Roman"/>
          <w:b/>
        </w:rPr>
      </w:pPr>
    </w:p>
    <w:p w14:paraId="367EDA3E" w14:textId="77777777" w:rsidR="0021150B" w:rsidRPr="005F6423" w:rsidRDefault="0021150B" w:rsidP="00211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423">
        <w:rPr>
          <w:rFonts w:ascii="Times New Roman" w:hAnsi="Times New Roman" w:cs="Times New Roman"/>
          <w:sz w:val="28"/>
          <w:szCs w:val="28"/>
        </w:rPr>
        <w:t>Краснодар</w:t>
      </w:r>
    </w:p>
    <w:p w14:paraId="40F2A373" w14:textId="04510D15" w:rsidR="0021150B" w:rsidRPr="005F6423" w:rsidRDefault="0021150B" w:rsidP="007749E6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423">
        <w:rPr>
          <w:rFonts w:ascii="Times New Roman" w:hAnsi="Times New Roman" w:cs="Times New Roman"/>
          <w:sz w:val="28"/>
          <w:szCs w:val="28"/>
        </w:rPr>
        <w:t>2020</w:t>
      </w:r>
    </w:p>
    <w:p w14:paraId="5D839358" w14:textId="77777777" w:rsidR="00AF5B2C" w:rsidRPr="00AF5B2C" w:rsidRDefault="00AF5B2C" w:rsidP="00AF5B2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14:paraId="1BB86FB0" w14:textId="77777777" w:rsidR="00AF5B2C" w:rsidRPr="00AF5B2C" w:rsidRDefault="00AF5B2C" w:rsidP="00AF5B2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DA168D0" w14:textId="77777777" w:rsidR="00AF5B2C" w:rsidRP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</w:t>
      </w: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</w:t>
      </w:r>
    </w:p>
    <w:p w14:paraId="043EBE0C" w14:textId="68626B5B" w:rsidR="00AF5B2C" w:rsidRP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t>1 Общая характеристика ПАО Сбербанка РФ</w:t>
      </w: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</w:p>
    <w:p w14:paraId="15D1FA39" w14:textId="1AE5A251" w:rsid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Анализ основных финансовых показателей ПАО «Сбербанк России»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9</w:t>
      </w:r>
    </w:p>
    <w:p w14:paraId="69075E20" w14:textId="4735569A" w:rsid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Оценка управления рисками в ПАО «Сбербанк»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12</w:t>
      </w:r>
    </w:p>
    <w:p w14:paraId="2E7129BC" w14:textId="4E508C5E" w:rsidR="00AF5B2C" w:rsidRP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4 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Совершенствование управления рисками в ПАО «Сбербанк»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19</w:t>
      </w:r>
    </w:p>
    <w:p w14:paraId="0030FD39" w14:textId="7BFE66D9" w:rsidR="00AF5B2C" w:rsidRP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Заключение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23</w:t>
      </w:r>
    </w:p>
    <w:p w14:paraId="726F24C8" w14:textId="2EE44303" w:rsidR="00AF5B2C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Список использованных источников</w:t>
      </w:r>
      <w:r w:rsidRPr="00AF5B2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9035B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25</w:t>
      </w:r>
    </w:p>
    <w:p w14:paraId="5BB2C1C0" w14:textId="270C011B" w:rsidR="00F8488B" w:rsidRPr="00F8488B" w:rsidRDefault="00F8488B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Приложение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…………………………………………………………………….27</w:t>
      </w:r>
    </w:p>
    <w:p w14:paraId="6A04F834" w14:textId="77777777" w:rsidR="00F8488B" w:rsidRPr="00AF5B2C" w:rsidRDefault="00F8488B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14:paraId="1D4BD5AA" w14:textId="77777777" w:rsidR="00AF5B2C" w:rsidRPr="00084B41" w:rsidRDefault="00AF5B2C" w:rsidP="00AF5B2C">
      <w:pPr>
        <w:tabs>
          <w:tab w:val="left" w:leader="dot" w:pos="709"/>
          <w:tab w:val="right" w:leader="do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AF5B2C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5CE35C72" w14:textId="57AA9899" w:rsidR="0021150B" w:rsidRPr="007749E6" w:rsidRDefault="00AF5B2C" w:rsidP="00AF5B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95E5AA8" w14:textId="77777777" w:rsidR="0021150B" w:rsidRPr="0021150B" w:rsidRDefault="0021150B" w:rsidP="0021150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791A0" w14:textId="4B448E48" w:rsidR="00C5115C" w:rsidRPr="0021150B" w:rsidRDefault="0021150B" w:rsidP="002115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150B">
        <w:rPr>
          <w:rFonts w:ascii="Times New Roman" w:hAnsi="Times New Roman" w:cs="Times New Roman"/>
          <w:sz w:val="28"/>
          <w:szCs w:val="28"/>
        </w:rPr>
        <w:t>Любая предпринимательская деятельность, как известно, связана с коммерческими рисками, степень которых зависит от способности предпринимателя прогнозировать политическую и экономическую ситуацию, рассчитывать финансовую окупаемость проекта, выбирать партнеров для своей деятельности, быстро реагировать на изменение рынка и принимать эффективные управленческие решения. Однако предусмотреть все неожиданности, сопутствующие предпринимательской деятельности, как правило, невозможно, а потому всегда существует риск убытков или неполучения намеченной прибыли.</w:t>
      </w:r>
    </w:p>
    <w:p w14:paraId="03FA7E32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Главные причины возникновения рисков - это глобализация рынков, ужесточение конкуренции, рост доступности информационных потоков и баз данных, а также усложнение бизнеса. Эти и другие причины действуют на рисковую обстановку двояко. С одной стороны, они увеличивают возможные риски, а с другой - образуют возможности управления ими.</w:t>
      </w:r>
    </w:p>
    <w:p w14:paraId="3BC7FA30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Таким образом, экономическая самостоятельность хозяйствующего субъекта означает и рост возможностей, и нарастание опасностей. Для любой организации, какой бы сферой деятельности она не занималась, управление риском означает выявление, анализ и регулирование тех рисков, которые могут угрожать её имуществу и доходности.</w:t>
      </w:r>
    </w:p>
    <w:p w14:paraId="01D5DBDB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В управлении рисками готовых рецептов нет и быть не может, но, зная основные методы, приёмы и способы решения тех или иных хозяйственных задач, можно добиваться ощутимого успеха в конкретной ситуации.</w:t>
      </w:r>
    </w:p>
    <w:p w14:paraId="046020ED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 xml:space="preserve">Проблема анализа, оценки и управления рисками предприятий является на сегодня одной из центральных проблем в экономике России. Произошедшие в экономике России за последние годы изменения выявили ряд дискуссионных и актуальных проблем, носящих теоретический и </w:t>
      </w:r>
      <w:r w:rsidRPr="00BD190B">
        <w:rPr>
          <w:sz w:val="28"/>
          <w:szCs w:val="28"/>
        </w:rPr>
        <w:lastRenderedPageBreak/>
        <w:t xml:space="preserve">прикладной характер и имеющих чрезвычайно </w:t>
      </w:r>
      <w:proofErr w:type="gramStart"/>
      <w:r w:rsidRPr="00BD190B">
        <w:rPr>
          <w:sz w:val="28"/>
          <w:szCs w:val="28"/>
        </w:rPr>
        <w:t>важное значение</w:t>
      </w:r>
      <w:proofErr w:type="gramEnd"/>
      <w:r w:rsidRPr="00BD190B">
        <w:rPr>
          <w:sz w:val="28"/>
          <w:szCs w:val="28"/>
        </w:rPr>
        <w:t>, для устойчивого функционирования и развития сектора экономики.</w:t>
      </w:r>
    </w:p>
    <w:p w14:paraId="76DBD8B2" w14:textId="43FD8731" w:rsidR="00C5115C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Риски, сопровождающие производственно-хозяйственную и финансово-экономическую деятельность предприятий, обусловлены объективными и постоянно воздействующими факторами внешней и внутренней среды. Это вызывает необходимость разработки механизма управления рисками в тесной взаимосвязи с системой общего менеджмента для осуществления учета, оценки и снижения рисков в процессе деятельности предприятия.</w:t>
      </w:r>
    </w:p>
    <w:p w14:paraId="63F40785" w14:textId="2C6F8222" w:rsidR="00175402" w:rsidRPr="00BD190B" w:rsidRDefault="00175402" w:rsidP="00175402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 xml:space="preserve">Объект исследования </w:t>
      </w:r>
      <w:r w:rsidR="00564859">
        <w:rPr>
          <w:sz w:val="28"/>
          <w:szCs w:val="28"/>
        </w:rPr>
        <w:t>– ПАО «Сбербанк».</w:t>
      </w:r>
    </w:p>
    <w:p w14:paraId="70382F9A" w14:textId="35211152" w:rsidR="00175402" w:rsidRPr="00BD190B" w:rsidRDefault="00175402" w:rsidP="00175402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 xml:space="preserve">Предметом работы является процесс управления </w:t>
      </w:r>
      <w:r w:rsidR="00564859">
        <w:rPr>
          <w:sz w:val="28"/>
          <w:szCs w:val="28"/>
        </w:rPr>
        <w:t xml:space="preserve">коммерческими </w:t>
      </w:r>
      <w:r w:rsidRPr="00BD190B">
        <w:rPr>
          <w:sz w:val="28"/>
          <w:szCs w:val="28"/>
        </w:rPr>
        <w:t>риск</w:t>
      </w:r>
      <w:r w:rsidR="00564859">
        <w:rPr>
          <w:sz w:val="28"/>
          <w:szCs w:val="28"/>
        </w:rPr>
        <w:t>ами.</w:t>
      </w:r>
    </w:p>
    <w:p w14:paraId="6B152920" w14:textId="6B59F9DF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 xml:space="preserve">Целью работы является изучение основ управления </w:t>
      </w:r>
      <w:r w:rsidR="00564859">
        <w:rPr>
          <w:sz w:val="28"/>
          <w:szCs w:val="28"/>
        </w:rPr>
        <w:t xml:space="preserve">коммерческими </w:t>
      </w:r>
      <w:r w:rsidRPr="00BD190B">
        <w:rPr>
          <w:sz w:val="28"/>
          <w:szCs w:val="28"/>
        </w:rPr>
        <w:t>рисками на уровне предприятия.</w:t>
      </w:r>
    </w:p>
    <w:p w14:paraId="25D7A717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Для достижения этой цели выделим следующие задачи:</w:t>
      </w:r>
    </w:p>
    <w:p w14:paraId="5D31D793" w14:textId="0C5F888E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- изучить сущность категории «риск»;</w:t>
      </w:r>
    </w:p>
    <w:p w14:paraId="12B136CE" w14:textId="5878C48F" w:rsidR="00C5115C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- рассмотреть систему и механизм управления рисками</w:t>
      </w:r>
      <w:r w:rsidR="00564859">
        <w:rPr>
          <w:sz w:val="28"/>
          <w:szCs w:val="28"/>
        </w:rPr>
        <w:t xml:space="preserve"> ПАО «Сбербанк»;</w:t>
      </w:r>
    </w:p>
    <w:p w14:paraId="2C19835C" w14:textId="399B39B4" w:rsidR="00564859" w:rsidRPr="00BD190B" w:rsidRDefault="00564859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разработать рекомендации.</w:t>
      </w:r>
    </w:p>
    <w:p w14:paraId="74F203FF" w14:textId="77777777" w:rsidR="00175402" w:rsidRPr="00175402" w:rsidRDefault="00175402" w:rsidP="001754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402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Теоретическую основу исследования составили учебные пособия отечественных и зарубежных авторов.</w:t>
      </w:r>
    </w:p>
    <w:p w14:paraId="039041C8" w14:textId="77777777" w:rsidR="00175402" w:rsidRPr="00175402" w:rsidRDefault="00175402" w:rsidP="001754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402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исследования – изучение литературы, анализ, описание, сравнение, синтез и обобщение.</w:t>
      </w:r>
    </w:p>
    <w:p w14:paraId="503837BF" w14:textId="77777777" w:rsidR="00175402" w:rsidRPr="00175402" w:rsidRDefault="00175402" w:rsidP="001754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5402"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Структура работы. Работа состоит из введения, основной части, заключения и списка источников.</w:t>
      </w:r>
    </w:p>
    <w:p w14:paraId="15606293" w14:textId="77777777" w:rsidR="00256DD1" w:rsidRDefault="00256DD1" w:rsidP="0056485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133D0F" w14:textId="77777777" w:rsidR="00256DD1" w:rsidRDefault="00256DD1" w:rsidP="0056485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59C375" w14:textId="77777777" w:rsidR="00256DD1" w:rsidRDefault="00256DD1" w:rsidP="0056485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6F8824" w14:textId="77777777" w:rsidR="007749E6" w:rsidRDefault="007749E6" w:rsidP="0056485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6C9144" w14:textId="77777777" w:rsidR="00256DD1" w:rsidRDefault="00256DD1" w:rsidP="006F2C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64F662" w14:textId="71E76E88" w:rsidR="00564859" w:rsidRPr="00564859" w:rsidRDefault="00564859" w:rsidP="00AF5B2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3C0E">
        <w:rPr>
          <w:rFonts w:ascii="Times New Roman" w:hAnsi="Times New Roman" w:cs="Times New Roman"/>
          <w:b/>
          <w:sz w:val="28"/>
          <w:szCs w:val="28"/>
        </w:rPr>
        <w:lastRenderedPageBreak/>
        <w:t>1 Общая характеристика ПАО Сбербанка РФ</w:t>
      </w:r>
    </w:p>
    <w:p w14:paraId="664CD9CD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4C8343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>Сбербанк России является крупнейшим банком Российской Федерации и стран СНГ. Учредителем и основным акционером Сбербанка России является Центральный банк Российской Федерации, владеющий 50% уставного капитала плюс одна голосующая акция. Другими акционерами Банка являются международные и российские инвесторы. Обыкновенные и привилегированные акции Банка котируются на российских биржевых площадках с 1996 года. Американские депозитарные расписки (АДР) котируются на Лондонской фондовой бирже, допущены к торгам на Франкфуртской фондовой бирже и на внебиржевом рынке в США.</w:t>
      </w:r>
    </w:p>
    <w:p w14:paraId="6B54697E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Основанный в 1841 году, Сбербанк России сегодня – лидер российского банковского сектора по общему объему активов. Банк является основным кредитором российской экономики и занимает крупнейшую долю на рынке вкладов. По состоянию на 1 января 2013 года на долю Сбербанка приходится 28,9% совокупных банковских активов, 45,7% депозитов физических лиц, 33,6% корпоративных кредитов и 32,7% розничных кредитов. Капитал Сбербанка составляет 1,7 </w:t>
      </w:r>
      <w:proofErr w:type="gramStart"/>
      <w:r w:rsidRPr="004C3C0E">
        <w:rPr>
          <w:rFonts w:ascii="Times New Roman" w:eastAsia="Times New Roman" w:hAnsi="Times New Roman" w:cs="Times New Roman"/>
          <w:sz w:val="28"/>
          <w:szCs w:val="28"/>
        </w:rPr>
        <w:t>трлн</w:t>
      </w:r>
      <w:proofErr w:type="gramEnd"/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 рублей, что соответствует 27,4% совокупного капитала российской банковской системы.</w:t>
      </w:r>
    </w:p>
    <w:p w14:paraId="206003E8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Сбербанк – современный универсальный коммерческий банк, удовлетворяющий потребности различных групп клиентов в широком спектре банковских услуг. Сбербанк России обслуживает физических и юридических лиц, в том числе крупные корпорации, предприятия малого и среднего бизнеса, а также государственные предприятия, субъекты РФ и муниципалитеты. Услугами Сбербанка пользуются более 100 </w:t>
      </w:r>
      <w:proofErr w:type="gramStart"/>
      <w:r w:rsidRPr="004C3C0E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 физических лиц (более 70% населения России) и около 1 млн предприятий (из 4,5 млн зарегистрированных юридических лиц в России).</w:t>
      </w:r>
    </w:p>
    <w:p w14:paraId="58CA3E4E" w14:textId="2425D34B" w:rsidR="00150159" w:rsidRPr="004C3C0E" w:rsidRDefault="00564859" w:rsidP="00256DD1">
      <w:pPr>
        <w:spacing w:after="0" w:line="360" w:lineRule="auto"/>
        <w:ind w:right="4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Банк имеет круглую печать со своим полным фирменным наименованием и сокращенным фирменным наименованием на русском языке, а также указанием места нахождения, штампы и бланки со своим </w:t>
      </w:r>
      <w:r w:rsidRPr="004C3C0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наименованием, собственную эмблему, а также зарегистрированный в установленном порядке знак обслуживания и другие средства визуальной идентификации. Банк является коммерческой организацией. </w:t>
      </w:r>
    </w:p>
    <w:p w14:paraId="48DEB0BD" w14:textId="23EFFD9D" w:rsidR="007749E6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Начата поэтапная консолидация операционных, информационных, административных функций, функций управления рисками. Изменения направлены на четкое разграничение ответственности </w:t>
      </w:r>
      <w:r w:rsidR="00AF5B2C" w:rsidRPr="004C3C0E">
        <w:rPr>
          <w:rFonts w:ascii="Times New Roman" w:eastAsia="Times New Roman" w:hAnsi="Times New Roman" w:cs="Times New Roman"/>
          <w:sz w:val="28"/>
          <w:szCs w:val="28"/>
        </w:rPr>
        <w:t>по конкретным направлениям</w:t>
      </w: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 и выстраивание вертикалей управления по всей структуре Банка. </w:t>
      </w:r>
    </w:p>
    <w:p w14:paraId="46475325" w14:textId="222F1BFA" w:rsidR="00564859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>На рисунке 1 представлена организационная структура Сберегательного банка РФ.</w:t>
      </w:r>
    </w:p>
    <w:p w14:paraId="2EB50EC4" w14:textId="77777777" w:rsidR="006F2CB6" w:rsidRDefault="006F2CB6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043258" w14:textId="77777777" w:rsidR="006F2CB6" w:rsidRPr="004C3C0E" w:rsidRDefault="006F2CB6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4D9858" w14:textId="5501DA19" w:rsidR="00564859" w:rsidRDefault="006F2CB6" w:rsidP="0056485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2C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1D19C1" wp14:editId="1C9681E4">
            <wp:extent cx="4521200" cy="3505200"/>
            <wp:effectExtent l="0" t="0" r="0" b="0"/>
            <wp:docPr id="1" name="Рисунок 1" descr="https://studbooks.net/imag_/4/108049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books.net/imag_/4/108049/image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4D70" w14:textId="77777777" w:rsidR="006F2CB6" w:rsidRPr="004C3C0E" w:rsidRDefault="006F2CB6" w:rsidP="0056485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DA4301" w14:textId="14AAFF1A" w:rsidR="00564859" w:rsidRDefault="00564859" w:rsidP="0056485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>Рисунок 1 – Организационная структура Сбербанка РФ</w:t>
      </w:r>
    </w:p>
    <w:p w14:paraId="004971CE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9FA9CE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В рамках развития международного блока в Банке создан отдел по работе с иностранными инвесторами, в задачи которого входит работа с акционерами и потенциальными инвесторами с целью повышения </w:t>
      </w:r>
      <w:r w:rsidRPr="004C3C0E">
        <w:rPr>
          <w:rFonts w:ascii="Times New Roman" w:eastAsia="Times New Roman" w:hAnsi="Times New Roman" w:cs="Times New Roman"/>
          <w:sz w:val="28"/>
          <w:szCs w:val="28"/>
        </w:rPr>
        <w:lastRenderedPageBreak/>
        <w:t>капитализации и оптимизации стоимости капитала Банка, расширения и диверсификации акционерной базы.</w:t>
      </w:r>
    </w:p>
    <w:p w14:paraId="3441FFA2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Информация о сделках с заинтересованностью в течение года Наблюдательным советом был одобрен ряд сделок, признаваемых в соответствии с действующим российским законодательством, сделками, в совершении которых имеется заинтересованность. Предметами сделок являлись кредиты и кредитные линии, соглашения о </w:t>
      </w:r>
      <w:proofErr w:type="spellStart"/>
      <w:r w:rsidRPr="004C3C0E">
        <w:rPr>
          <w:rFonts w:ascii="Times New Roman" w:eastAsia="Times New Roman" w:hAnsi="Times New Roman" w:cs="Times New Roman"/>
          <w:sz w:val="28"/>
          <w:szCs w:val="28"/>
        </w:rPr>
        <w:t>безакцептном</w:t>
      </w:r>
      <w:proofErr w:type="spellEnd"/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 списании со счетов в рамках договоров кредитования, соглашения с биржей, клиринговой палатой, договора аренды и купли-продажи помещений, выдача гарантий.</w:t>
      </w:r>
    </w:p>
    <w:p w14:paraId="62F8A9C3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>Все сделки с заинтересованностью заключались Сбербанком России в процессе хозяйственной деятельности в рамках лицензии и Устава Банка. Все сделки заключены на рыночных условиях. В целях обеспечения эффективной деятельности Наблюдательного совета, а именно для предварительного рассмотрения наиболее важных вопросов и подготовки рекомендаций по ним, при Наблюдательном совете созданы и несколько лет действуют профильные комитеты. Формирование комитетов из числа членов Наблюдательного совета Банка осуществляется ежегодно, при этом в состав каждого комитета включаются независимые директора.</w:t>
      </w:r>
    </w:p>
    <w:p w14:paraId="78959BB7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Комитет по аудиту осуществляет оценку кандидатов в аудиторы, призван принимать обоснованные и эффективные решения по вопросам </w:t>
      </w:r>
      <w:proofErr w:type="gramStart"/>
      <w:r w:rsidRPr="004C3C0E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 финансово-хозяйственной деятельностью Банка. Состав </w:t>
      </w:r>
      <w:r>
        <w:rPr>
          <w:rFonts w:ascii="Times New Roman" w:eastAsia="Times New Roman" w:hAnsi="Times New Roman" w:cs="Times New Roman"/>
          <w:sz w:val="28"/>
          <w:szCs w:val="28"/>
        </w:rPr>
        <w:t>комитета</w:t>
      </w:r>
      <w:r w:rsidRPr="004C3C0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E83C1AE" w14:textId="77777777" w:rsidR="00564859" w:rsidRPr="004C3C0E" w:rsidRDefault="00564859" w:rsidP="005648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>Комитет по кадрам и вознаграждениям призван способствовать привлечению к управлению Банком высококвалифицированных специалистов и созданию необходимых стимулов для их успешной работы.</w:t>
      </w:r>
    </w:p>
    <w:p w14:paraId="77E24288" w14:textId="77777777" w:rsidR="007749E6" w:rsidRPr="00AF5B2C" w:rsidRDefault="00564859" w:rsidP="00256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C0E">
        <w:rPr>
          <w:rFonts w:ascii="Times New Roman" w:eastAsia="Times New Roman" w:hAnsi="Times New Roman" w:cs="Times New Roman"/>
          <w:sz w:val="28"/>
          <w:szCs w:val="28"/>
        </w:rPr>
        <w:t xml:space="preserve">Комитет по стратегическому планированию призван способствовать повышению эффективности деятельности Банка в долгосрочной перспективе. Выработка принципов и критериев определения размера вознаграждения членов Наблюдательного совета, Президента, Председателя Правления и </w:t>
      </w:r>
      <w:r w:rsidRPr="004C3C0E">
        <w:rPr>
          <w:rFonts w:ascii="Times New Roman" w:eastAsia="Times New Roman" w:hAnsi="Times New Roman" w:cs="Times New Roman"/>
          <w:sz w:val="28"/>
          <w:szCs w:val="28"/>
        </w:rPr>
        <w:lastRenderedPageBreak/>
        <w:t>членов Правления Банка находится в компетенции Комитета по кадрам и вознаграждениям Наблюдательного совета Банка.</w:t>
      </w:r>
    </w:p>
    <w:p w14:paraId="5882D4CB" w14:textId="77777777" w:rsidR="003B5CCD" w:rsidRPr="00AF5B2C" w:rsidRDefault="003B5CCD" w:rsidP="00256D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68FB64" w14:textId="77777777" w:rsidR="00AF5B2C" w:rsidRDefault="00AF5B2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51756E5" w14:textId="76970D17" w:rsidR="007749E6" w:rsidRPr="00AF5B2C" w:rsidRDefault="00AF5B2C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 </w:t>
      </w:r>
      <w:r w:rsidR="007749E6" w:rsidRPr="003B5CCD">
        <w:rPr>
          <w:rFonts w:ascii="Times New Roman" w:eastAsia="Times New Roman" w:hAnsi="Times New Roman" w:cs="Times New Roman"/>
          <w:b/>
          <w:sz w:val="28"/>
          <w:szCs w:val="28"/>
        </w:rPr>
        <w:t>Анализ основных финансовых показателей</w:t>
      </w:r>
      <w:r w:rsidR="003B5CCD" w:rsidRPr="003B5C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49E6" w:rsidRPr="003B5CCD">
        <w:rPr>
          <w:rFonts w:ascii="Times New Roman" w:eastAsia="Times New Roman" w:hAnsi="Times New Roman" w:cs="Times New Roman"/>
          <w:b/>
          <w:sz w:val="28"/>
          <w:szCs w:val="28"/>
        </w:rPr>
        <w:t>ПАО «Сбербанк России»</w:t>
      </w:r>
    </w:p>
    <w:p w14:paraId="2E2A5760" w14:textId="77777777" w:rsidR="003B5CCD" w:rsidRPr="00AF5B2C" w:rsidRDefault="003B5CCD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6D484A" w14:textId="77777777" w:rsidR="007749E6" w:rsidRPr="003B5CCD" w:rsidRDefault="007749E6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CCD">
        <w:rPr>
          <w:rFonts w:ascii="Times New Roman" w:eastAsia="Times New Roman" w:hAnsi="Times New Roman" w:cs="Times New Roman"/>
          <w:sz w:val="28"/>
          <w:szCs w:val="28"/>
        </w:rPr>
        <w:t>По результатам 2018 года на долю ПАО Сбербанк приходится 30,2%</w:t>
      </w:r>
    </w:p>
    <w:p w14:paraId="379113AB" w14:textId="427109EC" w:rsidR="007749E6" w:rsidRPr="00AF5B2C" w:rsidRDefault="007749E6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CCD">
        <w:rPr>
          <w:rFonts w:ascii="Times New Roman" w:eastAsia="Times New Roman" w:hAnsi="Times New Roman" w:cs="Times New Roman"/>
          <w:sz w:val="28"/>
          <w:szCs w:val="28"/>
        </w:rPr>
        <w:t>совокупных банковских активов страны. Ба</w:t>
      </w:r>
      <w:r w:rsidR="004537A2">
        <w:rPr>
          <w:rFonts w:ascii="Times New Roman" w:eastAsia="Times New Roman" w:hAnsi="Times New Roman" w:cs="Times New Roman"/>
          <w:sz w:val="28"/>
          <w:szCs w:val="28"/>
        </w:rPr>
        <w:t>нк является основным кредитором</w:t>
      </w:r>
      <w:r w:rsidR="004537A2" w:rsidRPr="004537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5CCD">
        <w:rPr>
          <w:rFonts w:ascii="Times New Roman" w:eastAsia="Times New Roman" w:hAnsi="Times New Roman" w:cs="Times New Roman"/>
          <w:sz w:val="28"/>
          <w:szCs w:val="28"/>
        </w:rPr>
        <w:t>российской экономики и занимает крупнейшу</w:t>
      </w:r>
      <w:r w:rsidR="004537A2">
        <w:rPr>
          <w:rFonts w:ascii="Times New Roman" w:eastAsia="Times New Roman" w:hAnsi="Times New Roman" w:cs="Times New Roman"/>
          <w:sz w:val="28"/>
          <w:szCs w:val="28"/>
        </w:rPr>
        <w:t>ю долю на рынке вкладов. На его</w:t>
      </w:r>
      <w:r w:rsidR="004537A2" w:rsidRPr="004537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5CCD">
        <w:rPr>
          <w:rFonts w:ascii="Times New Roman" w:eastAsia="Times New Roman" w:hAnsi="Times New Roman" w:cs="Times New Roman"/>
          <w:sz w:val="28"/>
          <w:szCs w:val="28"/>
        </w:rPr>
        <w:t>долю приходится 44,9% вкладов населения, 23</w:t>
      </w:r>
      <w:r w:rsidR="004537A2">
        <w:rPr>
          <w:rFonts w:ascii="Times New Roman" w:eastAsia="Times New Roman" w:hAnsi="Times New Roman" w:cs="Times New Roman"/>
          <w:sz w:val="28"/>
          <w:szCs w:val="28"/>
        </w:rPr>
        <w:t>,7% кредитов физическим лицам и</w:t>
      </w:r>
      <w:r w:rsidR="004537A2" w:rsidRPr="004537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5CCD">
        <w:rPr>
          <w:rFonts w:ascii="Times New Roman" w:eastAsia="Times New Roman" w:hAnsi="Times New Roman" w:cs="Times New Roman"/>
          <w:sz w:val="28"/>
          <w:szCs w:val="28"/>
        </w:rPr>
        <w:t>32</w:t>
      </w:r>
      <w:r w:rsidR="003B5CCD" w:rsidRPr="003B5CCD">
        <w:rPr>
          <w:rFonts w:ascii="Times New Roman" w:eastAsia="Times New Roman" w:hAnsi="Times New Roman" w:cs="Times New Roman"/>
          <w:sz w:val="28"/>
          <w:szCs w:val="28"/>
        </w:rPr>
        <w:t xml:space="preserve">,7% кредитов юридическим лицам. </w:t>
      </w:r>
    </w:p>
    <w:p w14:paraId="6F63F5E4" w14:textId="31EC491F" w:rsid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2018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собственных средств в абсолютном выражении 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ставили 3800 млрд. руб. В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относительном выражении это составляет 113%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аналогичному показателю 2017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года и 134% к аналогичному показателю 2018 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да. Данный рост был обеспечен в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основном за счет таких показателей, как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распределенная прибыль (+17%) и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неиспользованная прибыль (+20%).</w:t>
      </w:r>
    </w:p>
    <w:p w14:paraId="7ACF0590" w14:textId="14B20ABF" w:rsid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Если говорить о финансовых результатах, то важно отметить, что по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состоянию на декабрь 2018 году ПАО Сбе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рбанк заработал рекордную чистую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 xml:space="preserve">прибыль,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составила 811 млрд. руб. В целом по итогам 2018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года ПАО Сбербанк заработал чистой прибыли боле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811 млрд. руб., что составило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львиную долю всей прибыли банковского сектора страны.</w:t>
      </w:r>
    </w:p>
    <w:p w14:paraId="1460CC30" w14:textId="7124539A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>В 2016 г. получению прибыли способствовали проводимые банком операции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по привлечению и размещению средств (сумм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чистого дохода после создания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резервов 1 113 674 492 млрд. руб.);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перации с иностранной валютой и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драгоценными металлами (сумма чистого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дохода 50 566 489 млрд. руб.);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комиссионные операции (сумма чистого дохода 316 918 331 млрд. руб.).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>Убыточными оказались операции, связанные с инвестиционной деятельностью (с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ценными бумагами и вкладами в капитал других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юридических лиц (сумма чистого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убытка 61 млрд. руб.).</w:t>
      </w:r>
      <w:proofErr w:type="gramEnd"/>
    </w:p>
    <w:p w14:paraId="172BF1AA" w14:textId="3DC9426E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>В 2017 г. получению прибыли способствовали проводимые банком операции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по привлечению и размещению средств (сумм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чистого дохода после создания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резервов 1 183 млрд. руб.); операции, связанные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инвестиционной деятельностью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 xml:space="preserve">(с ценными бумагами и вкладами в капитал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lastRenderedPageBreak/>
        <w:t>других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юридических лиц (сумма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чистого дохода 51 млрд. руб.); операции с ино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странной валютой и драгоценными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металлами (сумма чистого дохода 26 млрд. руб.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комиссионные операции (сумма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чистого дохода 363 682 193 млрд. руб.).</w:t>
      </w:r>
    </w:p>
    <w:p w14:paraId="26DC67BC" w14:textId="75842F08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 xml:space="preserve">В 2018 г. получению прибыли способствовали 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проводимые банком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операции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по привлечению и размещению средств (сумм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чистого дохода после создания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резервов 1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177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млрд. руб.); операции, связанные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инвестиционной деятельностью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(с ценными бумагами и вкладами в капита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других юридических лиц (сумма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чистого дохода 107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млрд. руб.); операции с ино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странной валютой и драгоценными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металлами (сумма чистого дохода 24 млрд. руб.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комиссионные операции (сумма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чистого дохода 433 млрд. руб.).</w:t>
      </w:r>
    </w:p>
    <w:p w14:paraId="2FC8A6AB" w14:textId="5D33A06F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В итоге сумма финансового результата от проведения кредитно-депозитных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операций увеличилась на 63 млрд. руб. (темп изме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нения +5,66%) за 2016-2018 гг.,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что положительно характеризует рассматривае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мый аспект формирования чистого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финансового результата банка.</w:t>
      </w:r>
    </w:p>
    <w:p w14:paraId="4BAFAFEE" w14:textId="64DB0D25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>Сумма финансового результата от инвестиционных операций (с ценными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бумагами и вкладами в капиталы других лиц) увел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ичилась на 168 млрд. руб. (темп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изменения +276,59% за 2016-2018 гг., что положительно характеризует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рассматриваемый аспект формирования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чистого финансового 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>результата банка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2F886E06" w14:textId="1D3CB6A9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Сумма финансового результата от операций с иностранной валютой 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драгоценными металлами сократилась на 27млрд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руб. (темп изменения -52,51%)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за 2016-2018 гг., что негативно характеризует рассматриваемый аспект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формирования чистого финансового результата банка.</w:t>
      </w:r>
    </w:p>
    <w:p w14:paraId="1FF1A191" w14:textId="08F3F34C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ма финансового результата от проведения банком комиссионных</w:t>
      </w:r>
    </w:p>
    <w:p w14:paraId="09D72A59" w14:textId="6D0B3C31" w:rsidR="008455A4" w:rsidRPr="008455A4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операций увеличилась на 116 млрд. руб. (темп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менения = +36,65%) за 2016-2018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гг., что положительно характеризует расс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матриваемый аспект формирования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чистого финансового результата банка.</w:t>
      </w:r>
    </w:p>
    <w:p w14:paraId="23637B22" w14:textId="77777777" w:rsid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 xml:space="preserve">Сумма прочих операционных доходов увеличилась на 31 млрд. руб. </w:t>
      </w:r>
    </w:p>
    <w:p w14:paraId="3925CA2D" w14:textId="38DCEE9F" w:rsidR="008455A4" w:rsidRPr="008455A4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(темп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изменения +91,62%) за 2016-2018 гг., что положительно характеризует</w:t>
      </w:r>
    </w:p>
    <w:p w14:paraId="00CBFF34" w14:textId="4EBDB28D" w:rsidR="008455A4" w:rsidRPr="008455A4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рассматриваемый аспект формирования чистого финансового результата банка.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Сумма операционных расходов сократилась на 4 млрд. руб. (темп изменения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-0,59%) за 2016-2018 гг., что позитивно харак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теризует рассматриваемый аспект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формирования чистого финансового результата банка.</w:t>
      </w:r>
    </w:p>
    <w:p w14:paraId="7B0A89A9" w14:textId="0F54312A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Кроме того, сумма резерва по прочим потерям сократилась на 2млрд. руб.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>(темп изменения -5,59%) за 2016-2018 гг., что негативно характеризует</w:t>
      </w:r>
    </w:p>
    <w:p w14:paraId="5E500E38" w14:textId="5DFBF187" w:rsidR="008455A4" w:rsidRPr="008455A4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рассматриваемый аспект формирования чистого финансового результата банка.</w:t>
      </w:r>
    </w:p>
    <w:p w14:paraId="403E5947" w14:textId="77777777" w:rsidR="008455A4" w:rsidRPr="008455A4" w:rsidRDefault="008455A4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Под влиянием всех этих факторов сумма прибыли до налогообложения</w:t>
      </w:r>
    </w:p>
    <w:p w14:paraId="4FB07957" w14:textId="1D09FE0A" w:rsidR="008455A4" w:rsidRPr="008455A4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увеличилась на 354 млрд. руб. (темп изменения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+54,70%) за 2016-2018 гг., что </w:t>
      </w:r>
      <w:r w:rsidRPr="008455A4">
        <w:rPr>
          <w:rFonts w:ascii="Times New Roman" w:eastAsia="Times New Roman" w:hAnsi="Times New Roman" w:cs="Times New Roman"/>
          <w:sz w:val="28"/>
          <w:szCs w:val="28"/>
        </w:rPr>
        <w:t xml:space="preserve">позитивно характеризует динамику изучаемого показателя </w:t>
      </w:r>
      <w:proofErr w:type="gramStart"/>
      <w:r w:rsidRPr="008455A4">
        <w:rPr>
          <w:rFonts w:ascii="Times New Roman" w:eastAsia="Times New Roman" w:hAnsi="Times New Roman" w:cs="Times New Roman"/>
          <w:sz w:val="28"/>
          <w:szCs w:val="28"/>
        </w:rPr>
        <w:t>финансовых</w:t>
      </w:r>
      <w:proofErr w:type="gramEnd"/>
    </w:p>
    <w:p w14:paraId="7F70EB0D" w14:textId="3ABD7004" w:rsidR="007749E6" w:rsidRPr="007749E6" w:rsidRDefault="008455A4" w:rsidP="00AF5B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5A4">
        <w:rPr>
          <w:rFonts w:ascii="Times New Roman" w:eastAsia="Times New Roman" w:hAnsi="Times New Roman" w:cs="Times New Roman"/>
          <w:sz w:val="28"/>
          <w:szCs w:val="28"/>
        </w:rPr>
        <w:t>результатов кредитной организации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>Н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а протяжении всего анализируемого периода банк работал,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получая прибыль до налогообложения. Чистый финансовый результат – это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финансовый результат за вычетом налога на прибыль. На протяжении всего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анализируемого периода банк работал, получая положительный чистый</w:t>
      </w:r>
      <w:r w:rsidR="00AF5B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финансовый результат (чистую прибыль). В 2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016 г. чистая прибыль составила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499млрд. руб.; в 2017 г. чистая прибыль – 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654млрд. руб. (темп изменения =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+31,16% по сравнению с предыдущим годом); в 2018 г. чистая прибыль – 811млрд.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руб. (темп изменения = +19,68% по сравнению с предыдущим годом). В 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итоге в 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целом за рассматриваемый период сумма</w:t>
      </w:r>
      <w:r w:rsidR="00DE436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чистого финансового результата увеличилась на 56,97</w:t>
      </w:r>
      <w:r w:rsidR="00DE436E" w:rsidRPr="00DE436E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14:paraId="5D4909BA" w14:textId="77777777" w:rsidR="00AF5B2C" w:rsidRDefault="00AF5B2C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br w:type="page"/>
      </w:r>
    </w:p>
    <w:p w14:paraId="2A43C552" w14:textId="121F7E9D" w:rsidR="00564859" w:rsidRPr="00AE2EBA" w:rsidRDefault="00AF5B2C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3</w:t>
      </w:r>
      <w:r w:rsidR="00150159" w:rsidRPr="00150159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Оценка управления рискам</w:t>
      </w:r>
      <w:r w:rsidR="00256DD1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и в </w:t>
      </w:r>
      <w:r w:rsidR="00150159" w:rsidRPr="00150159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ПАО «Сбербанк»</w:t>
      </w:r>
    </w:p>
    <w:p w14:paraId="29F652FA" w14:textId="77777777" w:rsidR="007749E6" w:rsidRPr="00AE2EBA" w:rsidRDefault="007749E6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573540C3" w14:textId="06253F94" w:rsidR="00150159" w:rsidRPr="00150159" w:rsidRDefault="00150159" w:rsidP="00AF5B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обеспечения устойчивости и эффективности работы в ПАО «Сбербанк» функционирует комплексная система управления основными банковскими рисками (кредитным, рыночным, операционным и риском ликвидности), призванная обеспечить идентификацию, оценку,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лимитирование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принимаемых Банком рисков, контроль их объема и структуры.</w:t>
      </w:r>
    </w:p>
    <w:p w14:paraId="3102553A" w14:textId="379AFA0F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Процессы управления рисками внедряются последовательно. Целевое состояние системы управления рисками, полностью соответствующее основным требованиям Банка России и рекомендациям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Базельского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комитета, планируется достигнуть в 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году.</w:t>
      </w:r>
    </w:p>
    <w:p w14:paraId="418C6A7C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Список существенных рисков Группы ежегодно актуализируется. Функции управления всеми существенными рисками распределены среди комитетов Правления ПАО «Сбербанк». Управление рисками на интегрированном уровне осуществляют Комитеты по рискам Группы, Правление и Наблюдательный Совет Банка.</w:t>
      </w:r>
    </w:p>
    <w:p w14:paraId="42DDFDC6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Банк придает особую важность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риск-культуре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одной из важнейших систем, обеспечивающих устойчивое развитие в постоянно меняющихся условиях. Риск-культура является частью корпоративной культуры Сбербанка. Это совокупность знаний, ценностей, принципов и убеждений в сфере управления рисками, которые формируют коллективную способность Банка идентифицировать, анализировать, открыто обсуждать и реагировать на существующие и будущие риски. Риск-культура дополняет существующие в Банке формальные механизмы и является неотъемлемой частью системы интегрированного управления рисками. Банк уделяет особое внимание поведению сотрудников как практическому проявлению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риск-культуры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ПАО «Сбербанк» сформулированы модели поведения, которые являются целевыми для всех сотрудников независимо от их должности с точки зрения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риск-культуры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95D6FE4" w14:textId="2F6D093E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Цель управления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оммерческими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рисками - определить и обеспечить уровень риска, необходимый для обеспечения устойчивого развития Группы, определенный стратегией развития банковской Группы и макроэкономическими параметрами.</w:t>
      </w:r>
    </w:p>
    <w:p w14:paraId="41A9B1C3" w14:textId="2162E649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Задачи Группы при управлении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оммерческим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и рисками:</w:t>
      </w:r>
    </w:p>
    <w:p w14:paraId="5C06D35C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реализовать системный подход, оптимизировать отраслевую, региональную и продуктовую структуру портфеля в целях ограничения уровня кредитного риска;</w:t>
      </w:r>
    </w:p>
    <w:p w14:paraId="7F3738C6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повысить конкурентные преимущества Группы за счет более точной оценки принимаемых рисков и реализации мер по управлению рисками, включая снижение уровня реализованных кредитных рисков;</w:t>
      </w:r>
    </w:p>
    <w:p w14:paraId="43B99F24" w14:textId="24CA47F5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- сохранять устойчивость при внедрении новых, в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. более сложных продуктов.</w:t>
      </w:r>
    </w:p>
    <w:p w14:paraId="35C698AF" w14:textId="4CE53A04" w:rsidR="007749E6" w:rsidRDefault="00150159" w:rsidP="00AF5B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Группой применяются следующие методы управления рисками:</w:t>
      </w:r>
    </w:p>
    <w:p w14:paraId="7F343B65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предупреждение риска до проведения операции;</w:t>
      </w:r>
    </w:p>
    <w:p w14:paraId="1E20C4A3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планирование уровня риска через оценку уровня ожидаемых потерь;</w:t>
      </w:r>
    </w:p>
    <w:p w14:paraId="571EB256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ограничение кредитного риска путем установления лимитов;</w:t>
      </w:r>
    </w:p>
    <w:p w14:paraId="1F974E88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структурирование сделок;</w:t>
      </w:r>
    </w:p>
    <w:p w14:paraId="3F8E9E09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управление обеспечением сделок;</w:t>
      </w:r>
    </w:p>
    <w:p w14:paraId="3CE94609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применение системы полномочий при принятии решений;</w:t>
      </w:r>
    </w:p>
    <w:p w14:paraId="4ED61EFD" w14:textId="1B523C8A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мониторинг и контроль уровня риска.</w:t>
      </w:r>
    </w:p>
    <w:p w14:paraId="076FA3AF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Оценка кредитного риска проводится в целом по ПАО «Сбербанк» и по отдельным портфелям активов, а также в разрезе отдельных контрагентов, стран, регионов и отраслей. Оценка основана на статистических моделях количественной оценки кредитного риска.</w:t>
      </w:r>
    </w:p>
    <w:p w14:paraId="60E726E5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В Группе создана единая система внутренних рейтингов. В ее основе -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экономико- математические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модели оценки вероятности дефолта контрагентов и сделок. Модели периодически пересматриваются на основании накопленных статистических данных.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Обязательной оценке подлежат факторы риска, связанные с финансовым состоянием контрагента и 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его динамикой, структурой собственности, деловой репутацией, кредитной историей, системой управления денежными потоками и финансовыми рисками, информационной прозрачностью, позицией клиента в отрасли и регионе, наличием поддержки со стороны органов государственной власти и материнских компаний, а также со стороны Группы, в которую входит заемщик.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основании анализа этих факторов оценивается вероятность дефолта контрагентов/сделок и присваивается рейтинг.</w:t>
      </w:r>
    </w:p>
    <w:p w14:paraId="4D1F21C0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Оценка индивидуальных рисков контрагентов по сделкам проводится:</w:t>
      </w:r>
    </w:p>
    <w:p w14:paraId="40B4B5A0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по корпоративным клиентам, банкам, субъектам малого бизнеса, странам, субъектам Российской Федерации, муниципальным образованиям, страховым и лизинговым компаниям: на основе системы кредитных рейтингов, а также путем построения моделей прогнозных денежных потоков или иных важных показателей;</w:t>
      </w:r>
    </w:p>
    <w:p w14:paraId="1EE5FF90" w14:textId="2E1A4423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- по физическим лицам и субъектам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микробизнеса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: на основе оценки платежеспособности контрагента в соответствии с правилами Банка и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экспресс-оценкой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889F054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Ограничение риска и контроль ожидаемых потерь вследствие дефолта заемщика осуществляются при помощи системы лимитов, имеющейся для каждой линии бизнеса Объем лимита определяется уровнем риска заемщика, который зависит от его финансового положения и других показателей: внешнее влияние, качество управления, оценка деловой репутации. Отдельно выделяются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страновые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лимиты. В 2014 году в Банке внедрена автоматизированная система управления лимитами кредитного риска. Запланировано ее тиражирование на дочерние банки - участники Группы.</w:t>
      </w:r>
    </w:p>
    <w:p w14:paraId="5ED5CF7C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Группа контролирует концентрацию крупных кредитных рисков, соблюдение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пруденциальных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требований, прогнозирует уровень кредитных рисков. Для этого ведется список групп связанных заемщиков на уровне участника Группы, устанавливаются лимиты на заемщиков, портфель анализируется в разрезе сегментов и продуктов.</w:t>
      </w:r>
    </w:p>
    <w:p w14:paraId="32956BD3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Основным инструментом снижения кредитного риска является наличие обеспечения. Объем принимаемого обеспечения зависит от риска заемщика/сделки и фиксируется в условиях кредитных продуктов. Как один из подходов к хеджированию кредитных рисков Банк применяет Залоговую политику, которая нацелена на повышение качества кредитного портфеля. Качество залога определяется вероятностью получения денежных сре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дств в р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азмере предполагаемой залоговой стоимости при его реализации. Качество залога определяет ряд факторов: ликвидность, достоверность определения стоимости, риск обесценения, подверженность рискам утраты / повреждения, рискам правового характера. </w:t>
      </w:r>
    </w:p>
    <w:p w14:paraId="05840CFD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Оценка стоимости залога производится на основании внутренней экспертной оценки специалистов Группы, оценки независимых оценщиков либо на основании стоимости предмета залога в бухгалтерской отчетности заемщика с применением дисконта. Поручительство платежеспособных юридических лиц в качестве имущественного обеспечения требует такой же оценки рисков поручителя, как и заемщика. ПАО «Сбербанк» проводит регулярный мониторинг залоговых активов с целью обеспечения контроля за количественными, качественными и стоимостными параметрами предметов залога, их правовой принадлежностью, условиями хранения и содержания.</w:t>
      </w:r>
    </w:p>
    <w:p w14:paraId="4B85A362" w14:textId="6EBDE195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Периодичность проведения мониторинга определяется: требованиями нормативных актов Банка России; условиями предоставления кредитного продукта; видом обеспечения. Стандартная периодичность мониторинга предусматривает: подтверждение стоимости залогового имущества и контроль страхования ежеквартально; периодичность выездных проверок, контроля права собственности и обременений в зависимости от вида и категории качества актива - 1 раз в квартал / в полугодие / в год.</w:t>
      </w:r>
    </w:p>
    <w:p w14:paraId="60D9D08C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Действующие системы лимитов и полномочий позволяют оптимизировать кредитный процесс и управлять кредитным риском. Каждому территориальному подразделению, банку-участнику Группы 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присваивается профиль риска, определяющий полномочия по принятию решений в зависимости от категории риска заявки.</w:t>
      </w:r>
    </w:p>
    <w:p w14:paraId="074F1297" w14:textId="50C669C9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Банк уделяет пристальное внимание контролю уровня концентрации крупных кредитных рисков. В Банке реализована процедура ежедневного мониторинга крупных кредитных рисков и прогноза соблюдения установленных Банком России требований по нормативам</w:t>
      </w:r>
      <w:r w:rsidR="00C901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(максимальный размер риска на одного Заемщика или группу связанных заемщиков) и Н7 (максимальный размер крупных кредитных рисков). В этих целях осуществляется сопровождение и мониторинг Списка крупных и связанных заемщиков.</w:t>
      </w:r>
    </w:p>
    <w:p w14:paraId="431659E9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управления риском ликвидности - обеспечение способности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Банка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безусловно и своевременно выполнять все свои обязательства перед клиентами и контрагентами при соблюдении регулятивных требований Банка России в сфере управления риском ликвидности как в условиях нормального ведения бизнеса, так и в кризисных ситуациях. Ключевым документом, на основании которого происходит оценка, контроль и управление риском ликвидности, является «Политика ОАО «Сбербанк России» по управлению риском ликвидности». При управлении риском ликвидности Банк выделяет риски нормативной, физической и структурной ликвидности.</w:t>
      </w:r>
    </w:p>
    <w:p w14:paraId="1DB16E5E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Благодаря гибкой процентной политике, высокой диверсификации пассивной базы и низкой зависимости от внешних привлечений Сбербанк сохранил достаточный объем рублевой и валютной ликвидности на протяжении всего года. Банку удалось сократить объем краткосрочных заимствований средств Банка России, заменив их средне- и долгосрочными привлечениями, и тем самым улучшить сложившийся профиль ликвидности.</w:t>
      </w:r>
    </w:p>
    <w:p w14:paraId="74A611A6" w14:textId="3F2B259E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Процентный и валютный риски банковской книги - риски возникновения у Банка финансовых потерь по позициям банковской книги вследствие неблагоприятного изменения процентных ставок, иностранных валют и цен драгоценных металлов.</w:t>
      </w:r>
    </w:p>
    <w:p w14:paraId="13573865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Основными целями управления данными видами риска являются:</w:t>
      </w:r>
    </w:p>
    <w:p w14:paraId="26A9837F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минимизация потенциальных потерь вследствие реализации процентного и валютного рисков;</w:t>
      </w:r>
    </w:p>
    <w:p w14:paraId="14281CAB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соответствие требованиям регуляторов;</w:t>
      </w:r>
    </w:p>
    <w:p w14:paraId="7EBD51FB" w14:textId="61E08DAE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оптимизация соотношения риска и доходности</w:t>
      </w:r>
    </w:p>
    <w:p w14:paraId="666527C8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Банк принимает на себя процентный риск, связанный с влиянием колебаний рыночных процентных ставок на потоки денежных средств. Процентный риск банковской книги включает:</w:t>
      </w:r>
    </w:p>
    <w:p w14:paraId="3F723B6E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процентный риск, возникающий из-за несовпадения сроков погашения (пересмотра процентных ставок) активов и пассивов, чувствительных к изменению процентных ставок, при параллельном сдвиге, изменении наклона и формы кривой доходности;</w:t>
      </w:r>
    </w:p>
    <w:p w14:paraId="602DD0A7" w14:textId="77777777" w:rsid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базисный риск, возникающий из-за несовпадения степени изменения процентных ставок по активам и обязательствам, чувствительным к изменению процентных ставок, со схожим сроком до погашения (сроком пересмотра процентных ставок);</w:t>
      </w:r>
    </w:p>
    <w:p w14:paraId="7C6C9594" w14:textId="545F1ECF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- риск досрочного погашения (пересмотра процентных ставок) активов и обязательств, чувствительных к изменению процентных ставок.</w:t>
      </w:r>
    </w:p>
    <w:p w14:paraId="6CB34E24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оценки процентного риска используется стандартизированный шок в соответствии с рекомендациями </w:t>
      </w:r>
      <w:proofErr w:type="spell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Базельского</w:t>
      </w:r>
      <w:proofErr w:type="spell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комитета. Прогнозирование возможных изменений процентных ставок выполняется отдельно по рублевой позиции и агрегировано по валютной позиции. Шок процентных ставок рассчитывается как 1% и 99% квантили распределения изменения среднегодовой процентной ставки, полученного при помощи метода исторических симуляций по данным не менее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чем за последние 5 лет. В качестве базовой ставки для оценки шока процентных ставок в рублях используется индикативная ставка по рублевым процентным свопам сроком на 1 год (RUB IRS 1Y), а также LIBOR 3M для валютной позиции.</w:t>
      </w:r>
    </w:p>
    <w:p w14:paraId="35C9B330" w14:textId="1D54C0C8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Банк подвержен валютному риску вследствие наличия открытых валютных позиций. Главными источниками ОВП банковской книги являются: операции кредитования и привлечения в иностранных валютах и </w:t>
      </w: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доходы, полученные в иностранных валютах. Валютный риск реализуется вследствие неблагоприятного изменения курсов валют.</w:t>
      </w:r>
    </w:p>
    <w:p w14:paraId="15EC18E0" w14:textId="77777777" w:rsidR="00150159" w:rsidRPr="00150159" w:rsidRDefault="00150159" w:rsidP="0015015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Банк ежедневно консолидирует </w:t>
      </w:r>
      <w:proofErr w:type="gramStart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>совокупную</w:t>
      </w:r>
      <w:proofErr w:type="gramEnd"/>
      <w:r w:rsidRPr="0015015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ОВП и управляет открытой валютной позицией банковской книги с целью уменьшения валютного риска. В качестве основных инструментов управления валютными рисками Банк использует обменные операции расчетами СПОТ, форвардные контракты, а также фьючерсные контракты на доллар США, обращающиеся на ММВБ.</w:t>
      </w:r>
    </w:p>
    <w:p w14:paraId="1FF34089" w14:textId="5F461A21" w:rsidR="00564859" w:rsidRDefault="005648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653DE8" w14:textId="57747439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9B980F" w14:textId="512539C3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25BE2A" w14:textId="6EFD204E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CD4260" w14:textId="00784867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7E3DB5" w14:textId="03121BA1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BAAA6B" w14:textId="2D9F5950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3210C7" w14:textId="7CBA7D67" w:rsidR="00256DD1" w:rsidRDefault="00256DD1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9D3D4" w14:textId="0BF025CA" w:rsidR="00256DD1" w:rsidRDefault="00256DD1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E66B96" w14:textId="77777777" w:rsidR="00256DD1" w:rsidRDefault="00256DD1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561AE5" w14:textId="225296F7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76380D" w14:textId="33513F03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EB2C55" w14:textId="2F109557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3E09FE" w14:textId="29121184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36D04B" w14:textId="12E190D6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7E0F12" w14:textId="6915219E" w:rsidR="00150159" w:rsidRDefault="00150159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F3C139" w14:textId="20BA0B9F" w:rsidR="00150159" w:rsidRDefault="00150159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5C9A19" w14:textId="27906190" w:rsidR="00256DD1" w:rsidRDefault="00256DD1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7F6247" w14:textId="3DEA49AF" w:rsidR="00256DD1" w:rsidRDefault="00256DD1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019435" w14:textId="77777777" w:rsidR="00AE2EBA" w:rsidRDefault="00AE2EBA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9F61B0" w14:textId="77777777" w:rsidR="00AE2EBA" w:rsidRDefault="00AE2EBA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BF5FB9" w14:textId="77777777" w:rsidR="00256DD1" w:rsidRDefault="00256DD1" w:rsidP="001501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2E663" w14:textId="1979E9E6" w:rsidR="00BD190B" w:rsidRDefault="00AF5B2C" w:rsidP="007749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</w:t>
      </w:r>
      <w:r w:rsidR="00BD190B" w:rsidRPr="00BD19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56DD1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Совершенствование управления </w:t>
      </w:r>
      <w:r w:rsidR="00BD190B" w:rsidRPr="00BD190B">
        <w:rPr>
          <w:rFonts w:ascii="Times New Roman" w:eastAsia="Times New Roman" w:hAnsi="Times New Roman" w:cs="Times New Roman"/>
          <w:b/>
          <w:sz w:val="28"/>
          <w:szCs w:val="28"/>
        </w:rPr>
        <w:t>риск</w:t>
      </w:r>
      <w:r w:rsidR="00256DD1">
        <w:rPr>
          <w:rFonts w:ascii="Times New Roman" w:eastAsia="Times New Roman" w:hAnsi="Times New Roman" w:cs="Times New Roman"/>
          <w:b/>
          <w:sz w:val="28"/>
          <w:szCs w:val="28"/>
        </w:rPr>
        <w:t>ами в</w:t>
      </w:r>
      <w:r w:rsidR="00BD190B" w:rsidRPr="00BD190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64859">
        <w:rPr>
          <w:rFonts w:ascii="Times New Roman" w:eastAsia="Times New Roman" w:hAnsi="Times New Roman" w:cs="Times New Roman"/>
          <w:b/>
          <w:sz w:val="28"/>
          <w:szCs w:val="28"/>
        </w:rPr>
        <w:t>ПАО «Сбербанк»</w:t>
      </w:r>
    </w:p>
    <w:p w14:paraId="5A6D436C" w14:textId="77777777" w:rsidR="00AB143B" w:rsidRPr="00BD190B" w:rsidRDefault="00AB143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C06FCF" w14:textId="118C5EB1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Процесс построения комплексной систе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мы управления рисками 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ПАО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СБЕРБАНК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>» нужно начать с формирования приказом генерального директора рабочей группы в целях разработки следующих документов:</w:t>
      </w:r>
    </w:p>
    <w:p w14:paraId="6D8E2F6A" w14:textId="134BA44E" w:rsidR="00BD190B" w:rsidRPr="00BD190B" w:rsidRDefault="00AB143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190B" w:rsidRPr="00BD190B">
        <w:rPr>
          <w:rFonts w:ascii="Times New Roman" w:eastAsia="Times New Roman" w:hAnsi="Times New Roman" w:cs="Times New Roman"/>
          <w:sz w:val="28"/>
          <w:szCs w:val="28"/>
        </w:rPr>
        <w:t>политики предприятия в области управления рисками</w:t>
      </w:r>
      <w:r w:rsidR="0015015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2BDDFD6" w14:textId="6D7C495C" w:rsidR="00BD190B" w:rsidRPr="00BD190B" w:rsidRDefault="00AB143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190B" w:rsidRPr="00BD190B">
        <w:rPr>
          <w:rFonts w:ascii="Times New Roman" w:eastAsia="Times New Roman" w:hAnsi="Times New Roman" w:cs="Times New Roman"/>
          <w:sz w:val="28"/>
          <w:szCs w:val="28"/>
        </w:rPr>
        <w:t>карты рисков предприятия по основным бизнес-процессам</w:t>
      </w:r>
      <w:r w:rsidR="0015015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940BEA0" w14:textId="77777777" w:rsidR="00BD190B" w:rsidRPr="00BD190B" w:rsidRDefault="00AB143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190B" w:rsidRPr="00BD190B">
        <w:rPr>
          <w:rFonts w:ascii="Times New Roman" w:eastAsia="Times New Roman" w:hAnsi="Times New Roman" w:cs="Times New Roman"/>
          <w:sz w:val="28"/>
          <w:szCs w:val="28"/>
        </w:rPr>
        <w:t>стандарта предприятия по управлению рисками, который должен включать единую терминологию при оценке и управлении рисками, перечень методологий качественной и количественной оценки рисков в соответствии с картой рисков, порядок установления лимитов по выявленным рискам, систему контроля показателей риска, регламенты взаимодействия подразделений при управлении рисками.</w:t>
      </w:r>
    </w:p>
    <w:p w14:paraId="53DDEE92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Состав рабочей группы формируется из ключевых специалистов подразделений по основным бизнес процессам, имеющих опыт и авторитет в компании и специалистов отдела управления рисками.</w:t>
      </w:r>
    </w:p>
    <w:p w14:paraId="04163DD8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ная цель работы рабочей группы 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>- формирование эффективной непрерывно действующей системы выявления, оценки и управления рисками, интегрированной в систему управления предприятия, и позволяющей своевременно предупреждать потенциальные потери и выявлять дополнительные возможности при ведении бизнеса на основе формализованных процедур идентификации, оценки и управления.</w:t>
      </w:r>
    </w:p>
    <w:p w14:paraId="644F4309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Реализация задачи производится под руководством руководителя 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>рабочей группы -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 заместителя генерального директора по стратегическому планированию и собственности. Заместителем руководителя и организатором оперативных совещаний выступал начальник отдела управления рисками.</w:t>
      </w:r>
    </w:p>
    <w:p w14:paraId="4FCB999E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Дополнительной задачей данного проекта также можно назвать дальнейшее продвижение культуры </w:t>
      </w:r>
      <w:proofErr w:type="gramStart"/>
      <w:r w:rsidRPr="00BD190B">
        <w:rPr>
          <w:rFonts w:ascii="Times New Roman" w:eastAsia="Times New Roman" w:hAnsi="Times New Roman" w:cs="Times New Roman"/>
          <w:sz w:val="28"/>
          <w:szCs w:val="28"/>
        </w:rPr>
        <w:t>риск-менеджмента</w:t>
      </w:r>
      <w:proofErr w:type="gramEnd"/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 как единого комплекса мероприятий, доведение до каждого сотрудника основных 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принципов и процедур анализа рисков для более эффективной деятельности при принятии решений.</w:t>
      </w:r>
    </w:p>
    <w:p w14:paraId="50D12B13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Первым этапом работ должна быть разработка единой политики предприятия в области управления рисками. Этот документ в краткой, лаконичной форме должен отражать основные цели и принципы управления рисками. Основой его составления является согласовательный процесс сначала между чле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>нами рабочей группы, затем -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D190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 основными топ-менеджерами.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системы.</w:t>
      </w:r>
    </w:p>
    <w:p w14:paraId="036E483B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Первоначальный вариант политики в области управления рисками должен быть составлен специалистами подразделения по управлению рисками, однако в процессе обсуждения и согласования он должен быть дополнен и усовершенствован. </w:t>
      </w:r>
      <w:proofErr w:type="gramStart"/>
      <w:r w:rsidRPr="00BD190B">
        <w:rPr>
          <w:rFonts w:ascii="Times New Roman" w:eastAsia="Times New Roman" w:hAnsi="Times New Roman" w:cs="Times New Roman"/>
          <w:sz w:val="28"/>
          <w:szCs w:val="28"/>
        </w:rPr>
        <w:t>Политика в области управления рисками помимо вышеназванных целей также позволяет показать готовность менеджеров и собственников предприятия признавать наличие рисков и необходимость управления ими в деятельности компании перед третьими лицами (контрагентами, банкирами, инвесторами, рейтинговыми агентствами, государственными и общественными структурами) и повысить инвестиционную привлекательность компании за счет большей уверенности инвесторов в надежности и непрерывности работы компании.</w:t>
      </w:r>
      <w:proofErr w:type="gramEnd"/>
    </w:p>
    <w:p w14:paraId="38D5A81F" w14:textId="17CA4865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Второй этап работы заключается в формировании единой терминологии по управлению рисками, выявлении всех рисков компании и сос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тавлении Карты рисков 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ПАО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СБЕРБАНК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". Основной проблемой при постановке риск - менеджмента в компании является отсутствие единой терминологии рисков не только на уровне отдельной компании, но и в риск - менеджменте в целом как новой, динамично развивающейся части науки управления. Этот вопрос был решен путем составления членами рабочей группы перечня рисков, их единых определений в рамках компании и 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lastRenderedPageBreak/>
        <w:t>подробных факторов каждого риска. Такой перечень, содержащий виды и факторы рисков, стал основой для формирования анкет в целях проведения качественной оценки рисков. Анкетирование необходимо производить обязательно после подробного инструктажа всех привлеченных экспертов. На качество заполненных анкет может повлиять неправильно подобранный состав экспертов, отсутствие заинтересованности, форма пр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едложенной анкеты. На 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ПАО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r w:rsidR="00564859">
        <w:rPr>
          <w:rFonts w:ascii="Times New Roman" w:eastAsia="Times New Roman" w:hAnsi="Times New Roman" w:cs="Times New Roman"/>
          <w:sz w:val="28"/>
          <w:szCs w:val="28"/>
        </w:rPr>
        <w:t>СБЕРБАНК</w:t>
      </w:r>
      <w:r w:rsidRPr="00BD190B">
        <w:rPr>
          <w:rFonts w:ascii="Times New Roman" w:eastAsia="Times New Roman" w:hAnsi="Times New Roman" w:cs="Times New Roman"/>
          <w:sz w:val="28"/>
          <w:szCs w:val="28"/>
        </w:rPr>
        <w:t>" необходимо выбрать вариант подбора ряда экспертов по каждому бизнес процессу отдельно, формирование анкет и перечень видов и факторов риска формировались также отдельно по каждому бизнес-процессу. Это позволило в большей мере исключить возможность ошибок и неверных оценок рисков специалистами разных направлений других бизнес-процессов, которые не являются для них прозрачными.</w:t>
      </w:r>
    </w:p>
    <w:p w14:paraId="779F78F0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Карта рисков отражает мнение менеджмента компании о рисках и их значимости и отражает первоочередные задачи по управлению ими. Карты рисков, составленные по отдельным бизнес-процессам, дают более детальную оценку рисков и способствуют принятию решений более оперативного уровня.</w:t>
      </w:r>
    </w:p>
    <w:p w14:paraId="3BEF7A8F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D190B">
        <w:rPr>
          <w:rFonts w:ascii="Times New Roman" w:eastAsia="Times New Roman" w:hAnsi="Times New Roman" w:cs="Times New Roman"/>
          <w:sz w:val="28"/>
          <w:szCs w:val="28"/>
        </w:rPr>
        <w:t>Третьим этапом формирования системы управления рисками является разработка основного нормативного документа (регламента, стандарта), регулирующего в компании процесс управления рисками с момента выявления до момента контроля, определения ответственных лиц в компании за процесс управления рисками, процедуры взаимодействия с подразделениями, участвующими в процессе на разных этапах управления рисками, а также процедуры учета и отчетности.</w:t>
      </w:r>
      <w:proofErr w:type="gramEnd"/>
      <w:r w:rsidRPr="00BD190B">
        <w:rPr>
          <w:rFonts w:ascii="Times New Roman" w:eastAsia="Times New Roman" w:hAnsi="Times New Roman" w:cs="Times New Roman"/>
          <w:sz w:val="28"/>
          <w:szCs w:val="28"/>
        </w:rPr>
        <w:t xml:space="preserve"> Стандарт, разработанный специалистами подразделения по управления рисками, с использованием консультаций членов рабочей группы, также содержит набор типовых методов количественной и качественной оценки рисков и основные типовые решения по управлению рисками для использования в подр</w:t>
      </w:r>
      <w:r w:rsidR="00AB143B">
        <w:rPr>
          <w:rFonts w:ascii="Times New Roman" w:eastAsia="Times New Roman" w:hAnsi="Times New Roman" w:cs="Times New Roman"/>
          <w:sz w:val="28"/>
          <w:szCs w:val="28"/>
        </w:rPr>
        <w:t xml:space="preserve">азделениях компании. </w:t>
      </w:r>
    </w:p>
    <w:p w14:paraId="6D3DA506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данными, предлагаемая система управления рисками состоит из трех уровней:</w:t>
      </w:r>
    </w:p>
    <w:p w14:paraId="70F0D8A7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1) первый уровень - совет директоров, ответственных за управление рисками;</w:t>
      </w:r>
    </w:p>
    <w:p w14:paraId="62B47A13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2) второй уровень - подразделения предприятия, осуществляющие управления рисками;</w:t>
      </w:r>
    </w:p>
    <w:p w14:paraId="40BC0B09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3) третий уровень - исполнители, осуществляют оперативный контроль над факторами риска.</w:t>
      </w:r>
    </w:p>
    <w:p w14:paraId="090033D6" w14:textId="77777777" w:rsidR="00BD190B" w:rsidRPr="00BD190B" w:rsidRDefault="00BD190B" w:rsidP="00BD190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90B">
        <w:rPr>
          <w:rFonts w:ascii="Times New Roman" w:eastAsia="Times New Roman" w:hAnsi="Times New Roman" w:cs="Times New Roman"/>
          <w:sz w:val="28"/>
          <w:szCs w:val="28"/>
        </w:rPr>
        <w:t>Все три уровня взаимосвязаны между собой посредством функциональных организационных связей, что обеспечивает взаимосвязь в принимаемых решениях на каждом из уровней управления.</w:t>
      </w:r>
    </w:p>
    <w:p w14:paraId="67D14ADE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321457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434AD0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99D50C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8EEBC7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F7F089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D376EE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868D62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EACB6E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8B2B35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05477B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93E824" w14:textId="77777777" w:rsidR="00BD190B" w:rsidRPr="00BD190B" w:rsidRDefault="00BD190B" w:rsidP="00BD190B">
      <w:pPr>
        <w:pStyle w:val="a8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E2B407" w14:textId="77777777" w:rsidR="00AB143B" w:rsidRDefault="00AB143B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736BC3" w14:textId="77777777" w:rsidR="00AE2EBA" w:rsidRDefault="00AE2EBA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F9F4FA" w14:textId="77777777" w:rsidR="00AE2EBA" w:rsidRDefault="00AE2EBA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37EC31" w14:textId="77777777" w:rsidR="00AE2EBA" w:rsidRDefault="00AE2EBA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6CF7AF" w14:textId="77777777" w:rsidR="00AE2EBA" w:rsidRPr="00175402" w:rsidRDefault="00AE2EBA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302ED0" w14:textId="77777777" w:rsidR="00150159" w:rsidRPr="00175402" w:rsidRDefault="00150159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2F0C41" w14:textId="77777777" w:rsidR="00AB143B" w:rsidRPr="00175402" w:rsidRDefault="00AB143B" w:rsidP="00AB14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F5EE5B" w14:textId="673965CE" w:rsidR="00C5115C" w:rsidRDefault="00AF5B2C" w:rsidP="0017540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14:paraId="3BC6039B" w14:textId="77777777" w:rsidR="00AB143B" w:rsidRPr="00BD190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</w:p>
    <w:p w14:paraId="3685368A" w14:textId="21A4965E" w:rsidR="00C5115C" w:rsidRPr="00BD190B" w:rsidRDefault="00175402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5115C" w:rsidRPr="00BD190B">
        <w:rPr>
          <w:sz w:val="28"/>
          <w:szCs w:val="28"/>
        </w:rPr>
        <w:t>абота посвящена изучению вопроса, который актуален сегодня для многих предприятий - вопросу управления рисками. Риски могут возникнуть и оказывать свое воздействие на любое предприятие, независимо от степени его устойчивости на рынке. Это воздействие, как правило, носит негативный характер и может довести предприятие до кризиса.</w:t>
      </w:r>
    </w:p>
    <w:p w14:paraId="2F8A0ED2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Таким образом, риск - в широком смысле возможность появления обстоятельств, обусловливающих: неуверенность или невозможность получения ожидаемых результатов от реализации поставленной цели; нанесение материального ущерба; опасность валютных потерь и др. Риск - в узком смысле - поддающаяся измерению вероятность понести убытки или упустить выгоду.</w:t>
      </w:r>
    </w:p>
    <w:p w14:paraId="5E675B17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Необоснованный риск, как правило, оказывает отрицательное влияние на качество проекта и его осуществле</w:t>
      </w:r>
      <w:r w:rsidRPr="00BD190B">
        <w:rPr>
          <w:sz w:val="28"/>
          <w:szCs w:val="28"/>
        </w:rPr>
        <w:softHyphen/>
        <w:t>ние. Разработка и п</w:t>
      </w:r>
      <w:r w:rsidR="00AB143B">
        <w:rPr>
          <w:sz w:val="28"/>
          <w:szCs w:val="28"/>
        </w:rPr>
        <w:t xml:space="preserve">ринятие оптимального решения - </w:t>
      </w:r>
      <w:r w:rsidRPr="00BD190B">
        <w:rPr>
          <w:sz w:val="28"/>
          <w:szCs w:val="28"/>
        </w:rPr>
        <w:t>важное условие предупреждения риска. Необоснованный риск в некоторых случаях может соблазнить предпринимателя принять проект к реализации и на первом этапе получить положительный результат.</w:t>
      </w:r>
    </w:p>
    <w:p w14:paraId="3E1E622A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t>В рыночных отношениях процессы производства, потребления, кооперирования, обращения продукции ори</w:t>
      </w:r>
      <w:r w:rsidRPr="00BD190B">
        <w:rPr>
          <w:sz w:val="28"/>
          <w:szCs w:val="28"/>
        </w:rPr>
        <w:softHyphen/>
        <w:t>ентируют предпринимателей на соответствующее пове</w:t>
      </w:r>
      <w:r w:rsidRPr="00BD190B">
        <w:rPr>
          <w:sz w:val="28"/>
          <w:szCs w:val="28"/>
        </w:rPr>
        <w:softHyphen/>
        <w:t>дение в условиях неопределенности и риска. Удачные решения вознаграждают предпринимателя хорошей при</w:t>
      </w:r>
      <w:r w:rsidRPr="00BD190B">
        <w:rPr>
          <w:sz w:val="28"/>
          <w:szCs w:val="28"/>
        </w:rPr>
        <w:softHyphen/>
        <w:t>былью, а неудачные</w:t>
      </w:r>
      <w:proofErr w:type="gramStart"/>
      <w:r w:rsidRPr="00BD190B">
        <w:rPr>
          <w:sz w:val="28"/>
          <w:szCs w:val="28"/>
        </w:rPr>
        <w:t xml:space="preserve"> -- </w:t>
      </w:r>
      <w:proofErr w:type="gramEnd"/>
      <w:r w:rsidRPr="00BD190B">
        <w:rPr>
          <w:sz w:val="28"/>
          <w:szCs w:val="28"/>
        </w:rPr>
        <w:t>банкротством. Эффективная система управления рисками, построенная в интересах компан</w:t>
      </w:r>
      <w:proofErr w:type="gramStart"/>
      <w:r w:rsidRPr="00BD190B">
        <w:rPr>
          <w:sz w:val="28"/>
          <w:szCs w:val="28"/>
        </w:rPr>
        <w:t>ии и ее</w:t>
      </w:r>
      <w:proofErr w:type="gramEnd"/>
      <w:r w:rsidRPr="00BD190B">
        <w:rPr>
          <w:sz w:val="28"/>
          <w:szCs w:val="28"/>
        </w:rPr>
        <w:t xml:space="preserve"> владельцев с применением соответствующей методологии, обеспечит достижение плановых финансовых показателей, предотвратит утрату важных для бизнеса активов и ресурсов, поможет избежать проблем с законодательством и сохранить хорошую репутацию на рынке.</w:t>
      </w:r>
    </w:p>
    <w:p w14:paraId="2EA8B2CF" w14:textId="77777777" w:rsidR="00C5115C" w:rsidRPr="00BD190B" w:rsidRDefault="00C5115C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D190B">
        <w:rPr>
          <w:sz w:val="28"/>
          <w:szCs w:val="28"/>
        </w:rPr>
        <w:lastRenderedPageBreak/>
        <w:t>К основным способам снижения любого вида финансового риска относятся: распределение риска между участниками проекта; самострахование (передача части риска всем соискателям прибыли от данного проекта); страхование (заключение договора со специализированной страховой фирмой); резервирование средств на покрытие непредвиденных расходов. Следует также отметить, что основным способом уменьшения риска в условиях рыночной экономии является диверсификация.</w:t>
      </w:r>
    </w:p>
    <w:p w14:paraId="18E088F7" w14:textId="77777777" w:rsidR="00BD190B" w:rsidRPr="00BD190B" w:rsidRDefault="00BD190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78F3366E" w14:textId="77777777" w:rsidR="00BD190B" w:rsidRDefault="00BD190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257C1DD6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25916898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6665E7E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3043E85B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3835CA12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78EBEE7E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295D44F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48FE7DEA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66316215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F8CBBF0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2512A6C7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794E9CC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6DA1838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E2961F2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649F324A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4A59359F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B6AEE73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F8FADDB" w14:textId="77777777" w:rsidR="00AB143B" w:rsidRPr="00AF5B2C" w:rsidRDefault="00AB143B" w:rsidP="004537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60D8C7E" w14:textId="77777777" w:rsidR="00AB143B" w:rsidRDefault="00AB143B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013FAFA" w14:textId="77777777" w:rsidR="00AE2EBA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19900909" w14:textId="77777777" w:rsidR="00AE2EBA" w:rsidRPr="00BD190B" w:rsidRDefault="00AE2EBA" w:rsidP="00BD190B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5B4256F8" w14:textId="7C21A162" w:rsidR="00175402" w:rsidRDefault="00AF5B2C" w:rsidP="001754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1B0F4036" w14:textId="77777777" w:rsidR="00175402" w:rsidRDefault="00175402" w:rsidP="0017540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1F2279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Балашов, А., П. Основы менеджмента: Учебное пособие / А. П. Балашов. - М.: Вузовский учебник, 2019. - 112 c.</w:t>
      </w:r>
    </w:p>
    <w:p w14:paraId="4C7A410A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Балашов, А.П. Основы менеджмента: Учебное пособие / А.П. Балашов. - М.: Вузовский учебник, 2017. - 192 c.</w:t>
      </w:r>
    </w:p>
    <w:p w14:paraId="091E089C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Беляев, В.М. Основы менеджмента на транспорте: Учебник / В.М. Беляев. - М.: Академия, 2017. - 240 c.</w:t>
      </w:r>
    </w:p>
    <w:p w14:paraId="603CF255" w14:textId="55DFA769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Бланк, И.А. Основы инвестиционного менеджмента. Т.2 / И.А. Бланк. - М.: </w:t>
      </w:r>
      <w:r w:rsidR="00564859">
        <w:rPr>
          <w:rFonts w:ascii="Times New Roman" w:hAnsi="Times New Roman" w:cs="Times New Roman"/>
          <w:sz w:val="28"/>
          <w:szCs w:val="28"/>
        </w:rPr>
        <w:t>Сбербанк</w:t>
      </w:r>
      <w:r>
        <w:rPr>
          <w:rFonts w:ascii="Times New Roman" w:hAnsi="Times New Roman" w:cs="Times New Roman"/>
          <w:sz w:val="28"/>
          <w:szCs w:val="28"/>
        </w:rPr>
        <w:t>-Л, 2016. - 313 c.</w:t>
      </w:r>
    </w:p>
    <w:p w14:paraId="1D29806C" w14:textId="55B1DF90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Бланк, И.А. Основы финансового менеджмента. В 2 т. / И.А. Бланк. - М.: </w:t>
      </w:r>
      <w:r w:rsidR="00564859">
        <w:rPr>
          <w:rFonts w:ascii="Times New Roman" w:hAnsi="Times New Roman" w:cs="Times New Roman"/>
          <w:sz w:val="28"/>
          <w:szCs w:val="28"/>
        </w:rPr>
        <w:t>Сбербанк</w:t>
      </w:r>
      <w:r>
        <w:rPr>
          <w:rFonts w:ascii="Times New Roman" w:hAnsi="Times New Roman" w:cs="Times New Roman"/>
          <w:sz w:val="28"/>
          <w:szCs w:val="28"/>
        </w:rPr>
        <w:t>-Л, 2019. - 128 c.</w:t>
      </w:r>
    </w:p>
    <w:p w14:paraId="5C306508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Веснин, В.Р. Основы менеджмента: Учебник / В.Р. Веснин. - М.: Проспект, 2015. - 320 c.</w:t>
      </w:r>
    </w:p>
    <w:p w14:paraId="47A0CDC8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Веснин, В.Р. Основы менеджмента: Учебник / В.Р. Веснин. - М.: Проспект, 2016. - 320 c.</w:t>
      </w:r>
    </w:p>
    <w:p w14:paraId="7F033E61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Егоршин, А.П. Основы менеджмента: Учебник / А.П. Егоршин. - М.: Инфра-М, 2018. - 288 c.</w:t>
      </w:r>
    </w:p>
    <w:p w14:paraId="3A7D0F71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С.Б. Основы экономики, менеджмента и маркетинга в общественном питании: Учебник / С.Б.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- 576 c.</w:t>
      </w:r>
    </w:p>
    <w:p w14:paraId="6AC633CC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С.Б. Основы экономики, менеджмента и маркетинга в общественном питании: Учебник / С.Б.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- 398 c.</w:t>
      </w:r>
    </w:p>
    <w:p w14:paraId="50BDF977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Ковалев, В.В. Основы теории финансового менеджмента / В.В. Ковалев. - М.: Проспект, 2015. - 544 c.</w:t>
      </w:r>
    </w:p>
    <w:p w14:paraId="23183ADA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Королев, В.И. Основы менеджмента: Учебное пособие / В.И. Королев. - М.: Магистр, 2017. - 16 c.</w:t>
      </w:r>
    </w:p>
    <w:p w14:paraId="739670E5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Основы инновационного менеджмента /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М.: Магистр, 2016. - 26 c.</w:t>
      </w:r>
    </w:p>
    <w:p w14:paraId="6D75E7C4" w14:textId="77777777" w:rsidR="00175402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Основы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риск-менеджмента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Марк. - Люберцы: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- 390 c.</w:t>
      </w:r>
    </w:p>
    <w:p w14:paraId="5F493DAB" w14:textId="77777777" w:rsidR="00175402" w:rsidRPr="00AF5B2C" w:rsidRDefault="00175402" w:rsidP="00175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Ю.Н. Основы финансового менеджмента / Ю.Н.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О.Н. Янина.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Русайнс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- 288 c.</w:t>
      </w:r>
    </w:p>
    <w:p w14:paraId="7A6E6A16" w14:textId="77777777" w:rsidR="00DE436E" w:rsidRPr="00F8488B" w:rsidRDefault="00DE436E" w:rsidP="00DE4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36E">
        <w:rPr>
          <w:rFonts w:ascii="Times New Roman" w:hAnsi="Times New Roman" w:cs="Times New Roman"/>
          <w:sz w:val="28"/>
          <w:szCs w:val="28"/>
        </w:rPr>
        <w:t>16.</w:t>
      </w:r>
      <w:r w:rsidRPr="00DE436E">
        <w:t xml:space="preserve"> </w:t>
      </w:r>
      <w:r w:rsidRPr="00DE436E">
        <w:rPr>
          <w:rFonts w:ascii="Times New Roman" w:hAnsi="Times New Roman" w:cs="Times New Roman"/>
          <w:sz w:val="28"/>
          <w:szCs w:val="28"/>
        </w:rPr>
        <w:t xml:space="preserve">Годовой отчет Сбербанка за 2016, 2017, 2018 год </w:t>
      </w:r>
    </w:p>
    <w:p w14:paraId="4F11D112" w14:textId="278CAA15" w:rsidR="00DE436E" w:rsidRPr="00DE436E" w:rsidRDefault="00DE436E" w:rsidP="00DE43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36E">
        <w:rPr>
          <w:rFonts w:ascii="Times New Roman" w:hAnsi="Times New Roman" w:cs="Times New Roman"/>
          <w:sz w:val="28"/>
          <w:szCs w:val="28"/>
        </w:rPr>
        <w:t xml:space="preserve"> [Электронный </w:t>
      </w:r>
      <w:r>
        <w:rPr>
          <w:rFonts w:ascii="Times New Roman" w:hAnsi="Times New Roman" w:cs="Times New Roman"/>
          <w:sz w:val="28"/>
          <w:szCs w:val="28"/>
        </w:rPr>
        <w:t>ресурс]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Режим доступа:</w:t>
      </w:r>
      <w:r w:rsidRPr="00DE436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696175">
          <w:rPr>
            <w:rStyle w:val="ac"/>
            <w:rFonts w:ascii="Times New Roman" w:hAnsi="Times New Roman" w:cs="Times New Roman"/>
            <w:sz w:val="28"/>
            <w:szCs w:val="28"/>
          </w:rPr>
          <w:t>https://www.sberbank.com/ru</w:t>
        </w:r>
      </w:hyperlink>
    </w:p>
    <w:p w14:paraId="5993F2B9" w14:textId="0C93A9D1" w:rsidR="00084B41" w:rsidRPr="00084B41" w:rsidRDefault="00DE436E" w:rsidP="00AE2EB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436E">
        <w:rPr>
          <w:rFonts w:ascii="Times New Roman" w:hAnsi="Times New Roman" w:cs="Times New Roman"/>
          <w:sz w:val="28"/>
          <w:szCs w:val="28"/>
        </w:rPr>
        <w:t>17.</w:t>
      </w:r>
      <w:r w:rsidR="00AE2EBA" w:rsidRPr="00AE2EBA">
        <w:rPr>
          <w:rFonts w:ascii="Times New Roman" w:hAnsi="Times New Roman" w:cs="Times New Roman"/>
          <w:sz w:val="28"/>
          <w:szCs w:val="28"/>
        </w:rPr>
        <w:t>Управление</w:t>
      </w:r>
      <w:r w:rsidR="00AE2EBA">
        <w:rPr>
          <w:rFonts w:ascii="Times New Roman" w:hAnsi="Times New Roman" w:cs="Times New Roman"/>
          <w:sz w:val="28"/>
          <w:szCs w:val="28"/>
        </w:rPr>
        <w:t xml:space="preserve"> рисками </w:t>
      </w:r>
      <w:proofErr w:type="spellStart"/>
      <w:r w:rsidR="00AE2EBA">
        <w:rPr>
          <w:rFonts w:ascii="Times New Roman" w:hAnsi="Times New Roman" w:cs="Times New Roman"/>
          <w:sz w:val="28"/>
          <w:szCs w:val="28"/>
        </w:rPr>
        <w:t>ПА</w:t>
      </w:r>
      <w:proofErr w:type="gramStart"/>
      <w:r w:rsidR="00AE2EBA">
        <w:rPr>
          <w:rFonts w:ascii="Times New Roman" w:hAnsi="Times New Roman" w:cs="Times New Roman"/>
          <w:sz w:val="28"/>
          <w:szCs w:val="28"/>
        </w:rPr>
        <w:t>О</w:t>
      </w:r>
      <w:r w:rsidR="00AE2EBA" w:rsidRPr="00AE2EBA">
        <w:rPr>
          <w:rFonts w:ascii="Times New Roman" w:hAnsi="Times New Roman" w:cs="Times New Roman"/>
          <w:sz w:val="28"/>
          <w:szCs w:val="28"/>
        </w:rPr>
        <w:t>“</w:t>
      </w:r>
      <w:proofErr w:type="gramEnd"/>
      <w:r w:rsidR="00AE2EBA" w:rsidRPr="00AE2EBA">
        <w:rPr>
          <w:rFonts w:ascii="Times New Roman" w:hAnsi="Times New Roman" w:cs="Times New Roman"/>
          <w:sz w:val="28"/>
          <w:szCs w:val="28"/>
        </w:rPr>
        <w:t>Сбербанк</w:t>
      </w:r>
      <w:proofErr w:type="spellEnd"/>
      <w:r w:rsidR="00AE2EBA" w:rsidRPr="00AE2EBA">
        <w:rPr>
          <w:rFonts w:ascii="Times New Roman" w:hAnsi="Times New Roman" w:cs="Times New Roman"/>
          <w:sz w:val="28"/>
          <w:szCs w:val="28"/>
        </w:rPr>
        <w:t>”</w:t>
      </w:r>
      <w:r w:rsidR="00AE2EBA">
        <w:rPr>
          <w:rFonts w:ascii="Times New Roman" w:hAnsi="Times New Roman" w:cs="Times New Roman"/>
          <w:sz w:val="28"/>
          <w:szCs w:val="28"/>
        </w:rPr>
        <w:t xml:space="preserve"> </w:t>
      </w:r>
      <w:r w:rsidR="00084B41">
        <w:rPr>
          <w:rFonts w:ascii="Times New Roman" w:hAnsi="Times New Roman" w:cs="Times New Roman"/>
          <w:sz w:val="28"/>
          <w:szCs w:val="28"/>
        </w:rPr>
        <w:t>–</w:t>
      </w:r>
    </w:p>
    <w:p w14:paraId="5A65A465" w14:textId="1BD39C38" w:rsidR="00DE436E" w:rsidRPr="00AE2EBA" w:rsidRDefault="00AE2EBA" w:rsidP="00084B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4B41" w:rsidRPr="00084B41">
        <w:rPr>
          <w:rFonts w:ascii="Times New Roman" w:hAnsi="Times New Roman" w:cs="Times New Roman"/>
          <w:sz w:val="28"/>
          <w:szCs w:val="28"/>
        </w:rPr>
        <w:t xml:space="preserve"> </w:t>
      </w:r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DE436E" w:rsidRPr="00DE436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studwood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/512882/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bankovskoe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delo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analiz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riskov</w:t>
      </w:r>
      <w:proofErr w:type="spellEnd"/>
      <w:r w:rsidR="00DE436E" w:rsidRPr="00DE436E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DE436E" w:rsidRPr="00DE436E">
        <w:rPr>
          <w:rFonts w:ascii="Times New Roman" w:hAnsi="Times New Roman" w:cs="Times New Roman"/>
          <w:sz w:val="28"/>
          <w:szCs w:val="28"/>
          <w:lang w:val="en-US"/>
        </w:rPr>
        <w:t>sberbank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12D99E92" w14:textId="42083ED2" w:rsidR="00DE436E" w:rsidRPr="00AE2EBA" w:rsidRDefault="00DE436E" w:rsidP="00084B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36E">
        <w:rPr>
          <w:rFonts w:ascii="Times New Roman" w:hAnsi="Times New Roman" w:cs="Times New Roman"/>
          <w:sz w:val="28"/>
          <w:szCs w:val="28"/>
        </w:rPr>
        <w:t>18.</w:t>
      </w:r>
      <w:r w:rsidRPr="00DE436E">
        <w:t xml:space="preserve"> </w:t>
      </w:r>
      <w:proofErr w:type="spellStart"/>
      <w:r w:rsidR="00084B41">
        <w:rPr>
          <w:rFonts w:ascii="Times New Roman" w:hAnsi="Times New Roman" w:cs="Times New Roman"/>
          <w:sz w:val="28"/>
          <w:szCs w:val="28"/>
        </w:rPr>
        <w:t>Банки</w:t>
      </w:r>
      <w:proofErr w:type="gramStart"/>
      <w:r w:rsidR="00084B4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4B4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84B41">
        <w:rPr>
          <w:rFonts w:ascii="Times New Roman" w:hAnsi="Times New Roman" w:cs="Times New Roman"/>
          <w:sz w:val="28"/>
          <w:szCs w:val="28"/>
        </w:rPr>
        <w:t xml:space="preserve"> [Электронный ресурс].-</w:t>
      </w:r>
      <w:r w:rsidR="00AE2EBA" w:rsidRPr="00AE2EBA">
        <w:rPr>
          <w:rFonts w:ascii="Times New Roman" w:hAnsi="Times New Roman" w:cs="Times New Roman"/>
          <w:sz w:val="28"/>
          <w:szCs w:val="28"/>
        </w:rPr>
        <w:t>Режим доступа:</w:t>
      </w:r>
      <w:r w:rsidR="00084B41" w:rsidRPr="00084B41">
        <w:rPr>
          <w:rFonts w:ascii="Times New Roman" w:hAnsi="Times New Roman" w:cs="Times New Roman"/>
          <w:sz w:val="28"/>
          <w:szCs w:val="28"/>
        </w:rPr>
        <w:t xml:space="preserve"> </w:t>
      </w:r>
      <w:r w:rsidR="00AE2EBA" w:rsidRPr="00AE2EBA">
        <w:rPr>
          <w:rFonts w:ascii="Times New Roman" w:hAnsi="Times New Roman" w:cs="Times New Roman"/>
          <w:sz w:val="28"/>
          <w:szCs w:val="28"/>
        </w:rPr>
        <w:t>https://www.banki.ru/wikibank/pravlenie_banka/.</w:t>
      </w:r>
    </w:p>
    <w:p w14:paraId="73843098" w14:textId="0F7D4273" w:rsidR="00DE436E" w:rsidRDefault="00DE436E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2EBA">
        <w:rPr>
          <w:rFonts w:ascii="Times New Roman" w:hAnsi="Times New Roman" w:cs="Times New Roman"/>
          <w:sz w:val="28"/>
          <w:szCs w:val="28"/>
        </w:rPr>
        <w:t>19.</w:t>
      </w:r>
      <w:r w:rsidR="00AE2EBA" w:rsidRPr="00AE2EBA">
        <w:t xml:space="preserve"> </w:t>
      </w:r>
      <w:r w:rsidR="00AE2EBA" w:rsidRPr="00AE2EBA">
        <w:rPr>
          <w:rFonts w:ascii="Times New Roman" w:hAnsi="Times New Roman" w:cs="Times New Roman"/>
          <w:sz w:val="28"/>
          <w:szCs w:val="28"/>
        </w:rPr>
        <w:t>Общая характеристика ПАО Сберба</w:t>
      </w:r>
      <w:r w:rsidR="00AE2EBA">
        <w:rPr>
          <w:rFonts w:ascii="Times New Roman" w:hAnsi="Times New Roman" w:cs="Times New Roman"/>
          <w:sz w:val="28"/>
          <w:szCs w:val="28"/>
        </w:rPr>
        <w:t xml:space="preserve">нк [Электронный ресурс].- Режим </w:t>
      </w:r>
      <w:r w:rsidR="00AE2EBA" w:rsidRPr="00AE2EBA"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10" w:history="1">
        <w:r w:rsidR="00084B41" w:rsidRPr="00E90396">
          <w:rPr>
            <w:rStyle w:val="ac"/>
            <w:rFonts w:ascii="Times New Roman" w:hAnsi="Times New Roman" w:cs="Times New Roman"/>
            <w:sz w:val="28"/>
            <w:szCs w:val="28"/>
          </w:rPr>
          <w:t>https://otherreferats.allbest.ru/bank/00957370_0.html</w:t>
        </w:r>
      </w:hyperlink>
    </w:p>
    <w:p w14:paraId="60E82E78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4BA6A2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F44640D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BF2056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486660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8C3043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246DCF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954E27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BE41199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83F5D8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7B4272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FB10D98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63558F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D64AE2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7038436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F3E9BB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5A63CE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B3AA82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9A0FA71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B4AA40" w14:textId="77777777" w:rsid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F433FE" w14:textId="2679AD10" w:rsidR="00084B41" w:rsidRPr="00084B41" w:rsidRDefault="00084B41" w:rsidP="00084B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bookmarkStart w:id="0" w:name="_GoBack"/>
      <w:bookmarkEnd w:id="0"/>
      <w:r w:rsidRPr="00084B4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14:paraId="02E366C6" w14:textId="6443E732" w:rsidR="00084B41" w:rsidRPr="00084B41" w:rsidRDefault="00084B41" w:rsidP="00AE2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E7E890" wp14:editId="2471B64A">
            <wp:extent cx="5940425" cy="8169600"/>
            <wp:effectExtent l="0" t="0" r="3175" b="3175"/>
            <wp:docPr id="6" name="Рисунок 6" descr="C:\Users\7918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81\Desktop\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ED4E" w14:textId="5621106B" w:rsidR="007C5933" w:rsidRPr="00175402" w:rsidRDefault="00084B41" w:rsidP="00175402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6E4813" wp14:editId="1623B2F1">
            <wp:extent cx="5937885" cy="816927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5756716" wp14:editId="0579692B">
            <wp:extent cx="5937885" cy="8169275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9E64A0E" wp14:editId="1CF95078">
            <wp:extent cx="5940425" cy="8169600"/>
            <wp:effectExtent l="0" t="0" r="3175" b="3175"/>
            <wp:docPr id="7" name="Рисунок 7" descr="C:\Users\7918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81\Desktop\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2028CA6" wp14:editId="460E22A1">
            <wp:extent cx="5940425" cy="8169600"/>
            <wp:effectExtent l="0" t="0" r="3175" b="3175"/>
            <wp:docPr id="10" name="Рисунок 10" descr="C:\Users\79181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81\Desktop\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59928E5" wp14:editId="7D71CFEC">
            <wp:extent cx="5940425" cy="8169600"/>
            <wp:effectExtent l="0" t="0" r="3175" b="3175"/>
            <wp:docPr id="11" name="Рисунок 11" descr="C:\Users\79181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81\Desktop\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0ED98BC" wp14:editId="3C246EE2">
            <wp:extent cx="5940425" cy="8169600"/>
            <wp:effectExtent l="0" t="0" r="3175" b="3175"/>
            <wp:docPr id="12" name="Рисунок 12" descr="C:\Users\79181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81\Desktop\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FE73170" wp14:editId="1FE20593">
            <wp:extent cx="5940425" cy="8169600"/>
            <wp:effectExtent l="0" t="0" r="3175" b="3175"/>
            <wp:docPr id="13" name="Рисунок 13" descr="C:\Users\79181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181\Desktop\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5464B2D" wp14:editId="4475263A">
            <wp:extent cx="5940425" cy="8169600"/>
            <wp:effectExtent l="0" t="0" r="3175" b="3175"/>
            <wp:docPr id="14" name="Рисунок 14" descr="C:\Users\79181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81\Desktop\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471C018" wp14:editId="1BBA2204">
            <wp:extent cx="5940425" cy="8169600"/>
            <wp:effectExtent l="0" t="0" r="3175" b="3175"/>
            <wp:docPr id="15" name="Рисунок 15" descr="C:\Users\79181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81\Desktop\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4625473" wp14:editId="1CCC33B3">
            <wp:extent cx="5940425" cy="8169600"/>
            <wp:effectExtent l="0" t="0" r="3175" b="3175"/>
            <wp:docPr id="16" name="Рисунок 16" descr="C:\Users\79181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81\Desktop\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933" w:rsidRPr="00175402" w:rsidSect="00133CD5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590E6" w14:textId="77777777" w:rsidR="006F19B3" w:rsidRDefault="006F19B3" w:rsidP="00C5115C">
      <w:pPr>
        <w:spacing w:after="0" w:line="240" w:lineRule="auto"/>
      </w:pPr>
      <w:r>
        <w:separator/>
      </w:r>
    </w:p>
  </w:endnote>
  <w:endnote w:type="continuationSeparator" w:id="0">
    <w:p w14:paraId="7AC243AB" w14:textId="77777777" w:rsidR="006F19B3" w:rsidRDefault="006F19B3" w:rsidP="00C5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648174"/>
      <w:docPartObj>
        <w:docPartGallery w:val="Page Numbers (Bottom of Page)"/>
        <w:docPartUnique/>
      </w:docPartObj>
    </w:sdtPr>
    <w:sdtEndPr/>
    <w:sdtContent>
      <w:p w14:paraId="58988865" w14:textId="7C9073B8" w:rsidR="00133CD5" w:rsidRDefault="00133C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B41">
          <w:rPr>
            <w:noProof/>
          </w:rPr>
          <w:t>37</w:t>
        </w:r>
        <w:r>
          <w:fldChar w:fldCharType="end"/>
        </w:r>
      </w:p>
    </w:sdtContent>
  </w:sdt>
  <w:p w14:paraId="71A392FB" w14:textId="77777777" w:rsidR="00564859" w:rsidRDefault="005648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17C6A" w14:textId="77777777" w:rsidR="006F19B3" w:rsidRDefault="006F19B3" w:rsidP="00C5115C">
      <w:pPr>
        <w:spacing w:after="0" w:line="240" w:lineRule="auto"/>
      </w:pPr>
      <w:r>
        <w:separator/>
      </w:r>
    </w:p>
  </w:footnote>
  <w:footnote w:type="continuationSeparator" w:id="0">
    <w:p w14:paraId="1C9D20C3" w14:textId="77777777" w:rsidR="006F19B3" w:rsidRDefault="006F19B3" w:rsidP="00C51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9F7"/>
    <w:multiLevelType w:val="multilevel"/>
    <w:tmpl w:val="0324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C1584"/>
    <w:multiLevelType w:val="hybridMultilevel"/>
    <w:tmpl w:val="1BBA2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06CF6"/>
    <w:multiLevelType w:val="multilevel"/>
    <w:tmpl w:val="D510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C90286"/>
    <w:multiLevelType w:val="hybridMultilevel"/>
    <w:tmpl w:val="82C8AEC2"/>
    <w:lvl w:ilvl="0" w:tplc="92764DB4">
      <w:start w:val="1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405C3AE1"/>
    <w:multiLevelType w:val="multilevel"/>
    <w:tmpl w:val="B492C62E"/>
    <w:lvl w:ilvl="0">
      <w:start w:val="1"/>
      <w:numFmt w:val="decimal"/>
      <w:lvlText w:val="%1"/>
      <w:lvlJc w:val="left"/>
      <w:pPr>
        <w:ind w:left="12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160"/>
      </w:pPr>
      <w:rPr>
        <w:rFonts w:hint="default"/>
      </w:rPr>
    </w:lvl>
  </w:abstractNum>
  <w:abstractNum w:abstractNumId="5">
    <w:nsid w:val="49CE2780"/>
    <w:multiLevelType w:val="hybridMultilevel"/>
    <w:tmpl w:val="6E5E70FE"/>
    <w:lvl w:ilvl="0" w:tplc="126C2E58">
      <w:start w:val="1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5FA1655F"/>
    <w:multiLevelType w:val="multilevel"/>
    <w:tmpl w:val="5298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F01061"/>
    <w:multiLevelType w:val="multilevel"/>
    <w:tmpl w:val="277C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835E0"/>
    <w:multiLevelType w:val="multilevel"/>
    <w:tmpl w:val="18A4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360681"/>
    <w:multiLevelType w:val="hybridMultilevel"/>
    <w:tmpl w:val="D294F326"/>
    <w:lvl w:ilvl="0" w:tplc="C3EA678C">
      <w:start w:val="1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7FFE0652"/>
    <w:multiLevelType w:val="multilevel"/>
    <w:tmpl w:val="5330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1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5C"/>
    <w:rsid w:val="00084B41"/>
    <w:rsid w:val="00133CD5"/>
    <w:rsid w:val="0014623E"/>
    <w:rsid w:val="00150159"/>
    <w:rsid w:val="00175402"/>
    <w:rsid w:val="0021150B"/>
    <w:rsid w:val="00256DD1"/>
    <w:rsid w:val="003B3583"/>
    <w:rsid w:val="003B5CCD"/>
    <w:rsid w:val="003F6262"/>
    <w:rsid w:val="004146E4"/>
    <w:rsid w:val="004537A2"/>
    <w:rsid w:val="00524B85"/>
    <w:rsid w:val="00564859"/>
    <w:rsid w:val="00587D99"/>
    <w:rsid w:val="005C3653"/>
    <w:rsid w:val="005F6423"/>
    <w:rsid w:val="006F19B3"/>
    <w:rsid w:val="006F2CB6"/>
    <w:rsid w:val="007749E6"/>
    <w:rsid w:val="007C5933"/>
    <w:rsid w:val="007F320D"/>
    <w:rsid w:val="00812D45"/>
    <w:rsid w:val="008421A0"/>
    <w:rsid w:val="008455A4"/>
    <w:rsid w:val="008976FC"/>
    <w:rsid w:val="008C0FF2"/>
    <w:rsid w:val="009035B8"/>
    <w:rsid w:val="009C4FC8"/>
    <w:rsid w:val="009D4D48"/>
    <w:rsid w:val="009F3E1B"/>
    <w:rsid w:val="00A3654A"/>
    <w:rsid w:val="00AB143B"/>
    <w:rsid w:val="00AE2EBA"/>
    <w:rsid w:val="00AF5B2C"/>
    <w:rsid w:val="00B47587"/>
    <w:rsid w:val="00B85682"/>
    <w:rsid w:val="00BD190B"/>
    <w:rsid w:val="00C5115C"/>
    <w:rsid w:val="00C901E3"/>
    <w:rsid w:val="00CC3FCB"/>
    <w:rsid w:val="00DD0C33"/>
    <w:rsid w:val="00DE436E"/>
    <w:rsid w:val="00F8488B"/>
    <w:rsid w:val="00FD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0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115C"/>
  </w:style>
  <w:style w:type="paragraph" w:styleId="a3">
    <w:name w:val="Normal (Web)"/>
    <w:basedOn w:val="a"/>
    <w:uiPriority w:val="99"/>
    <w:unhideWhenUsed/>
    <w:rsid w:val="00C5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5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115C"/>
  </w:style>
  <w:style w:type="paragraph" w:styleId="a6">
    <w:name w:val="footer"/>
    <w:basedOn w:val="a"/>
    <w:link w:val="a7"/>
    <w:uiPriority w:val="99"/>
    <w:unhideWhenUsed/>
    <w:rsid w:val="00C5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115C"/>
  </w:style>
  <w:style w:type="paragraph" w:styleId="a8">
    <w:name w:val="List Paragraph"/>
    <w:basedOn w:val="a"/>
    <w:uiPriority w:val="34"/>
    <w:qFormat/>
    <w:rsid w:val="00C5115C"/>
    <w:pPr>
      <w:ind w:left="720"/>
      <w:contextualSpacing/>
    </w:pPr>
  </w:style>
  <w:style w:type="table" w:styleId="a9">
    <w:name w:val="Table Grid"/>
    <w:basedOn w:val="a1"/>
    <w:uiPriority w:val="59"/>
    <w:rsid w:val="005648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150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E4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115C"/>
  </w:style>
  <w:style w:type="paragraph" w:styleId="a3">
    <w:name w:val="Normal (Web)"/>
    <w:basedOn w:val="a"/>
    <w:uiPriority w:val="99"/>
    <w:unhideWhenUsed/>
    <w:rsid w:val="00C51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5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115C"/>
  </w:style>
  <w:style w:type="paragraph" w:styleId="a6">
    <w:name w:val="footer"/>
    <w:basedOn w:val="a"/>
    <w:link w:val="a7"/>
    <w:uiPriority w:val="99"/>
    <w:unhideWhenUsed/>
    <w:rsid w:val="00C5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115C"/>
  </w:style>
  <w:style w:type="paragraph" w:styleId="a8">
    <w:name w:val="List Paragraph"/>
    <w:basedOn w:val="a"/>
    <w:uiPriority w:val="34"/>
    <w:qFormat/>
    <w:rsid w:val="00C5115C"/>
    <w:pPr>
      <w:ind w:left="720"/>
      <w:contextualSpacing/>
    </w:pPr>
  </w:style>
  <w:style w:type="table" w:styleId="a9">
    <w:name w:val="Table Grid"/>
    <w:basedOn w:val="a1"/>
    <w:uiPriority w:val="59"/>
    <w:rsid w:val="005648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150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E4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otherreferats.allbest.ru/bank/00957370_0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sberbank.com/ru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5261</Words>
  <Characters>29991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79181879538</cp:lastModifiedBy>
  <cp:revision>2</cp:revision>
  <dcterms:created xsi:type="dcterms:W3CDTF">2020-06-28T11:36:00Z</dcterms:created>
  <dcterms:modified xsi:type="dcterms:W3CDTF">2020-06-28T11:36:00Z</dcterms:modified>
</cp:coreProperties>
</file>