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19" w:rsidRPr="00684D3B" w:rsidRDefault="00C62F19" w:rsidP="00C62F19">
      <w:pPr>
        <w:spacing w:after="0" w:line="360" w:lineRule="auto"/>
        <w:jc w:val="center"/>
        <w:rPr>
          <w:rFonts w:ascii="Times New Roman" w:eastAsia="Times New Roman" w:hAnsi="Times New Roman" w:cs="Times New Roman"/>
          <w:sz w:val="24"/>
          <w:szCs w:val="24"/>
          <w:lang w:eastAsia="ru-RU"/>
        </w:rPr>
      </w:pPr>
      <w:r w:rsidRPr="00684D3B">
        <w:rPr>
          <w:rFonts w:ascii="Times New Roman" w:eastAsia="Times New Roman" w:hAnsi="Times New Roman" w:cs="Times New Roman"/>
          <w:sz w:val="24"/>
          <w:szCs w:val="24"/>
          <w:lang w:eastAsia="ru-RU"/>
        </w:rPr>
        <w:t>МИНИСТЕРСТВО ОБРАЗОВАНИЯ И НАУКИ РОССИЙСКОЙ ФЕДЕРАЦИИ</w:t>
      </w:r>
    </w:p>
    <w:p w:rsidR="00C62F19" w:rsidRPr="00684D3B" w:rsidRDefault="00C62F19" w:rsidP="00C62F19">
      <w:pPr>
        <w:spacing w:after="0" w:line="360" w:lineRule="auto"/>
        <w:jc w:val="center"/>
        <w:rPr>
          <w:rFonts w:ascii="Times New Roman" w:eastAsia="Times New Roman" w:hAnsi="Times New Roman" w:cs="Times New Roman"/>
          <w:sz w:val="24"/>
          <w:lang w:eastAsia="ru-RU"/>
        </w:rPr>
      </w:pPr>
      <w:r w:rsidRPr="00684D3B">
        <w:rPr>
          <w:rFonts w:ascii="Times New Roman" w:eastAsia="Times New Roman" w:hAnsi="Times New Roman" w:cs="Times New Roman"/>
          <w:sz w:val="24"/>
          <w:lang w:eastAsia="ru-RU"/>
        </w:rPr>
        <w:t>Федеральное государственное бюджетное образовательное учреждение высшего образования</w:t>
      </w:r>
    </w:p>
    <w:p w:rsidR="00C62F19" w:rsidRPr="00684D3B" w:rsidRDefault="00C62F19" w:rsidP="00C62F19">
      <w:pPr>
        <w:spacing w:after="0" w:line="360" w:lineRule="auto"/>
        <w:jc w:val="center"/>
        <w:rPr>
          <w:rFonts w:ascii="Times New Roman" w:eastAsia="Times New Roman" w:hAnsi="Times New Roman" w:cs="Times New Roman"/>
          <w:b/>
          <w:caps/>
          <w:sz w:val="28"/>
          <w:lang w:eastAsia="ru-RU"/>
        </w:rPr>
      </w:pPr>
      <w:r w:rsidRPr="00684D3B">
        <w:rPr>
          <w:rFonts w:ascii="Times New Roman" w:eastAsia="Times New Roman" w:hAnsi="Times New Roman" w:cs="Times New Roman"/>
          <w:b/>
          <w:caps/>
          <w:sz w:val="28"/>
          <w:lang w:eastAsia="ru-RU"/>
        </w:rPr>
        <w:t>«Кубанский государственный университет»</w:t>
      </w:r>
    </w:p>
    <w:p w:rsidR="00C62F19" w:rsidRPr="00684D3B" w:rsidRDefault="00C62F19" w:rsidP="00C62F19">
      <w:pPr>
        <w:spacing w:after="0" w:line="360" w:lineRule="auto"/>
        <w:jc w:val="center"/>
        <w:rPr>
          <w:rFonts w:ascii="Times New Roman" w:eastAsia="Times New Roman" w:hAnsi="Times New Roman" w:cs="Times New Roman"/>
          <w:b/>
          <w:sz w:val="28"/>
          <w:lang w:eastAsia="ru-RU"/>
        </w:rPr>
      </w:pPr>
      <w:r w:rsidRPr="00684D3B">
        <w:rPr>
          <w:rFonts w:ascii="Times New Roman" w:eastAsia="Times New Roman" w:hAnsi="Times New Roman" w:cs="Times New Roman"/>
          <w:b/>
          <w:sz w:val="28"/>
          <w:lang w:eastAsia="ru-RU"/>
        </w:rPr>
        <w:t>(ФГБОУ ВО «</w:t>
      </w:r>
      <w:proofErr w:type="spellStart"/>
      <w:r w:rsidRPr="00684D3B">
        <w:rPr>
          <w:rFonts w:ascii="Times New Roman" w:eastAsia="Times New Roman" w:hAnsi="Times New Roman" w:cs="Times New Roman"/>
          <w:b/>
          <w:sz w:val="28"/>
          <w:lang w:eastAsia="ru-RU"/>
        </w:rPr>
        <w:t>КубГУ</w:t>
      </w:r>
      <w:proofErr w:type="spellEnd"/>
      <w:r w:rsidRPr="00684D3B">
        <w:rPr>
          <w:rFonts w:ascii="Times New Roman" w:eastAsia="Times New Roman" w:hAnsi="Times New Roman" w:cs="Times New Roman"/>
          <w:b/>
          <w:sz w:val="28"/>
          <w:lang w:eastAsia="ru-RU"/>
        </w:rPr>
        <w:t>»)</w:t>
      </w:r>
    </w:p>
    <w:p w:rsidR="00C62F19" w:rsidRPr="00684D3B" w:rsidRDefault="00C62F19" w:rsidP="00C62F19">
      <w:pPr>
        <w:spacing w:line="360" w:lineRule="auto"/>
        <w:jc w:val="center"/>
        <w:rPr>
          <w:rFonts w:ascii="Calibri" w:eastAsia="Times New Roman" w:hAnsi="Calibri" w:cs="Times New Roman"/>
          <w:lang w:eastAsia="ru-RU"/>
        </w:rPr>
      </w:pPr>
    </w:p>
    <w:p w:rsidR="00C62F19" w:rsidRPr="00684D3B" w:rsidRDefault="00C62F19" w:rsidP="00C62F19">
      <w:pPr>
        <w:spacing w:line="360" w:lineRule="auto"/>
        <w:jc w:val="center"/>
        <w:rPr>
          <w:rFonts w:ascii="Calibri" w:eastAsia="Times New Roman" w:hAnsi="Calibri" w:cs="Times New Roman"/>
          <w:lang w:eastAsia="ru-RU"/>
        </w:rPr>
      </w:pPr>
    </w:p>
    <w:p w:rsidR="00C62F19" w:rsidRPr="00684D3B" w:rsidRDefault="00C62F19" w:rsidP="00C62F19">
      <w:pPr>
        <w:spacing w:after="0" w:line="360" w:lineRule="auto"/>
        <w:jc w:val="center"/>
        <w:rPr>
          <w:rFonts w:ascii="Calibri" w:eastAsia="Times New Roman" w:hAnsi="Calibri" w:cs="Times New Roman"/>
          <w:lang w:eastAsia="ru-RU"/>
        </w:rPr>
      </w:pPr>
    </w:p>
    <w:p w:rsidR="00C62F19" w:rsidRPr="00684D3B" w:rsidRDefault="00C62F19" w:rsidP="00C62F19">
      <w:pPr>
        <w:spacing w:after="0" w:line="360" w:lineRule="auto"/>
        <w:jc w:val="center"/>
        <w:rPr>
          <w:rFonts w:ascii="Times New Roman" w:eastAsia="Times New Roman" w:hAnsi="Times New Roman" w:cs="Times New Roman"/>
          <w:sz w:val="28"/>
          <w:lang w:eastAsia="ru-RU"/>
        </w:rPr>
      </w:pPr>
      <w:r w:rsidRPr="00684D3B">
        <w:rPr>
          <w:rFonts w:ascii="Times New Roman" w:eastAsia="Times New Roman" w:hAnsi="Times New Roman" w:cs="Times New Roman"/>
          <w:caps/>
          <w:sz w:val="28"/>
          <w:lang w:eastAsia="ru-RU"/>
        </w:rPr>
        <w:t>Реферат</w:t>
      </w:r>
      <w:r w:rsidRPr="00684D3B">
        <w:rPr>
          <w:rFonts w:ascii="Times New Roman" w:eastAsia="Times New Roman" w:hAnsi="Times New Roman" w:cs="Times New Roman"/>
          <w:sz w:val="28"/>
          <w:lang w:eastAsia="ru-RU"/>
        </w:rPr>
        <w:br/>
        <w:t>по дисциплине «Мировая экономика»</w:t>
      </w:r>
    </w:p>
    <w:p w:rsidR="00C62F19" w:rsidRPr="00684D3B" w:rsidRDefault="00C62F19" w:rsidP="00C62F19">
      <w:pPr>
        <w:spacing w:after="0" w:line="36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на тему: «Дания</w:t>
      </w:r>
      <w:r w:rsidRPr="00684D3B">
        <w:rPr>
          <w:rFonts w:ascii="Times New Roman" w:eastAsia="Times New Roman" w:hAnsi="Times New Roman" w:cs="Times New Roman"/>
          <w:sz w:val="28"/>
          <w:lang w:eastAsia="ru-RU"/>
        </w:rPr>
        <w:t>»</w:t>
      </w:r>
    </w:p>
    <w:p w:rsidR="00C62F19" w:rsidRPr="00684D3B" w:rsidRDefault="00C62F19" w:rsidP="00C62F19">
      <w:pPr>
        <w:spacing w:line="360" w:lineRule="auto"/>
        <w:jc w:val="center"/>
        <w:rPr>
          <w:rFonts w:ascii="Times New Roman" w:eastAsia="Times New Roman" w:hAnsi="Times New Roman" w:cs="Times New Roman"/>
          <w:sz w:val="24"/>
          <w:lang w:eastAsia="ru-RU"/>
        </w:rPr>
      </w:pPr>
    </w:p>
    <w:p w:rsidR="00C62F19" w:rsidRPr="00684D3B" w:rsidRDefault="00C62F19" w:rsidP="00C62F19">
      <w:pPr>
        <w:spacing w:line="360" w:lineRule="auto"/>
        <w:jc w:val="center"/>
        <w:rPr>
          <w:rFonts w:ascii="Times New Roman" w:eastAsia="Times New Roman" w:hAnsi="Times New Roman" w:cs="Times New Roman"/>
          <w:sz w:val="24"/>
          <w:lang w:eastAsia="ru-RU"/>
        </w:rPr>
      </w:pPr>
    </w:p>
    <w:p w:rsidR="00C62F19" w:rsidRPr="00684D3B" w:rsidRDefault="00C62F19" w:rsidP="00C62F19">
      <w:pPr>
        <w:spacing w:line="360" w:lineRule="auto"/>
        <w:jc w:val="center"/>
        <w:rPr>
          <w:rFonts w:ascii="Times New Roman" w:eastAsia="Times New Roman" w:hAnsi="Times New Roman" w:cs="Times New Roman"/>
          <w:sz w:val="24"/>
          <w:lang w:eastAsia="ru-RU"/>
        </w:rPr>
      </w:pPr>
    </w:p>
    <w:p w:rsidR="00C62F19" w:rsidRPr="00684D3B" w:rsidRDefault="00C62F19" w:rsidP="00C62F1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Работу выполнил</w:t>
      </w:r>
      <w:r w:rsidRPr="00684D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Жигалов А.С.</w:t>
      </w:r>
    </w:p>
    <w:p w:rsidR="00C62F19" w:rsidRPr="00684D3B" w:rsidRDefault="00C62F19" w:rsidP="00C62F19">
      <w:pPr>
        <w:spacing w:after="0" w:line="360" w:lineRule="auto"/>
        <w:rPr>
          <w:rFonts w:ascii="Times New Roman" w:eastAsia="Times New Roman" w:hAnsi="Times New Roman" w:cs="Times New Roman"/>
          <w:color w:val="000000"/>
          <w:sz w:val="28"/>
          <w:szCs w:val="28"/>
          <w:lang w:eastAsia="ru-RU"/>
        </w:rPr>
      </w:pPr>
      <w:r w:rsidRPr="00684D3B">
        <w:rPr>
          <w:rFonts w:ascii="Times New Roman" w:eastAsia="Times New Roman" w:hAnsi="Times New Roman" w:cs="Times New Roman"/>
          <w:color w:val="000000"/>
          <w:sz w:val="28"/>
          <w:szCs w:val="28"/>
          <w:lang w:eastAsia="ru-RU"/>
        </w:rPr>
        <w:t xml:space="preserve">Факультет экономический курс </w:t>
      </w:r>
      <w:r w:rsidRPr="00684D3B">
        <w:rPr>
          <w:rFonts w:ascii="Times New Roman" w:eastAsia="Times New Roman" w:hAnsi="Times New Roman" w:cs="Times New Roman"/>
          <w:color w:val="000000"/>
          <w:sz w:val="28"/>
          <w:szCs w:val="28"/>
          <w:u w:val="single"/>
          <w:lang w:eastAsia="ru-RU"/>
        </w:rPr>
        <w:t xml:space="preserve">  </w:t>
      </w:r>
      <w:proofErr w:type="gramStart"/>
      <w:r w:rsidRPr="00684D3B">
        <w:rPr>
          <w:rFonts w:ascii="Times New Roman" w:eastAsia="Times New Roman" w:hAnsi="Times New Roman" w:cs="Times New Roman"/>
          <w:color w:val="000000"/>
          <w:sz w:val="28"/>
          <w:szCs w:val="28"/>
          <w:u w:val="single"/>
          <w:lang w:eastAsia="ru-RU"/>
        </w:rPr>
        <w:t xml:space="preserve">1  </w:t>
      </w:r>
      <w:r w:rsidRPr="00684D3B">
        <w:rPr>
          <w:rFonts w:ascii="Times New Roman" w:eastAsia="Times New Roman" w:hAnsi="Times New Roman" w:cs="Times New Roman"/>
          <w:color w:val="000000"/>
          <w:sz w:val="28"/>
          <w:szCs w:val="28"/>
          <w:lang w:eastAsia="ru-RU"/>
        </w:rPr>
        <w:t>группа</w:t>
      </w:r>
      <w:proofErr w:type="gramEnd"/>
      <w:r w:rsidRPr="00684D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u w:val="single"/>
          <w:lang w:eastAsia="ru-RU"/>
        </w:rPr>
        <w:t>122</w:t>
      </w:r>
      <w:r w:rsidRPr="00684D3B">
        <w:rPr>
          <w:rFonts w:ascii="Times New Roman" w:eastAsia="Times New Roman" w:hAnsi="Times New Roman" w:cs="Times New Roman"/>
          <w:color w:val="FFFFFF"/>
          <w:sz w:val="28"/>
          <w:szCs w:val="28"/>
          <w:u w:val="single"/>
          <w:lang w:eastAsia="ru-RU"/>
        </w:rPr>
        <w:t xml:space="preserve">2  </w:t>
      </w:r>
    </w:p>
    <w:p w:rsidR="00C62F19" w:rsidRPr="00684D3B" w:rsidRDefault="00C62F19" w:rsidP="00C62F19">
      <w:pPr>
        <w:spacing w:after="0" w:line="360" w:lineRule="auto"/>
        <w:rPr>
          <w:rFonts w:ascii="Times New Roman" w:eastAsia="Times New Roman" w:hAnsi="Times New Roman" w:cs="Times New Roman"/>
          <w:color w:val="000000"/>
          <w:sz w:val="28"/>
          <w:szCs w:val="28"/>
          <w:lang w:eastAsia="ru-RU"/>
        </w:rPr>
      </w:pPr>
      <w:r w:rsidRPr="00684D3B">
        <w:rPr>
          <w:rFonts w:ascii="Times New Roman" w:eastAsia="Times New Roman" w:hAnsi="Times New Roman" w:cs="Times New Roman"/>
          <w:color w:val="000000"/>
          <w:sz w:val="28"/>
          <w:szCs w:val="28"/>
          <w:lang w:eastAsia="ru-RU"/>
        </w:rPr>
        <w:t xml:space="preserve">Специальность/направление </w:t>
      </w:r>
      <w:r w:rsidRPr="00684D3B">
        <w:rPr>
          <w:rFonts w:ascii="Times New Roman" w:eastAsia="Times New Roman" w:hAnsi="Times New Roman" w:cs="Times New Roman"/>
          <w:color w:val="000000"/>
          <w:sz w:val="28"/>
          <w:szCs w:val="28"/>
          <w:u w:val="single"/>
          <w:lang w:eastAsia="ru-RU"/>
        </w:rPr>
        <w:t xml:space="preserve">Экономическая безопасность                          </w:t>
      </w:r>
    </w:p>
    <w:p w:rsidR="00C62F19" w:rsidRPr="00684D3B" w:rsidRDefault="00C62F19" w:rsidP="00C62F19">
      <w:pPr>
        <w:spacing w:line="360" w:lineRule="auto"/>
        <w:rPr>
          <w:rFonts w:ascii="Times New Roman" w:eastAsia="Times New Roman" w:hAnsi="Times New Roman" w:cs="Times New Roman"/>
          <w:color w:val="000000"/>
          <w:sz w:val="28"/>
          <w:szCs w:val="28"/>
          <w:u w:val="single"/>
          <w:lang w:eastAsia="ru-RU"/>
        </w:rPr>
      </w:pPr>
      <w:r w:rsidRPr="00684D3B">
        <w:rPr>
          <w:rFonts w:ascii="Times New Roman" w:eastAsia="Times New Roman" w:hAnsi="Times New Roman" w:cs="Times New Roman"/>
          <w:color w:val="000000"/>
          <w:sz w:val="28"/>
          <w:szCs w:val="28"/>
          <w:lang w:eastAsia="ru-RU"/>
        </w:rPr>
        <w:t xml:space="preserve">Научный руководитель, преподаватель </w:t>
      </w:r>
      <w:proofErr w:type="spellStart"/>
      <w:r w:rsidRPr="00684D3B">
        <w:rPr>
          <w:rFonts w:ascii="Times New Roman" w:eastAsia="Times New Roman" w:hAnsi="Times New Roman" w:cs="Times New Roman"/>
          <w:color w:val="000000"/>
          <w:sz w:val="28"/>
          <w:szCs w:val="28"/>
          <w:u w:val="single"/>
          <w:lang w:eastAsia="ru-RU"/>
        </w:rPr>
        <w:t>Клещева</w:t>
      </w:r>
      <w:proofErr w:type="spellEnd"/>
      <w:r w:rsidRPr="00684D3B">
        <w:rPr>
          <w:rFonts w:ascii="Times New Roman" w:eastAsia="Times New Roman" w:hAnsi="Times New Roman" w:cs="Times New Roman"/>
          <w:color w:val="000000"/>
          <w:sz w:val="28"/>
          <w:szCs w:val="28"/>
          <w:u w:val="single"/>
          <w:lang w:eastAsia="ru-RU"/>
        </w:rPr>
        <w:t xml:space="preserve"> Ю.С.</w:t>
      </w:r>
    </w:p>
    <w:p w:rsidR="00C62F19" w:rsidRPr="00684D3B" w:rsidRDefault="00C62F19" w:rsidP="00C62F19">
      <w:pPr>
        <w:spacing w:line="360" w:lineRule="auto"/>
        <w:rPr>
          <w:rFonts w:ascii="Times New Roman" w:eastAsia="Times New Roman" w:hAnsi="Times New Roman" w:cs="Times New Roman"/>
          <w:sz w:val="24"/>
          <w:lang w:eastAsia="ru-RU"/>
        </w:rPr>
      </w:pPr>
    </w:p>
    <w:p w:rsidR="00C62F19" w:rsidRPr="00684D3B" w:rsidRDefault="00C62F19" w:rsidP="00C62F19">
      <w:pPr>
        <w:spacing w:line="360" w:lineRule="auto"/>
        <w:rPr>
          <w:rFonts w:ascii="Times New Roman" w:eastAsia="Times New Roman" w:hAnsi="Times New Roman" w:cs="Times New Roman"/>
          <w:sz w:val="24"/>
          <w:lang w:eastAsia="ru-RU"/>
        </w:rPr>
      </w:pPr>
    </w:p>
    <w:p w:rsidR="00C62F19" w:rsidRPr="00684D3B" w:rsidRDefault="00C62F19" w:rsidP="00C62F19">
      <w:pPr>
        <w:spacing w:line="360" w:lineRule="auto"/>
        <w:rPr>
          <w:rFonts w:ascii="Times New Roman" w:eastAsia="Times New Roman" w:hAnsi="Times New Roman" w:cs="Times New Roman"/>
          <w:sz w:val="24"/>
          <w:lang w:eastAsia="ru-RU"/>
        </w:rPr>
      </w:pPr>
      <w:r w:rsidRPr="00684D3B">
        <w:rPr>
          <w:rFonts w:ascii="Times New Roman" w:eastAsia="Times New Roman" w:hAnsi="Times New Roman" w:cs="Times New Roman"/>
          <w:sz w:val="24"/>
          <w:lang w:eastAsia="ru-RU"/>
        </w:rPr>
        <w:t>Оценка __________</w:t>
      </w:r>
    </w:p>
    <w:p w:rsidR="00C62F19" w:rsidRPr="00684D3B" w:rsidRDefault="00C62F19" w:rsidP="00C62F19">
      <w:pPr>
        <w:spacing w:line="360" w:lineRule="auto"/>
        <w:rPr>
          <w:rFonts w:ascii="Times New Roman" w:eastAsia="Times New Roman" w:hAnsi="Times New Roman" w:cs="Times New Roman"/>
          <w:sz w:val="24"/>
          <w:lang w:eastAsia="ru-RU"/>
        </w:rPr>
      </w:pPr>
    </w:p>
    <w:p w:rsidR="00C62F19" w:rsidRPr="00684D3B" w:rsidRDefault="00C62F19" w:rsidP="00C62F19">
      <w:pPr>
        <w:spacing w:line="360" w:lineRule="auto"/>
        <w:rPr>
          <w:rFonts w:ascii="Times New Roman" w:eastAsia="Times New Roman" w:hAnsi="Times New Roman" w:cs="Times New Roman"/>
          <w:sz w:val="24"/>
          <w:lang w:eastAsia="ru-RU"/>
        </w:rPr>
      </w:pPr>
    </w:p>
    <w:p w:rsidR="00C62F19" w:rsidRPr="00684D3B" w:rsidRDefault="00C62F19" w:rsidP="00C62F19">
      <w:pPr>
        <w:spacing w:line="360" w:lineRule="auto"/>
        <w:rPr>
          <w:rFonts w:ascii="Times New Roman" w:eastAsia="Times New Roman" w:hAnsi="Times New Roman" w:cs="Times New Roman"/>
          <w:sz w:val="24"/>
          <w:lang w:eastAsia="ru-RU"/>
        </w:rPr>
      </w:pPr>
    </w:p>
    <w:p w:rsidR="00C62F19" w:rsidRPr="00684D3B" w:rsidRDefault="00C62F19" w:rsidP="00C62F19">
      <w:pPr>
        <w:spacing w:line="360" w:lineRule="auto"/>
        <w:rPr>
          <w:rFonts w:ascii="Times New Roman" w:eastAsia="Times New Roman" w:hAnsi="Times New Roman" w:cs="Times New Roman"/>
          <w:sz w:val="24"/>
          <w:lang w:eastAsia="ru-RU"/>
        </w:rPr>
      </w:pPr>
    </w:p>
    <w:p w:rsidR="00C62F19" w:rsidRPr="00684D3B" w:rsidRDefault="00C62F19" w:rsidP="00C62F19">
      <w:pPr>
        <w:spacing w:line="360" w:lineRule="auto"/>
        <w:rPr>
          <w:rFonts w:ascii="Times New Roman" w:eastAsia="Times New Roman" w:hAnsi="Times New Roman" w:cs="Times New Roman"/>
          <w:sz w:val="24"/>
          <w:lang w:eastAsia="ru-RU"/>
        </w:rPr>
      </w:pPr>
    </w:p>
    <w:p w:rsidR="00C62F19" w:rsidRPr="00924B8C" w:rsidRDefault="00C62F19" w:rsidP="00C62F19">
      <w:pPr>
        <w:spacing w:line="36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Краснодар</w:t>
      </w:r>
      <w:r>
        <w:rPr>
          <w:rFonts w:ascii="Times New Roman" w:eastAsia="Times New Roman" w:hAnsi="Times New Roman" w:cs="Times New Roman"/>
          <w:sz w:val="24"/>
          <w:lang w:eastAsia="ru-RU"/>
        </w:rPr>
        <w:br/>
        <w:t>2019 г</w:t>
      </w:r>
      <w:r w:rsidRPr="00924B8C">
        <w:rPr>
          <w:rFonts w:ascii="Times New Roman" w:eastAsia="Times New Roman" w:hAnsi="Times New Roman" w:cs="Times New Roman"/>
          <w:sz w:val="24"/>
          <w:lang w:eastAsia="ru-RU"/>
        </w:rPr>
        <w:t>.</w:t>
      </w:r>
    </w:p>
    <w:p w:rsidR="00C62F19" w:rsidRPr="00945FA2" w:rsidRDefault="00C62F19" w:rsidP="00945FA2">
      <w:pPr>
        <w:pStyle w:val="a3"/>
        <w:spacing w:line="360" w:lineRule="auto"/>
        <w:ind w:firstLine="709"/>
        <w:jc w:val="both"/>
        <w:rPr>
          <w:sz w:val="28"/>
          <w:szCs w:val="28"/>
        </w:rPr>
      </w:pPr>
      <w:r w:rsidRPr="00945FA2">
        <w:rPr>
          <w:rStyle w:val="a4"/>
          <w:sz w:val="28"/>
          <w:szCs w:val="28"/>
        </w:rPr>
        <w:lastRenderedPageBreak/>
        <w:t>Дания</w:t>
      </w:r>
      <w:r w:rsidRPr="00945FA2">
        <w:rPr>
          <w:sz w:val="28"/>
          <w:szCs w:val="28"/>
        </w:rPr>
        <w:t xml:space="preserve"> – самая южная из стран Скандинавии, расположенная преимущественно на полуострове Ютландия и включающая в себя 409 островов Датского архипелага, а также две автономные области – Гренландию и Фарерские острова.</w:t>
      </w:r>
    </w:p>
    <w:p w:rsidR="00000000" w:rsidRPr="00945FA2" w:rsidRDefault="00C62F19" w:rsidP="00945FA2">
      <w:pPr>
        <w:pStyle w:val="a3"/>
        <w:spacing w:line="360" w:lineRule="auto"/>
        <w:ind w:firstLine="709"/>
        <w:jc w:val="both"/>
        <w:rPr>
          <w:sz w:val="28"/>
          <w:szCs w:val="28"/>
        </w:rPr>
      </w:pPr>
      <w:r w:rsidRPr="00945FA2">
        <w:rPr>
          <w:sz w:val="28"/>
          <w:szCs w:val="28"/>
        </w:rPr>
        <w:t>Омываемое Северным и Балтийским морями, это маленькое европейское государство уже давно стало символом стабильности и финансового благополучия. Успешно совмещая передовые технологии и верность собственным традициям, Дания смогла не только создать себе имидж одной из самых развитых стран Евросоюза, но и выйти на 4-е место в мире по уровню жизни населения. При этом, как и сотни лет назад, государство продолжает оставаться конституционной монархией, по сути являясь небольшим островным королевством.</w:t>
      </w:r>
      <w:r w:rsidRPr="00945FA2">
        <w:rPr>
          <w:rFonts w:eastAsiaTheme="minorEastAsia"/>
          <w:color w:val="44546A" w:themeColor="text2"/>
          <w:kern w:val="24"/>
          <w:sz w:val="28"/>
          <w:szCs w:val="28"/>
        </w:rPr>
        <w:t xml:space="preserve"> </w:t>
      </w:r>
      <w:r w:rsidR="00B6747E" w:rsidRPr="00945FA2">
        <w:rPr>
          <w:sz w:val="28"/>
          <w:szCs w:val="28"/>
        </w:rPr>
        <w:t>Население составляет 5 543 453 человек</w:t>
      </w:r>
    </w:p>
    <w:p w:rsidR="00000000" w:rsidRPr="00945FA2" w:rsidRDefault="00B6747E" w:rsidP="00B6747E">
      <w:pPr>
        <w:pStyle w:val="a3"/>
        <w:spacing w:line="360" w:lineRule="auto"/>
        <w:jc w:val="both"/>
        <w:rPr>
          <w:sz w:val="28"/>
          <w:szCs w:val="28"/>
        </w:rPr>
      </w:pPr>
      <w:r w:rsidRPr="00945FA2">
        <w:rPr>
          <w:sz w:val="28"/>
          <w:szCs w:val="28"/>
        </w:rPr>
        <w:t>Общая площадь Дании составляет</w:t>
      </w:r>
      <w:r w:rsidRPr="00945FA2">
        <w:rPr>
          <w:sz w:val="28"/>
          <w:szCs w:val="28"/>
        </w:rPr>
        <w:t xml:space="preserve"> 42 394 км²</w:t>
      </w:r>
    </w:p>
    <w:p w:rsidR="00C62F19" w:rsidRPr="00945FA2" w:rsidRDefault="00C62F19" w:rsidP="00B6747E">
      <w:pPr>
        <w:pStyle w:val="a3"/>
        <w:spacing w:line="360" w:lineRule="auto"/>
        <w:jc w:val="both"/>
        <w:rPr>
          <w:sz w:val="28"/>
          <w:szCs w:val="28"/>
        </w:rPr>
      </w:pPr>
      <w:r w:rsidRPr="00945FA2">
        <w:rPr>
          <w:sz w:val="28"/>
          <w:szCs w:val="28"/>
        </w:rPr>
        <w:t>Официальный язык -- норвежский</w:t>
      </w:r>
      <w:bookmarkStart w:id="0" w:name="_GoBack"/>
      <w:bookmarkEnd w:id="0"/>
    </w:p>
    <w:p w:rsidR="00000000" w:rsidRPr="00945FA2" w:rsidRDefault="00B6747E" w:rsidP="00B6747E">
      <w:pPr>
        <w:pStyle w:val="a3"/>
        <w:spacing w:line="360" w:lineRule="auto"/>
        <w:jc w:val="both"/>
        <w:rPr>
          <w:sz w:val="28"/>
          <w:szCs w:val="28"/>
        </w:rPr>
      </w:pPr>
      <w:r w:rsidRPr="00945FA2">
        <w:rPr>
          <w:sz w:val="28"/>
          <w:szCs w:val="28"/>
        </w:rPr>
        <w:t>Столица – Копенгаген</w:t>
      </w:r>
    </w:p>
    <w:p w:rsidR="00C62F19" w:rsidRPr="00945FA2" w:rsidRDefault="00B6747E" w:rsidP="00B6747E">
      <w:pPr>
        <w:pStyle w:val="a3"/>
        <w:spacing w:line="360" w:lineRule="auto"/>
        <w:ind w:firstLine="709"/>
        <w:jc w:val="both"/>
        <w:rPr>
          <w:sz w:val="28"/>
          <w:szCs w:val="28"/>
        </w:rPr>
      </w:pPr>
      <w:r w:rsidRPr="00945FA2">
        <w:rPr>
          <w:sz w:val="28"/>
          <w:szCs w:val="28"/>
        </w:rPr>
        <w:t>Религия - По данным официальной статистики на январь 2002 года, 87,4 % датчан являются членами государственной Датской народной церкви (известной также как Церковь Дании и принадлежащей к лютеранству. Но по результатам опроса только 3</w:t>
      </w:r>
      <w:r w:rsidRPr="00945FA2">
        <w:rPr>
          <w:sz w:val="28"/>
          <w:szCs w:val="28"/>
        </w:rPr>
        <w:t xml:space="preserve">1 % датчан верят в Бога, 49 % верят в какой-либо дух или силу жизни, 19 % не верят ни в бога, ни в какой-либо дух или силу жизни. Остальная часть населения исповедует, в основном, другие конфессии </w:t>
      </w:r>
      <w:r w:rsidRPr="00B6747E">
        <w:rPr>
          <w:sz w:val="28"/>
          <w:szCs w:val="28"/>
        </w:rPr>
        <w:t>христианства</w:t>
      </w:r>
      <w:r w:rsidRPr="00945FA2">
        <w:rPr>
          <w:sz w:val="28"/>
          <w:szCs w:val="28"/>
        </w:rPr>
        <w:t>. Это католики, адвентисты, баптисты, методисты, сторонники Армии Спасения и Датского пятидесятническог</w:t>
      </w:r>
      <w:r w:rsidRPr="00945FA2">
        <w:rPr>
          <w:sz w:val="28"/>
          <w:szCs w:val="28"/>
        </w:rPr>
        <w:t xml:space="preserve">о движения (Ассамблей Бога). Около 3 % — мусульмане. </w:t>
      </w:r>
    </w:p>
    <w:p w:rsidR="00C62F19" w:rsidRPr="00945FA2" w:rsidRDefault="00C62F19" w:rsidP="00945FA2">
      <w:pPr>
        <w:pStyle w:val="a3"/>
        <w:spacing w:line="360" w:lineRule="auto"/>
        <w:ind w:firstLine="709"/>
        <w:jc w:val="both"/>
        <w:rPr>
          <w:b/>
          <w:sz w:val="28"/>
          <w:szCs w:val="28"/>
        </w:rPr>
      </w:pPr>
      <w:r w:rsidRPr="00945FA2">
        <w:rPr>
          <w:b/>
          <w:sz w:val="28"/>
          <w:szCs w:val="28"/>
        </w:rPr>
        <w:t>Политический строй.</w:t>
      </w:r>
    </w:p>
    <w:p w:rsidR="00C62F19" w:rsidRPr="00945FA2" w:rsidRDefault="00C62F19" w:rsidP="00945FA2">
      <w:pPr>
        <w:pStyle w:val="a3"/>
        <w:spacing w:line="360" w:lineRule="auto"/>
        <w:ind w:firstLine="709"/>
        <w:jc w:val="both"/>
        <w:rPr>
          <w:sz w:val="28"/>
          <w:szCs w:val="28"/>
        </w:rPr>
      </w:pPr>
      <w:r w:rsidRPr="00945FA2">
        <w:rPr>
          <w:sz w:val="28"/>
          <w:szCs w:val="28"/>
        </w:rPr>
        <w:lastRenderedPageBreak/>
        <w:t>Дания — конституционная монархия. Конституция принята в 1849, изменения внесены в 1915 и 1953, когда был создан однопалатный парламент и женщинам было разрешено становиться главой государства.</w:t>
      </w:r>
    </w:p>
    <w:p w:rsidR="00C62F19" w:rsidRPr="00945FA2" w:rsidRDefault="00C62F19" w:rsidP="00945FA2">
      <w:pPr>
        <w:pStyle w:val="a3"/>
        <w:spacing w:line="360" w:lineRule="auto"/>
        <w:ind w:firstLine="709"/>
        <w:jc w:val="both"/>
        <w:rPr>
          <w:sz w:val="28"/>
          <w:szCs w:val="28"/>
        </w:rPr>
      </w:pPr>
      <w:r w:rsidRPr="00945FA2">
        <w:rPr>
          <w:sz w:val="28"/>
          <w:szCs w:val="28"/>
        </w:rPr>
        <w:t xml:space="preserve">Административное деление — 14 </w:t>
      </w:r>
      <w:proofErr w:type="spellStart"/>
      <w:r w:rsidRPr="00945FA2">
        <w:rPr>
          <w:sz w:val="28"/>
          <w:szCs w:val="28"/>
        </w:rPr>
        <w:t>амтов</w:t>
      </w:r>
      <w:proofErr w:type="spellEnd"/>
      <w:r w:rsidRPr="00945FA2">
        <w:rPr>
          <w:sz w:val="28"/>
          <w:szCs w:val="28"/>
        </w:rPr>
        <w:t xml:space="preserve"> — </w:t>
      </w:r>
      <w:proofErr w:type="spellStart"/>
      <w:r w:rsidRPr="00945FA2">
        <w:rPr>
          <w:sz w:val="28"/>
          <w:szCs w:val="28"/>
        </w:rPr>
        <w:t>Борнхольм</w:t>
      </w:r>
      <w:proofErr w:type="spellEnd"/>
      <w:r w:rsidRPr="00945FA2">
        <w:rPr>
          <w:sz w:val="28"/>
          <w:szCs w:val="28"/>
        </w:rPr>
        <w:t xml:space="preserve">, Вейле, </w:t>
      </w:r>
      <w:proofErr w:type="spellStart"/>
      <w:r w:rsidRPr="00945FA2">
        <w:rPr>
          <w:sz w:val="28"/>
          <w:szCs w:val="28"/>
        </w:rPr>
        <w:t>Виборг</w:t>
      </w:r>
      <w:proofErr w:type="spellEnd"/>
      <w:r w:rsidRPr="00945FA2">
        <w:rPr>
          <w:sz w:val="28"/>
          <w:szCs w:val="28"/>
        </w:rPr>
        <w:t xml:space="preserve">, Западная Ютландия, Копенгаген, </w:t>
      </w:r>
      <w:proofErr w:type="spellStart"/>
      <w:r w:rsidRPr="00945FA2">
        <w:rPr>
          <w:sz w:val="28"/>
          <w:szCs w:val="28"/>
        </w:rPr>
        <w:t>Орхус</w:t>
      </w:r>
      <w:proofErr w:type="spellEnd"/>
      <w:r w:rsidRPr="00945FA2">
        <w:rPr>
          <w:sz w:val="28"/>
          <w:szCs w:val="28"/>
        </w:rPr>
        <w:t xml:space="preserve">, </w:t>
      </w:r>
      <w:proofErr w:type="spellStart"/>
      <w:r w:rsidRPr="00945FA2">
        <w:rPr>
          <w:sz w:val="28"/>
          <w:szCs w:val="28"/>
        </w:rPr>
        <w:t>Рибе</w:t>
      </w:r>
      <w:proofErr w:type="spellEnd"/>
      <w:r w:rsidRPr="00945FA2">
        <w:rPr>
          <w:sz w:val="28"/>
          <w:szCs w:val="28"/>
        </w:rPr>
        <w:t xml:space="preserve">, </w:t>
      </w:r>
      <w:proofErr w:type="spellStart"/>
      <w:r w:rsidRPr="00945FA2">
        <w:rPr>
          <w:sz w:val="28"/>
          <w:szCs w:val="28"/>
        </w:rPr>
        <w:t>Рингкопинг</w:t>
      </w:r>
      <w:proofErr w:type="spellEnd"/>
      <w:r w:rsidRPr="00945FA2">
        <w:rPr>
          <w:sz w:val="28"/>
          <w:szCs w:val="28"/>
        </w:rPr>
        <w:t xml:space="preserve">, </w:t>
      </w:r>
      <w:proofErr w:type="spellStart"/>
      <w:r w:rsidRPr="00945FA2">
        <w:rPr>
          <w:sz w:val="28"/>
          <w:szCs w:val="28"/>
        </w:rPr>
        <w:t>Роскильде</w:t>
      </w:r>
      <w:proofErr w:type="spellEnd"/>
      <w:r w:rsidRPr="00945FA2">
        <w:rPr>
          <w:sz w:val="28"/>
          <w:szCs w:val="28"/>
        </w:rPr>
        <w:t xml:space="preserve">, Северная Ютландия, </w:t>
      </w:r>
      <w:proofErr w:type="spellStart"/>
      <w:r w:rsidRPr="00945FA2">
        <w:rPr>
          <w:sz w:val="28"/>
          <w:szCs w:val="28"/>
        </w:rPr>
        <w:t>Сторстрем</w:t>
      </w:r>
      <w:proofErr w:type="spellEnd"/>
      <w:r w:rsidRPr="00945FA2">
        <w:rPr>
          <w:sz w:val="28"/>
          <w:szCs w:val="28"/>
        </w:rPr>
        <w:t xml:space="preserve">, </w:t>
      </w:r>
      <w:proofErr w:type="spellStart"/>
      <w:r w:rsidRPr="00945FA2">
        <w:rPr>
          <w:sz w:val="28"/>
          <w:szCs w:val="28"/>
        </w:rPr>
        <w:t>Фредериксборг</w:t>
      </w:r>
      <w:proofErr w:type="spellEnd"/>
      <w:r w:rsidRPr="00945FA2">
        <w:rPr>
          <w:sz w:val="28"/>
          <w:szCs w:val="28"/>
        </w:rPr>
        <w:t xml:space="preserve">, </w:t>
      </w:r>
      <w:proofErr w:type="spellStart"/>
      <w:r w:rsidRPr="00945FA2">
        <w:rPr>
          <w:sz w:val="28"/>
          <w:szCs w:val="28"/>
        </w:rPr>
        <w:t>Фюн</w:t>
      </w:r>
      <w:proofErr w:type="spellEnd"/>
      <w:r w:rsidRPr="00945FA2">
        <w:rPr>
          <w:sz w:val="28"/>
          <w:szCs w:val="28"/>
        </w:rPr>
        <w:t xml:space="preserve">, Южная Ютландия; города Копенгаген и </w:t>
      </w:r>
      <w:proofErr w:type="spellStart"/>
      <w:r w:rsidRPr="00945FA2">
        <w:rPr>
          <w:sz w:val="28"/>
          <w:szCs w:val="28"/>
        </w:rPr>
        <w:t>Фредериксберг</w:t>
      </w:r>
      <w:proofErr w:type="spellEnd"/>
      <w:r w:rsidRPr="00945FA2">
        <w:rPr>
          <w:sz w:val="28"/>
          <w:szCs w:val="28"/>
        </w:rPr>
        <w:t xml:space="preserve"> выделены в самостоятельные административные единицы. Наиболее крупные города: Копенгаген, </w:t>
      </w:r>
      <w:proofErr w:type="spellStart"/>
      <w:r w:rsidRPr="00945FA2">
        <w:rPr>
          <w:sz w:val="28"/>
          <w:szCs w:val="28"/>
        </w:rPr>
        <w:t>Орхус</w:t>
      </w:r>
      <w:proofErr w:type="spellEnd"/>
      <w:r w:rsidRPr="00945FA2">
        <w:rPr>
          <w:sz w:val="28"/>
          <w:szCs w:val="28"/>
        </w:rPr>
        <w:t xml:space="preserve">, </w:t>
      </w:r>
      <w:proofErr w:type="spellStart"/>
      <w:r w:rsidRPr="00945FA2">
        <w:rPr>
          <w:sz w:val="28"/>
          <w:szCs w:val="28"/>
        </w:rPr>
        <w:t>Ольборг</w:t>
      </w:r>
      <w:proofErr w:type="spellEnd"/>
      <w:r w:rsidRPr="00945FA2">
        <w:rPr>
          <w:sz w:val="28"/>
          <w:szCs w:val="28"/>
        </w:rPr>
        <w:t xml:space="preserve">, Оденсе. </w:t>
      </w:r>
    </w:p>
    <w:p w:rsidR="00C62F19" w:rsidRPr="00945FA2" w:rsidRDefault="00C62F19" w:rsidP="00945FA2">
      <w:pPr>
        <w:pStyle w:val="a3"/>
        <w:spacing w:line="360" w:lineRule="auto"/>
        <w:ind w:firstLine="709"/>
        <w:jc w:val="both"/>
        <w:rPr>
          <w:sz w:val="28"/>
          <w:szCs w:val="28"/>
        </w:rPr>
      </w:pPr>
      <w:r w:rsidRPr="00945FA2">
        <w:rPr>
          <w:sz w:val="28"/>
          <w:szCs w:val="28"/>
        </w:rPr>
        <w:t xml:space="preserve">Глава государства — король, осуществляющий законодательную власть совместно с однопалатным парламентом. Высший орган законодательной власти — фолькетинг. Исполнительная власть принадлежит монарху и осуществляется от его имени правительством. Правительство назначается премьер-министром, утверждается фолькетингом и ответственно перед ним. В него входят 24 министра (их число может меняться). Глава государства — королева </w:t>
      </w:r>
      <w:proofErr w:type="spellStart"/>
      <w:r w:rsidRPr="00945FA2">
        <w:rPr>
          <w:sz w:val="28"/>
          <w:szCs w:val="28"/>
        </w:rPr>
        <w:t>Маргрете</w:t>
      </w:r>
      <w:proofErr w:type="spellEnd"/>
      <w:r w:rsidRPr="00945FA2">
        <w:rPr>
          <w:sz w:val="28"/>
          <w:szCs w:val="28"/>
        </w:rPr>
        <w:t xml:space="preserve"> II (с 14 января 1972). Глава правительства — Андерс </w:t>
      </w:r>
      <w:proofErr w:type="spellStart"/>
      <w:r w:rsidRPr="00945FA2">
        <w:rPr>
          <w:sz w:val="28"/>
          <w:szCs w:val="28"/>
        </w:rPr>
        <w:t>Фог</w:t>
      </w:r>
      <w:proofErr w:type="spellEnd"/>
      <w:r w:rsidRPr="00945FA2">
        <w:rPr>
          <w:sz w:val="28"/>
          <w:szCs w:val="28"/>
        </w:rPr>
        <w:t xml:space="preserve"> </w:t>
      </w:r>
      <w:proofErr w:type="spellStart"/>
      <w:r w:rsidRPr="00945FA2">
        <w:rPr>
          <w:sz w:val="28"/>
          <w:szCs w:val="28"/>
        </w:rPr>
        <w:t>Расмуссен</w:t>
      </w:r>
      <w:proofErr w:type="spellEnd"/>
      <w:r w:rsidRPr="00945FA2">
        <w:rPr>
          <w:sz w:val="28"/>
          <w:szCs w:val="28"/>
        </w:rPr>
        <w:t xml:space="preserve"> (с 27 ноября 2001).</w:t>
      </w:r>
    </w:p>
    <w:p w:rsidR="00C62F19" w:rsidRPr="00945FA2" w:rsidRDefault="00C62F19" w:rsidP="00945FA2">
      <w:pPr>
        <w:pStyle w:val="a3"/>
        <w:spacing w:line="360" w:lineRule="auto"/>
        <w:ind w:firstLine="709"/>
        <w:jc w:val="both"/>
        <w:rPr>
          <w:sz w:val="28"/>
          <w:szCs w:val="28"/>
        </w:rPr>
      </w:pPr>
      <w:r w:rsidRPr="00945FA2">
        <w:rPr>
          <w:sz w:val="28"/>
          <w:szCs w:val="28"/>
        </w:rPr>
        <w:t xml:space="preserve">179 депутатов (включая 2 от Фарерских островов и 2 от Гренландии) фолькетинга избираются всеобщим (с 18 лет), прямым и тайным голосованием по пропорциональной системе сроком на 4 года. В результате парламентских выборов 2001 партия </w:t>
      </w:r>
      <w:proofErr w:type="spellStart"/>
      <w:r w:rsidRPr="00945FA2">
        <w:rPr>
          <w:sz w:val="28"/>
          <w:szCs w:val="28"/>
        </w:rPr>
        <w:t>Венстре</w:t>
      </w:r>
      <w:proofErr w:type="spellEnd"/>
      <w:r w:rsidRPr="00945FA2">
        <w:rPr>
          <w:sz w:val="28"/>
          <w:szCs w:val="28"/>
        </w:rPr>
        <w:t xml:space="preserve"> получила 56 мандатов, Социал-демократическая партия Д. — 52, Партия датского народа — 22, Консервативная народная — 16, Социалистическая народная — 12, Радикальная левая — 9, Христианская народная — 4, Единый список — 4.</w:t>
      </w:r>
    </w:p>
    <w:p w:rsidR="00C62F19" w:rsidRPr="00945FA2" w:rsidRDefault="00C62F19" w:rsidP="00945FA2">
      <w:pPr>
        <w:pStyle w:val="a3"/>
        <w:spacing w:line="360" w:lineRule="auto"/>
        <w:ind w:firstLine="709"/>
        <w:jc w:val="both"/>
        <w:rPr>
          <w:sz w:val="28"/>
          <w:szCs w:val="28"/>
        </w:rPr>
      </w:pPr>
      <w:r w:rsidRPr="00945FA2">
        <w:rPr>
          <w:sz w:val="28"/>
          <w:szCs w:val="28"/>
        </w:rPr>
        <w:t xml:space="preserve">В административно-территориальных единицах — коммунах (их в Д. 275) действуют выборные муниципальные советы во главе с бургомистрами. В их компетенции решение всех местных вопросов. Кроме того, 14 </w:t>
      </w:r>
      <w:proofErr w:type="spellStart"/>
      <w:r w:rsidRPr="00945FA2">
        <w:rPr>
          <w:sz w:val="28"/>
          <w:szCs w:val="28"/>
        </w:rPr>
        <w:t>амтами</w:t>
      </w:r>
      <w:proofErr w:type="spellEnd"/>
      <w:r w:rsidRPr="00945FA2">
        <w:rPr>
          <w:sz w:val="28"/>
          <w:szCs w:val="28"/>
        </w:rPr>
        <w:t xml:space="preserve"> (округами) руководят выборные окружные советы во главе с председателем. </w:t>
      </w:r>
      <w:r w:rsidRPr="00945FA2">
        <w:rPr>
          <w:sz w:val="28"/>
          <w:szCs w:val="28"/>
        </w:rPr>
        <w:lastRenderedPageBreak/>
        <w:t xml:space="preserve">В их функции входит реализация проектов, которые не под силу отдельным коммунам, </w:t>
      </w:r>
      <w:proofErr w:type="gramStart"/>
      <w:r w:rsidRPr="00945FA2">
        <w:rPr>
          <w:sz w:val="28"/>
          <w:szCs w:val="28"/>
        </w:rPr>
        <w:t>например</w:t>
      </w:r>
      <w:proofErr w:type="gramEnd"/>
      <w:r w:rsidRPr="00945FA2">
        <w:rPr>
          <w:sz w:val="28"/>
          <w:szCs w:val="28"/>
        </w:rPr>
        <w:t xml:space="preserve"> строительство дорог и больниц.</w:t>
      </w:r>
    </w:p>
    <w:p w:rsidR="00C03735" w:rsidRPr="00945FA2" w:rsidRDefault="00C62F19" w:rsidP="00945FA2">
      <w:pPr>
        <w:spacing w:line="360" w:lineRule="auto"/>
        <w:ind w:firstLine="709"/>
        <w:jc w:val="both"/>
        <w:rPr>
          <w:rFonts w:ascii="Times New Roman" w:hAnsi="Times New Roman" w:cs="Times New Roman"/>
          <w:b/>
          <w:sz w:val="28"/>
          <w:szCs w:val="28"/>
        </w:rPr>
      </w:pPr>
      <w:r w:rsidRPr="00945FA2">
        <w:rPr>
          <w:rFonts w:ascii="Times New Roman" w:hAnsi="Times New Roman" w:cs="Times New Roman"/>
          <w:b/>
          <w:sz w:val="28"/>
          <w:szCs w:val="28"/>
        </w:rPr>
        <w:t>Природные ресурсы</w:t>
      </w:r>
    </w:p>
    <w:p w:rsidR="00C62F19" w:rsidRPr="00945FA2" w:rsidRDefault="00C62F19" w:rsidP="00945FA2">
      <w:pPr>
        <w:spacing w:line="360" w:lineRule="auto"/>
        <w:ind w:firstLine="709"/>
        <w:jc w:val="both"/>
        <w:rPr>
          <w:rFonts w:ascii="Times New Roman" w:hAnsi="Times New Roman" w:cs="Times New Roman"/>
          <w:sz w:val="28"/>
          <w:szCs w:val="28"/>
        </w:rPr>
      </w:pPr>
      <w:r w:rsidRPr="00945FA2">
        <w:rPr>
          <w:rFonts w:ascii="Times New Roman" w:hAnsi="Times New Roman" w:cs="Times New Roman"/>
          <w:b/>
          <w:bCs/>
          <w:sz w:val="28"/>
          <w:szCs w:val="28"/>
        </w:rPr>
        <w:t>Пищевая промышленность.</w:t>
      </w:r>
      <w:r w:rsidRPr="00945FA2">
        <w:rPr>
          <w:rFonts w:ascii="Times New Roman" w:hAnsi="Times New Roman" w:cs="Times New Roman"/>
          <w:sz w:val="28"/>
          <w:szCs w:val="28"/>
        </w:rPr>
        <w:t xml:space="preserve"> Эта отрасль характеризуется высоким уровнем механизации и широк5им производственным профилем. Сахарные заводы сконцентрированы на островах. Кроме молочных заводов и скотобоен в стране много мукомольных, хлебопекарных, консервных, </w:t>
      </w:r>
      <w:proofErr w:type="spellStart"/>
      <w:proofErr w:type="gramStart"/>
      <w:r w:rsidRPr="00945FA2">
        <w:rPr>
          <w:rFonts w:ascii="Times New Roman" w:hAnsi="Times New Roman" w:cs="Times New Roman"/>
          <w:sz w:val="28"/>
          <w:szCs w:val="28"/>
        </w:rPr>
        <w:t>спирто</w:t>
      </w:r>
      <w:proofErr w:type="spellEnd"/>
      <w:r w:rsidRPr="00945FA2">
        <w:rPr>
          <w:rFonts w:ascii="Times New Roman" w:hAnsi="Times New Roman" w:cs="Times New Roman"/>
          <w:sz w:val="28"/>
          <w:szCs w:val="28"/>
        </w:rPr>
        <w:t>-водочных</w:t>
      </w:r>
      <w:proofErr w:type="gramEnd"/>
      <w:r w:rsidRPr="00945FA2">
        <w:rPr>
          <w:rFonts w:ascii="Times New Roman" w:hAnsi="Times New Roman" w:cs="Times New Roman"/>
          <w:sz w:val="28"/>
          <w:szCs w:val="28"/>
        </w:rPr>
        <w:t xml:space="preserve">, кондитерских и табачных изделий. Датское пиво производят в Копенгагене, отнеси, </w:t>
      </w:r>
      <w:proofErr w:type="spellStart"/>
      <w:r w:rsidRPr="00945FA2">
        <w:rPr>
          <w:rFonts w:ascii="Times New Roman" w:hAnsi="Times New Roman" w:cs="Times New Roman"/>
          <w:sz w:val="28"/>
          <w:szCs w:val="28"/>
        </w:rPr>
        <w:t>Орхусе</w:t>
      </w:r>
      <w:proofErr w:type="spellEnd"/>
      <w:r w:rsidRPr="00945FA2">
        <w:rPr>
          <w:rFonts w:ascii="Times New Roman" w:hAnsi="Times New Roman" w:cs="Times New Roman"/>
          <w:sz w:val="28"/>
          <w:szCs w:val="28"/>
        </w:rPr>
        <w:t xml:space="preserve"> и </w:t>
      </w:r>
      <w:proofErr w:type="spellStart"/>
      <w:r w:rsidRPr="00945FA2">
        <w:rPr>
          <w:rFonts w:ascii="Times New Roman" w:hAnsi="Times New Roman" w:cs="Times New Roman"/>
          <w:sz w:val="28"/>
          <w:szCs w:val="28"/>
        </w:rPr>
        <w:t>Раннерсе</w:t>
      </w:r>
      <w:proofErr w:type="spellEnd"/>
      <w:r w:rsidRPr="00945FA2">
        <w:rPr>
          <w:rFonts w:ascii="Times New Roman" w:hAnsi="Times New Roman" w:cs="Times New Roman"/>
          <w:sz w:val="28"/>
          <w:szCs w:val="28"/>
        </w:rPr>
        <w:t>. Дания традиционно является главным поставщиком на мировой рынок радужной форели.</w:t>
      </w:r>
    </w:p>
    <w:p w:rsidR="00C62F19" w:rsidRPr="00945FA2" w:rsidRDefault="00C62F19" w:rsidP="00945FA2">
      <w:pPr>
        <w:spacing w:line="360" w:lineRule="auto"/>
        <w:ind w:firstLine="709"/>
        <w:jc w:val="both"/>
        <w:rPr>
          <w:rFonts w:ascii="Times New Roman" w:hAnsi="Times New Roman" w:cs="Times New Roman"/>
          <w:sz w:val="28"/>
          <w:szCs w:val="28"/>
        </w:rPr>
      </w:pPr>
      <w:r w:rsidRPr="00945FA2">
        <w:rPr>
          <w:rFonts w:ascii="Times New Roman" w:hAnsi="Times New Roman" w:cs="Times New Roman"/>
          <w:b/>
          <w:bCs/>
          <w:sz w:val="28"/>
          <w:szCs w:val="28"/>
        </w:rPr>
        <w:t>Электронная промышленность</w:t>
      </w:r>
      <w:r w:rsidRPr="00945FA2">
        <w:rPr>
          <w:rFonts w:ascii="Times New Roman" w:hAnsi="Times New Roman" w:cs="Times New Roman"/>
          <w:sz w:val="28"/>
          <w:szCs w:val="28"/>
        </w:rPr>
        <w:t xml:space="preserve"> занимает узкий сегмент на датском производственном рынке. В данной области работают 2233 компании, что составляет лишь 0,52% от их общего числа. На их долю приходится 0,92% производимой продукции, и 2% датского экспорта в производственной сфере. Ряд датских компаний занимают передовые позиции на рынке контрольно-измерительной аппаратуры </w:t>
      </w:r>
      <w:proofErr w:type="gramStart"/>
      <w:r w:rsidRPr="00945FA2">
        <w:rPr>
          <w:rFonts w:ascii="Times New Roman" w:hAnsi="Times New Roman" w:cs="Times New Roman"/>
          <w:sz w:val="28"/>
          <w:szCs w:val="28"/>
        </w:rPr>
        <w:t>для телекоммуникационный сектора</w:t>
      </w:r>
      <w:proofErr w:type="gramEnd"/>
      <w:r w:rsidRPr="00945FA2">
        <w:rPr>
          <w:rFonts w:ascii="Times New Roman" w:hAnsi="Times New Roman" w:cs="Times New Roman"/>
          <w:sz w:val="28"/>
          <w:szCs w:val="28"/>
        </w:rPr>
        <w:t>. Хорошо известны в мире и датские оптоволоконные технологии. Датчане имеют большой опыт в производстве и обслуживании сотовых сетей связи и морских радиосистем</w:t>
      </w:r>
    </w:p>
    <w:p w:rsidR="00C62F19" w:rsidRPr="00945FA2" w:rsidRDefault="00C62F19" w:rsidP="00945FA2">
      <w:pPr>
        <w:spacing w:line="360" w:lineRule="auto"/>
        <w:ind w:firstLine="709"/>
        <w:jc w:val="both"/>
        <w:rPr>
          <w:rFonts w:ascii="Times New Roman" w:hAnsi="Times New Roman" w:cs="Times New Roman"/>
          <w:sz w:val="28"/>
          <w:szCs w:val="28"/>
        </w:rPr>
      </w:pPr>
      <w:r w:rsidRPr="00945FA2">
        <w:rPr>
          <w:rFonts w:ascii="Times New Roman" w:hAnsi="Times New Roman" w:cs="Times New Roman"/>
          <w:sz w:val="28"/>
          <w:szCs w:val="28"/>
        </w:rPr>
        <w:t>Сельскохозяйственное производство Дании характеризуется высоким уровнем технологии и агротехники, который достигается за счет систематического использования самых передовых разработок в этой области, высокой степени механизации и автоматизации работ. В области функционируют 70 тыс. Фермерских хозяйств, в которых работают около 100 тыс. Человек. В стране, в сельском хозяйстве, прео</w:t>
      </w:r>
      <w:r w:rsidR="00B6747E">
        <w:rPr>
          <w:rFonts w:ascii="Times New Roman" w:hAnsi="Times New Roman" w:cs="Times New Roman"/>
          <w:sz w:val="28"/>
          <w:szCs w:val="28"/>
        </w:rPr>
        <w:t xml:space="preserve">бладает частная собственность. </w:t>
      </w:r>
      <w:r w:rsidRPr="00945FA2">
        <w:rPr>
          <w:rFonts w:ascii="Times New Roman" w:hAnsi="Times New Roman" w:cs="Times New Roman"/>
          <w:sz w:val="28"/>
          <w:szCs w:val="28"/>
        </w:rPr>
        <w:t xml:space="preserve">В агропромышленном комплексе Дании занято около 5% трудоспособного населения страны с тенденцией к постепенному сокращению. Основой сельскохозяйственного производства является </w:t>
      </w:r>
      <w:r w:rsidRPr="00945FA2">
        <w:rPr>
          <w:rFonts w:ascii="Times New Roman" w:hAnsi="Times New Roman" w:cs="Times New Roman"/>
          <w:sz w:val="28"/>
          <w:szCs w:val="28"/>
        </w:rPr>
        <w:lastRenderedPageBreak/>
        <w:t>семейная ферма. Общее количество хозяйств в стране - 68 800 при среднем размер</w:t>
      </w:r>
      <w:r w:rsidR="00B6747E">
        <w:rPr>
          <w:rFonts w:ascii="Times New Roman" w:hAnsi="Times New Roman" w:cs="Times New Roman"/>
          <w:sz w:val="28"/>
          <w:szCs w:val="28"/>
        </w:rPr>
        <w:t xml:space="preserve">е фермерского хозяйства 40 га. </w:t>
      </w:r>
      <w:r w:rsidRPr="00945FA2">
        <w:rPr>
          <w:rFonts w:ascii="Times New Roman" w:hAnsi="Times New Roman" w:cs="Times New Roman"/>
          <w:sz w:val="28"/>
          <w:szCs w:val="28"/>
        </w:rPr>
        <w:t>В сельском хозяйстве Дании идет процесс концентрации производства и укрупнение ферм. Также происходит укрупнение предприятий, обслуживающих фермеров и занимающихся переработкой сельхозпродукции.</w:t>
      </w:r>
    </w:p>
    <w:p w:rsidR="00945FA2" w:rsidRPr="00945FA2" w:rsidRDefault="00C62F19" w:rsidP="00B6747E">
      <w:pPr>
        <w:spacing w:line="360" w:lineRule="auto"/>
        <w:ind w:firstLine="709"/>
        <w:jc w:val="both"/>
        <w:rPr>
          <w:rFonts w:ascii="Times New Roman" w:hAnsi="Times New Roman" w:cs="Times New Roman"/>
          <w:sz w:val="28"/>
          <w:szCs w:val="28"/>
        </w:rPr>
      </w:pPr>
      <w:r w:rsidRPr="00945FA2">
        <w:rPr>
          <w:rFonts w:ascii="Times New Roman" w:hAnsi="Times New Roman" w:cs="Times New Roman"/>
          <w:sz w:val="28"/>
          <w:szCs w:val="28"/>
        </w:rPr>
        <w:t xml:space="preserve">Три четверти стоимости экспорта Дании составляет промышленная продукция и доля других отраслей имеет тенденцию к сокращению. В то же время, именно торговым обменом в группе пищевых продуктов и животных создается основная часть (67%) актива внешнеторгового баланса Дании. </w:t>
      </w:r>
      <w:r w:rsidRPr="00945FA2">
        <w:rPr>
          <w:rFonts w:ascii="Times New Roman" w:hAnsi="Times New Roman" w:cs="Times New Roman"/>
          <w:sz w:val="28"/>
          <w:szCs w:val="28"/>
        </w:rPr>
        <w:br/>
        <w:t>За последние годы вырос экспорт топлива, горюче-смазочных материалов, газа и электроэнергии. Также вырос актив в торговле товарами химической группы. Увеличение произошло практически за счет роста экспорта медицински</w:t>
      </w:r>
      <w:r w:rsidR="00B6747E">
        <w:rPr>
          <w:rFonts w:ascii="Times New Roman" w:hAnsi="Times New Roman" w:cs="Times New Roman"/>
          <w:sz w:val="28"/>
          <w:szCs w:val="28"/>
        </w:rPr>
        <w:t xml:space="preserve">х и фармацевтических продуктов </w:t>
      </w:r>
      <w:r w:rsidRPr="00945FA2">
        <w:rPr>
          <w:rFonts w:ascii="Times New Roman" w:hAnsi="Times New Roman" w:cs="Times New Roman"/>
          <w:sz w:val="28"/>
          <w:szCs w:val="28"/>
        </w:rPr>
        <w:t>Дания занимает ведущее место на мировом рынке как поставщик оборудования для цементной промышленности, а также оборудование для сахарных заводов и для молочной и мясной промышленности. В значительной экспортной статьей Дании являются медиц</w:t>
      </w:r>
      <w:r w:rsidR="00B6747E">
        <w:rPr>
          <w:rFonts w:ascii="Times New Roman" w:hAnsi="Times New Roman" w:cs="Times New Roman"/>
          <w:sz w:val="28"/>
          <w:szCs w:val="28"/>
        </w:rPr>
        <w:t xml:space="preserve">инское оборудование и приборы. </w:t>
      </w:r>
      <w:r w:rsidRPr="00945FA2">
        <w:rPr>
          <w:rFonts w:ascii="Times New Roman" w:hAnsi="Times New Roman" w:cs="Times New Roman"/>
          <w:sz w:val="28"/>
          <w:szCs w:val="28"/>
        </w:rPr>
        <w:t>Важное место в датском экспорте занимает мебель. Сегодня Дания производит мебели больше, чем любая другая страна Европы, и около 80% произ</w:t>
      </w:r>
      <w:r w:rsidR="00B6747E">
        <w:rPr>
          <w:rFonts w:ascii="Times New Roman" w:hAnsi="Times New Roman" w:cs="Times New Roman"/>
          <w:sz w:val="28"/>
          <w:szCs w:val="28"/>
        </w:rPr>
        <w:t xml:space="preserve">водства приходится на экспорт. </w:t>
      </w:r>
    </w:p>
    <w:p w:rsidR="00945FA2" w:rsidRPr="00945FA2" w:rsidRDefault="00945FA2" w:rsidP="00945FA2">
      <w:pPr>
        <w:spacing w:line="360" w:lineRule="auto"/>
        <w:ind w:firstLine="709"/>
        <w:jc w:val="both"/>
        <w:rPr>
          <w:rFonts w:ascii="Times New Roman" w:hAnsi="Times New Roman" w:cs="Times New Roman"/>
          <w:b/>
          <w:sz w:val="28"/>
          <w:szCs w:val="28"/>
        </w:rPr>
      </w:pPr>
      <w:r w:rsidRPr="00945FA2">
        <w:rPr>
          <w:rFonts w:ascii="Times New Roman" w:hAnsi="Times New Roman" w:cs="Times New Roman"/>
          <w:b/>
          <w:sz w:val="28"/>
          <w:szCs w:val="28"/>
        </w:rPr>
        <w:t>Экономика страны</w:t>
      </w:r>
    </w:p>
    <w:p w:rsidR="00000000" w:rsidRPr="00B6747E" w:rsidRDefault="00B6747E" w:rsidP="00945FA2">
      <w:pPr>
        <w:spacing w:line="360" w:lineRule="auto"/>
        <w:ind w:firstLine="709"/>
        <w:jc w:val="both"/>
        <w:rPr>
          <w:rFonts w:ascii="Times New Roman" w:hAnsi="Times New Roman" w:cs="Times New Roman"/>
          <w:sz w:val="28"/>
          <w:szCs w:val="28"/>
        </w:rPr>
      </w:pPr>
      <w:r w:rsidRPr="00B6747E">
        <w:rPr>
          <w:rFonts w:ascii="Times New Roman" w:hAnsi="Times New Roman" w:cs="Times New Roman"/>
          <w:sz w:val="28"/>
          <w:szCs w:val="28"/>
        </w:rPr>
        <w:t xml:space="preserve">Дания </w:t>
      </w:r>
      <w:r w:rsidRPr="00B6747E">
        <w:rPr>
          <w:rFonts w:ascii="Times New Roman" w:hAnsi="Times New Roman" w:cs="Times New Roman"/>
          <w:sz w:val="28"/>
          <w:szCs w:val="28"/>
        </w:rPr>
        <w:t>– государство, которое, если не купается в благополучии, то, во всяком случае, прочно стоит на ногах. Низкая инфляция, минимальные показатели безработицы, развитое производство, месторождения газа и нефти – все это делает жизнь местного населения комфортно</w:t>
      </w:r>
      <w:r w:rsidRPr="00B6747E">
        <w:rPr>
          <w:rFonts w:ascii="Times New Roman" w:hAnsi="Times New Roman" w:cs="Times New Roman"/>
          <w:sz w:val="28"/>
          <w:szCs w:val="28"/>
        </w:rPr>
        <w:t xml:space="preserve">й и стабильно респектабельной. При этом королевство до сих пор продолжает оставаться индустриально-аграрным, отправляя на экспорт сельхозпродукцию, мебель, а также всевозможную технику. В целом по стране лидирующие позиции </w:t>
      </w:r>
      <w:r w:rsidRPr="00B6747E">
        <w:rPr>
          <w:rFonts w:ascii="Times New Roman" w:hAnsi="Times New Roman" w:cs="Times New Roman"/>
          <w:sz w:val="28"/>
          <w:szCs w:val="28"/>
        </w:rPr>
        <w:lastRenderedPageBreak/>
        <w:t>занимают пищевая, машиностроитель</w:t>
      </w:r>
      <w:r w:rsidRPr="00B6747E">
        <w:rPr>
          <w:rFonts w:ascii="Times New Roman" w:hAnsi="Times New Roman" w:cs="Times New Roman"/>
          <w:sz w:val="28"/>
          <w:szCs w:val="28"/>
        </w:rPr>
        <w:t>ная, целлюлозно-бумажная и химическая отрасли.</w:t>
      </w:r>
    </w:p>
    <w:p w:rsidR="00000000" w:rsidRPr="00B6747E" w:rsidRDefault="00B6747E" w:rsidP="00945FA2">
      <w:pPr>
        <w:spacing w:line="360" w:lineRule="auto"/>
        <w:ind w:firstLine="709"/>
        <w:jc w:val="both"/>
        <w:rPr>
          <w:rFonts w:ascii="Times New Roman" w:hAnsi="Times New Roman" w:cs="Times New Roman"/>
          <w:sz w:val="28"/>
          <w:szCs w:val="28"/>
        </w:rPr>
      </w:pPr>
      <w:r w:rsidRPr="00B6747E">
        <w:rPr>
          <w:rFonts w:ascii="Times New Roman" w:hAnsi="Times New Roman" w:cs="Times New Roman"/>
          <w:sz w:val="28"/>
          <w:szCs w:val="28"/>
        </w:rPr>
        <w:t xml:space="preserve">В 2009 году, по данным статистических агентств, Дания была признана самой дорогой страной Европы. Поддерживать такой статус помогает и местная </w:t>
      </w:r>
      <w:r w:rsidRPr="00B6747E">
        <w:rPr>
          <w:rFonts w:ascii="Times New Roman" w:hAnsi="Times New Roman" w:cs="Times New Roman"/>
          <w:sz w:val="28"/>
          <w:szCs w:val="28"/>
        </w:rPr>
        <w:t>система налогообложения, благодаря которой традиционные «взносы» в пользу государства здесь могут вырастать до астрономических сумм.</w:t>
      </w:r>
    </w:p>
    <w:p w:rsidR="00945FA2" w:rsidRPr="00945FA2" w:rsidRDefault="00945FA2" w:rsidP="00945FA2">
      <w:pPr>
        <w:spacing w:line="360" w:lineRule="auto"/>
        <w:ind w:firstLine="709"/>
        <w:jc w:val="both"/>
        <w:rPr>
          <w:rFonts w:ascii="Times New Roman" w:hAnsi="Times New Roman" w:cs="Times New Roman"/>
          <w:b/>
          <w:sz w:val="28"/>
          <w:szCs w:val="28"/>
        </w:rPr>
      </w:pPr>
    </w:p>
    <w:p w:rsidR="00945FA2" w:rsidRPr="00945FA2" w:rsidRDefault="00945FA2" w:rsidP="00945FA2">
      <w:pPr>
        <w:spacing w:line="360" w:lineRule="auto"/>
        <w:ind w:firstLine="709"/>
        <w:jc w:val="both"/>
        <w:rPr>
          <w:rFonts w:ascii="Times New Roman" w:hAnsi="Times New Roman" w:cs="Times New Roman"/>
          <w:sz w:val="28"/>
          <w:szCs w:val="28"/>
        </w:rPr>
      </w:pPr>
      <w:r w:rsidRPr="00945FA2">
        <w:rPr>
          <w:rFonts w:ascii="Times New Roman" w:hAnsi="Times New Roman" w:cs="Times New Roman"/>
          <w:sz w:val="28"/>
          <w:szCs w:val="28"/>
        </w:rPr>
        <w:t>Современная рыночная экономика страны характеризуется развитой промышленностью, с ведущими глобальными корпорациями в отрасли фармацевтики, морских перевозок и возобновляемых источников энергии. Небольшое высокотехнологичное сельское хозяйство Дании обладает значительным экспортным потенциалом. Постиндустриальная экономика страны имеет доминирующую позицию по уровню вклада в ВВП в размере 71%, далее идет промышленность – 26%, сельское хозяйство - 3%. В сфере услуг занято 79% населения, промышленности – 17% и сельском хозяйстве – 4%</w:t>
      </w:r>
      <w:r w:rsidRPr="00945FA2">
        <w:rPr>
          <w:rFonts w:ascii="Times New Roman" w:hAnsi="Times New Roman" w:cs="Times New Roman"/>
          <w:sz w:val="28"/>
          <w:szCs w:val="28"/>
        </w:rPr>
        <w:t xml:space="preserve">. </w:t>
      </w:r>
    </w:p>
    <w:p w:rsidR="00945FA2" w:rsidRPr="00945FA2" w:rsidRDefault="00945FA2" w:rsidP="00945FA2">
      <w:pPr>
        <w:spacing w:line="360" w:lineRule="auto"/>
        <w:ind w:firstLine="709"/>
        <w:jc w:val="both"/>
        <w:rPr>
          <w:rFonts w:ascii="Times New Roman" w:hAnsi="Times New Roman" w:cs="Times New Roman"/>
          <w:sz w:val="28"/>
          <w:szCs w:val="28"/>
        </w:rPr>
      </w:pPr>
      <w:r w:rsidRPr="00945FA2">
        <w:rPr>
          <w:rFonts w:ascii="Times New Roman" w:hAnsi="Times New Roman" w:cs="Times New Roman"/>
          <w:sz w:val="28"/>
          <w:szCs w:val="28"/>
        </w:rPr>
        <w:t xml:space="preserve">В последние годы экономика Дании растет относительно невысокими темпами. В 2015 году выросла на 1,6%, в 2016 - на 2%, в 2017 году - на 2,1%. Ожидается, что в 2018 году темпы роста несколько снизятся. Страна отличается невысоким уровнем безработицы в 2017 году – 5,5% согласно данным национального обследования труда. В то же время ситуация на рынке труда была несколько напряженной. Работодатели столкнулись с некоторыми трудностями при поиске работников с необходимой квалификацией. Некоторые вакансии на предприятиях не были закрыты. Национальное правительство предлагает множество программ по повышению профессионального уровня безработных для работы в отраслях, требующих квалифицированных сотрудников. Преимуществами страны также являются: низкая инфляция на уровне 2,4%, большой профицит платежного баланса, </w:t>
      </w:r>
      <w:r w:rsidRPr="00945FA2">
        <w:rPr>
          <w:rFonts w:ascii="Times New Roman" w:hAnsi="Times New Roman" w:cs="Times New Roman"/>
          <w:sz w:val="28"/>
          <w:szCs w:val="28"/>
        </w:rPr>
        <w:lastRenderedPageBreak/>
        <w:t xml:space="preserve">сильное и высокотехнологичное производство, запасы углеводородного сырья. Негативными факторами являются: большие налоги, снижающаяся конкурентоспособность из-за высоких зарплат и сильного курса датской кроны. </w:t>
      </w:r>
    </w:p>
    <w:p w:rsidR="00945FA2" w:rsidRPr="00945FA2" w:rsidRDefault="00945FA2" w:rsidP="00945FA2">
      <w:pPr>
        <w:spacing w:line="360" w:lineRule="auto"/>
        <w:ind w:firstLine="709"/>
        <w:jc w:val="both"/>
        <w:rPr>
          <w:rFonts w:ascii="Times New Roman" w:hAnsi="Times New Roman" w:cs="Times New Roman"/>
          <w:sz w:val="28"/>
          <w:szCs w:val="28"/>
        </w:rPr>
      </w:pPr>
      <w:r w:rsidRPr="00945FA2">
        <w:rPr>
          <w:rFonts w:ascii="Times New Roman" w:hAnsi="Times New Roman" w:cs="Times New Roman"/>
          <w:sz w:val="28"/>
          <w:szCs w:val="28"/>
        </w:rPr>
        <w:t>Международная торговля – импорт Правительство решительно поддерживает меры по дальнейшей либерализации внешней торговли. Дания долгое время имеет положительное сальдо платежного баланса, являясь нетто-экспортером продукции сельского хозяйства, нефти и газа. В то же время сильно зависит от импорта сырья и комплектующих для своего производственного сектора. Страна по объему внешнеторгового оборота на душу населения находится на первом месте в мире. Дания поддерживает торговые отношения практически со всеми странами мира. Промышленность страны в значительной степени ориентирована на импортное сырье, поскольку своих природных ресурсов практически не имеет. Больше всего импортируется продукции из Германии, Швеции, Нидерландов и Китая. Основная закупаемая продукция - машины и оборудование, сырье и полуфабрикаты для промышленности, химикаты, потребительские товары. Из России в Данию завозится продукции на 2 948 тысяч долларов США в год по данным 2017 года. Основную часть составляют минеральные продукты - почти 80%, далее идут металлы (17,7%), древесина и целлюлозно-бумажные изделия (около 5%).</w:t>
      </w:r>
    </w:p>
    <w:p w:rsidR="00945FA2" w:rsidRPr="00945FA2" w:rsidRDefault="00945FA2" w:rsidP="00945FA2">
      <w:pPr>
        <w:spacing w:line="360" w:lineRule="auto"/>
        <w:ind w:firstLine="709"/>
        <w:jc w:val="both"/>
        <w:rPr>
          <w:rFonts w:ascii="Times New Roman" w:hAnsi="Times New Roman" w:cs="Times New Roman"/>
          <w:sz w:val="28"/>
          <w:szCs w:val="28"/>
        </w:rPr>
      </w:pPr>
      <w:r w:rsidRPr="00945FA2">
        <w:rPr>
          <w:rFonts w:ascii="Times New Roman" w:hAnsi="Times New Roman" w:cs="Times New Roman"/>
          <w:sz w:val="28"/>
          <w:szCs w:val="28"/>
        </w:rPr>
        <w:t xml:space="preserve">Международная торговля – экспорт Сельское пастбище Экспорт товаров и услуг составляют примерно 50% объема ВВП. Ключевые экспортные позиции: ветровые турбины и </w:t>
      </w:r>
      <w:proofErr w:type="spellStart"/>
      <w:r w:rsidRPr="00945FA2">
        <w:rPr>
          <w:rFonts w:ascii="Times New Roman" w:hAnsi="Times New Roman" w:cs="Times New Roman"/>
          <w:sz w:val="28"/>
          <w:szCs w:val="28"/>
        </w:rPr>
        <w:t>ветрогенераторы</w:t>
      </w:r>
      <w:proofErr w:type="spellEnd"/>
      <w:r w:rsidRPr="00945FA2">
        <w:rPr>
          <w:rFonts w:ascii="Times New Roman" w:hAnsi="Times New Roman" w:cs="Times New Roman"/>
          <w:sz w:val="28"/>
          <w:szCs w:val="28"/>
        </w:rPr>
        <w:t xml:space="preserve">, фармацевтическая продукция, машины и инструменты, мясо и мясопродукты, молочные продукты, рыба, мебель. Основным торговым партнером является Европейский союз (главные партнеры в ЕС - Германия, Швеция и Великобритании), куда продается до 67% датских товаров. Следующим крупнейшим торговым партнером является США, на долю которого приходится около 5% от объема экспорта. В эту </w:t>
      </w:r>
      <w:r w:rsidRPr="00945FA2">
        <w:rPr>
          <w:rFonts w:ascii="Times New Roman" w:hAnsi="Times New Roman" w:cs="Times New Roman"/>
          <w:sz w:val="28"/>
          <w:szCs w:val="28"/>
        </w:rPr>
        <w:lastRenderedPageBreak/>
        <w:t xml:space="preserve">страну продается промышленное оборудование, продукция химической, мебельной, фармацевтической и пищевой промышленности. Объемы экспорта товаров из Дании в Россию незначительны, в 2017 году составил всего 925,5 млн долларов США. Основную часть составляют промышленная и химическая продукция, далее идут сельскохозяйственные товары. </w:t>
      </w:r>
    </w:p>
    <w:p w:rsidR="00945FA2" w:rsidRPr="00945FA2" w:rsidRDefault="00945FA2" w:rsidP="00945FA2">
      <w:pPr>
        <w:spacing w:line="360" w:lineRule="auto"/>
        <w:ind w:firstLine="709"/>
        <w:jc w:val="both"/>
        <w:rPr>
          <w:rFonts w:ascii="Times New Roman" w:hAnsi="Times New Roman" w:cs="Times New Roman"/>
          <w:b/>
          <w:sz w:val="28"/>
          <w:szCs w:val="28"/>
        </w:rPr>
      </w:pPr>
      <w:r w:rsidRPr="00945FA2">
        <w:rPr>
          <w:rFonts w:ascii="Times New Roman" w:hAnsi="Times New Roman" w:cs="Times New Roman"/>
          <w:b/>
          <w:sz w:val="28"/>
          <w:szCs w:val="28"/>
        </w:rPr>
        <w:t>Трудовые ресурсы</w:t>
      </w:r>
    </w:p>
    <w:p w:rsidR="00945FA2" w:rsidRPr="00945FA2" w:rsidRDefault="00945FA2" w:rsidP="00945FA2">
      <w:pPr>
        <w:pStyle w:val="a3"/>
        <w:spacing w:line="360" w:lineRule="auto"/>
        <w:ind w:firstLine="709"/>
        <w:jc w:val="both"/>
        <w:rPr>
          <w:sz w:val="28"/>
          <w:szCs w:val="28"/>
        </w:rPr>
      </w:pPr>
      <w:r w:rsidRPr="00945FA2">
        <w:rPr>
          <w:sz w:val="28"/>
          <w:szCs w:val="28"/>
        </w:rPr>
        <w:t>На сегодняшний день почти 53% норвежского населения работают, по этому показателю страна занимает восьмое место в мире. Менее десятой части трудовых ресурсов занято в сельском хозяйстве, лесном хозяйстве или рыбной промышленности -- традиционные профессии норвежцев уходят в прошлое. Большинство сейчас работает в промышленном секторе или в сфере услуг. Сфера услуг набирает обороты. В 1980 году в ней было занято 8 из 10 женщин и 5 из 10 мужчин. Сейчас, три четверти норвежцев трудятся в сфере услуг, также увеличивается доля частного здравоохранения и частного образования. Около трети трудящихся являются госслужащими, примерно такое же соотношение наблюдается в Дании и Швеции.</w:t>
      </w:r>
    </w:p>
    <w:p w:rsidR="00945FA2" w:rsidRPr="00945FA2" w:rsidRDefault="00945FA2" w:rsidP="00945FA2">
      <w:pPr>
        <w:pStyle w:val="a3"/>
        <w:spacing w:line="360" w:lineRule="auto"/>
        <w:ind w:firstLine="709"/>
        <w:jc w:val="both"/>
        <w:rPr>
          <w:sz w:val="28"/>
          <w:szCs w:val="28"/>
        </w:rPr>
      </w:pPr>
      <w:r w:rsidRPr="00945FA2">
        <w:rPr>
          <w:sz w:val="28"/>
          <w:szCs w:val="28"/>
        </w:rPr>
        <w:t>За редким исключением, все рабочие места доступны специалистам соответствующей квалификации, независимо от пола, национальности или религиозных убеждений. Разрешение на работу необходимо для всех иностранных граждан, за исключением граждан стран Северной Европы (Дания, Фарерские острова, Финляндия, Гренландия, Исландия, Швеция и Аландские острова), при этом иностранцы рассматриваются наравне с норвежцами при подаче заявления на работу.</w:t>
      </w:r>
    </w:p>
    <w:p w:rsidR="00945FA2" w:rsidRPr="00945FA2" w:rsidRDefault="00945FA2" w:rsidP="00945FA2">
      <w:pPr>
        <w:spacing w:line="360" w:lineRule="auto"/>
        <w:ind w:firstLine="709"/>
        <w:jc w:val="both"/>
        <w:rPr>
          <w:rFonts w:ascii="Times New Roman" w:hAnsi="Times New Roman" w:cs="Times New Roman"/>
          <w:b/>
          <w:sz w:val="28"/>
          <w:szCs w:val="28"/>
        </w:rPr>
      </w:pPr>
      <w:r w:rsidRPr="00945FA2">
        <w:rPr>
          <w:rFonts w:ascii="Times New Roman" w:hAnsi="Times New Roman" w:cs="Times New Roman"/>
          <w:b/>
          <w:sz w:val="28"/>
          <w:szCs w:val="28"/>
        </w:rPr>
        <w:t>Участие Дании в международных организациях</w:t>
      </w:r>
    </w:p>
    <w:p w:rsidR="00945FA2" w:rsidRPr="00945FA2" w:rsidRDefault="00945FA2" w:rsidP="00945FA2">
      <w:pPr>
        <w:pStyle w:val="a3"/>
        <w:spacing w:line="360" w:lineRule="auto"/>
        <w:ind w:firstLine="709"/>
        <w:jc w:val="both"/>
        <w:rPr>
          <w:sz w:val="28"/>
          <w:szCs w:val="28"/>
        </w:rPr>
      </w:pPr>
      <w:r w:rsidRPr="00945FA2">
        <w:rPr>
          <w:sz w:val="28"/>
          <w:szCs w:val="28"/>
        </w:rPr>
        <w:t xml:space="preserve">Датский внешняя политика основывается на членство в ООН (1945), НАТО (1949), Совет Европы (1949), ЕС / ЕК (1973), ОБСЕ / СБСЕ, ВТО / ГАТТ, ОЭСР и тесном сотрудничестве с другими странами Северной Европы </w:t>
      </w:r>
      <w:r w:rsidRPr="00945FA2">
        <w:rPr>
          <w:sz w:val="28"/>
          <w:szCs w:val="28"/>
        </w:rPr>
        <w:lastRenderedPageBreak/>
        <w:t xml:space="preserve">в Северных Совет (1952) и Совета министров Северных стран (1971). В целом, датский внешняя политика характеризуется как активная политика маленькой страны с сильным акцентом на международное сотрудничество, особенно на активное сотрудничество в рамках ЕС и сильный трансатлантических связей. Дания также обращает особое внимание на уровень соблюдения прав человека и демократических принципов в разных странах. Страна также является крупным поставщиком помощи на цели развития (приоритет континент Африка). </w:t>
      </w:r>
    </w:p>
    <w:p w:rsidR="00945FA2" w:rsidRPr="00945FA2" w:rsidRDefault="00945FA2" w:rsidP="00945FA2">
      <w:pPr>
        <w:pStyle w:val="3"/>
        <w:spacing w:line="360" w:lineRule="auto"/>
        <w:ind w:firstLine="709"/>
        <w:jc w:val="both"/>
        <w:rPr>
          <w:sz w:val="28"/>
          <w:szCs w:val="28"/>
        </w:rPr>
      </w:pPr>
      <w:r w:rsidRPr="00945FA2">
        <w:rPr>
          <w:sz w:val="28"/>
          <w:szCs w:val="28"/>
        </w:rPr>
        <w:t xml:space="preserve">ООН </w:t>
      </w:r>
    </w:p>
    <w:p w:rsidR="00945FA2" w:rsidRPr="00945FA2" w:rsidRDefault="00945FA2" w:rsidP="00945FA2">
      <w:pPr>
        <w:pStyle w:val="a3"/>
        <w:spacing w:line="360" w:lineRule="auto"/>
        <w:ind w:firstLine="709"/>
        <w:jc w:val="both"/>
        <w:rPr>
          <w:sz w:val="28"/>
          <w:szCs w:val="28"/>
        </w:rPr>
      </w:pPr>
      <w:r w:rsidRPr="00945FA2">
        <w:rPr>
          <w:sz w:val="28"/>
          <w:szCs w:val="28"/>
        </w:rPr>
        <w:t xml:space="preserve">Одним из приоритетов датской внешней политики является активное участие в ООН. Дания была в 2005-06 годах непостоянным членом Совета Безопасности ООН. Дания при вступлении в члены последовательно заполнены заранее определены четыре основных приоритета: 1 Борьба с терроризмом, 2 Улучшение способности Организации Объединенных Наций для решения конфликтов, 3 Африка, 4 Укрепление международного права. </w:t>
      </w:r>
    </w:p>
    <w:p w:rsidR="00945FA2" w:rsidRPr="00945FA2" w:rsidRDefault="00945FA2" w:rsidP="00945FA2">
      <w:pPr>
        <w:pStyle w:val="3"/>
        <w:spacing w:line="360" w:lineRule="auto"/>
        <w:ind w:firstLine="709"/>
        <w:jc w:val="both"/>
        <w:rPr>
          <w:sz w:val="28"/>
          <w:szCs w:val="28"/>
        </w:rPr>
      </w:pPr>
      <w:r w:rsidRPr="00945FA2">
        <w:rPr>
          <w:sz w:val="28"/>
          <w:szCs w:val="28"/>
        </w:rPr>
        <w:t xml:space="preserve">НАТО </w:t>
      </w:r>
    </w:p>
    <w:p w:rsidR="00945FA2" w:rsidRPr="00945FA2" w:rsidRDefault="00945FA2" w:rsidP="00945FA2">
      <w:pPr>
        <w:pStyle w:val="a3"/>
        <w:spacing w:line="360" w:lineRule="auto"/>
        <w:ind w:firstLine="709"/>
        <w:jc w:val="both"/>
        <w:rPr>
          <w:sz w:val="28"/>
          <w:szCs w:val="28"/>
        </w:rPr>
      </w:pPr>
      <w:r w:rsidRPr="00945FA2">
        <w:rPr>
          <w:sz w:val="28"/>
          <w:szCs w:val="28"/>
        </w:rPr>
        <w:t xml:space="preserve">Большинство датских политических партий и лидеров (за исключением крайне левых) видит в НАТО гарантию безопасности Дании. Считает, Альянс незаменимыми и явно ставит присутствие США в Европе. В рамках НАТО, Дании приняли некоторые ограничения: запрет на размещение ядерного оружия и иностранных войск на датской территории в мирное время. Военные учения с участием иностранного капитала на датской земле возможно. </w:t>
      </w:r>
    </w:p>
    <w:p w:rsidR="00945FA2" w:rsidRPr="00945FA2" w:rsidRDefault="00945FA2" w:rsidP="00945FA2">
      <w:pPr>
        <w:pStyle w:val="a3"/>
        <w:spacing w:line="360" w:lineRule="auto"/>
        <w:ind w:firstLine="709"/>
        <w:jc w:val="both"/>
        <w:rPr>
          <w:sz w:val="28"/>
          <w:szCs w:val="28"/>
        </w:rPr>
      </w:pPr>
      <w:r w:rsidRPr="00945FA2">
        <w:rPr>
          <w:sz w:val="28"/>
          <w:szCs w:val="28"/>
        </w:rPr>
        <w:t xml:space="preserve">С 1.8.2009 является генеральный секретарь НАТО, бывший датский премьер-министр </w:t>
      </w:r>
      <w:proofErr w:type="spellStart"/>
      <w:r w:rsidRPr="00945FA2">
        <w:rPr>
          <w:sz w:val="28"/>
          <w:szCs w:val="28"/>
        </w:rPr>
        <w:t>Расмуссен</w:t>
      </w:r>
      <w:proofErr w:type="spellEnd"/>
      <w:r w:rsidRPr="00945FA2">
        <w:rPr>
          <w:sz w:val="28"/>
          <w:szCs w:val="28"/>
        </w:rPr>
        <w:t xml:space="preserve"> AF. </w:t>
      </w:r>
    </w:p>
    <w:p w:rsidR="00945FA2" w:rsidRPr="00945FA2" w:rsidRDefault="00945FA2" w:rsidP="00945FA2">
      <w:pPr>
        <w:pStyle w:val="3"/>
        <w:spacing w:line="360" w:lineRule="auto"/>
        <w:ind w:firstLine="709"/>
        <w:jc w:val="both"/>
        <w:rPr>
          <w:sz w:val="28"/>
          <w:szCs w:val="28"/>
        </w:rPr>
      </w:pPr>
      <w:r w:rsidRPr="00945FA2">
        <w:rPr>
          <w:sz w:val="28"/>
          <w:szCs w:val="28"/>
        </w:rPr>
        <w:t xml:space="preserve">Евросоюз </w:t>
      </w:r>
    </w:p>
    <w:p w:rsidR="00945FA2" w:rsidRPr="00945FA2" w:rsidRDefault="00945FA2" w:rsidP="00945FA2">
      <w:pPr>
        <w:pStyle w:val="a3"/>
        <w:spacing w:line="360" w:lineRule="auto"/>
        <w:ind w:firstLine="709"/>
        <w:jc w:val="both"/>
        <w:rPr>
          <w:sz w:val="28"/>
          <w:szCs w:val="28"/>
        </w:rPr>
      </w:pPr>
      <w:r w:rsidRPr="00945FA2">
        <w:rPr>
          <w:sz w:val="28"/>
          <w:szCs w:val="28"/>
        </w:rPr>
        <w:lastRenderedPageBreak/>
        <w:t xml:space="preserve">Дания является членом ЕС с 1973 года и сотрудничество в рамках ЕС в качестве краеугольного камня своей внешней политики. Основой для такого сотрудничества является национальным компромисс </w:t>
      </w:r>
      <w:r w:rsidRPr="00945FA2">
        <w:rPr>
          <w:rStyle w:val="a7"/>
          <w:sz w:val="28"/>
          <w:szCs w:val="28"/>
        </w:rPr>
        <w:t>"Дания в Европе",</w:t>
      </w:r>
      <w:r w:rsidRPr="00945FA2">
        <w:rPr>
          <w:sz w:val="28"/>
          <w:szCs w:val="28"/>
        </w:rPr>
        <w:t xml:space="preserve"> что после отказа от Маастрихтского договора о Европейском Союзе в народное голосование в июне 1992 года (на 49,3% и 50,7% выступают против), чтобы определить границы датского участия в ЕС. Датский специфики (отсутствие на совместную оборону, единую валюту и общего гражданства, сохраняя суверенитет в юридической и полицейской области) закреплены в соглашении Эдинбурга (декабрь 1992) и был одобрен национальным референдумом на 18-й Пятый 1993 (56,8% голосов за, 43,2% голосов против). Амстердамский договор исключений Эдинбурге явно подтверждается. В референдуме, проведенном в мае 1998 года для принятия Амстердамского договора проголосовало 55,1% и 44,9% избирателей проголосовали против. В сентябре 2000 года состоялся неудачный референдум по подходу Дании в ЭВС (53,1% голосов против 46,9% голосов), что было подтверждено в начале тысячелетия резерв датчан по отношению к ЕС за счет ограниченное влияние </w:t>
      </w:r>
      <w:proofErr w:type="gramStart"/>
      <w:r w:rsidRPr="00945FA2">
        <w:rPr>
          <w:sz w:val="28"/>
          <w:szCs w:val="28"/>
        </w:rPr>
        <w:t>на датском совместного принятия</w:t>
      </w:r>
      <w:proofErr w:type="gramEnd"/>
      <w:r w:rsidRPr="00945FA2">
        <w:rPr>
          <w:sz w:val="28"/>
          <w:szCs w:val="28"/>
        </w:rPr>
        <w:t xml:space="preserve"> решений в ЕС. В настоящее время, однако, исключения из сотрудничества ЕС большинство политических лидеров воспринимается как препятствие для участия Дании в распространении стабильности и мира в Европе и мире. Программа включает в себя коалиционного правительства </w:t>
      </w:r>
      <w:proofErr w:type="gramStart"/>
      <w:r w:rsidRPr="00945FA2">
        <w:rPr>
          <w:sz w:val="28"/>
          <w:szCs w:val="28"/>
        </w:rPr>
        <w:t>без более конкретные определения</w:t>
      </w:r>
      <w:proofErr w:type="gramEnd"/>
      <w:r w:rsidRPr="00945FA2">
        <w:rPr>
          <w:sz w:val="28"/>
          <w:szCs w:val="28"/>
        </w:rPr>
        <w:t xml:space="preserve"> времени обещанием референдума об отмене освобождения от сотрудничества ЕС. </w:t>
      </w:r>
    </w:p>
    <w:p w:rsidR="00945FA2" w:rsidRPr="00945FA2" w:rsidRDefault="00945FA2" w:rsidP="00945FA2">
      <w:pPr>
        <w:pStyle w:val="a3"/>
        <w:spacing w:line="360" w:lineRule="auto"/>
        <w:ind w:firstLine="709"/>
        <w:jc w:val="both"/>
        <w:rPr>
          <w:sz w:val="28"/>
          <w:szCs w:val="28"/>
        </w:rPr>
      </w:pPr>
      <w:r w:rsidRPr="00945FA2">
        <w:rPr>
          <w:sz w:val="28"/>
          <w:szCs w:val="28"/>
        </w:rPr>
        <w:t>1 мая 2009 Дания либерализации доступа к рынку труда для стран-членов ЕС, которые присоединились в 2004 году</w:t>
      </w:r>
      <w:proofErr w:type="gramStart"/>
      <w:r w:rsidRPr="00945FA2">
        <w:rPr>
          <w:sz w:val="28"/>
          <w:szCs w:val="28"/>
        </w:rPr>
        <w:t>. .</w:t>
      </w:r>
      <w:proofErr w:type="gramEnd"/>
      <w:r w:rsidRPr="00945FA2">
        <w:rPr>
          <w:sz w:val="28"/>
          <w:szCs w:val="28"/>
        </w:rPr>
        <w:t xml:space="preserve"> </w:t>
      </w:r>
    </w:p>
    <w:p w:rsidR="00945FA2" w:rsidRPr="00945FA2" w:rsidRDefault="00945FA2" w:rsidP="00945FA2">
      <w:pPr>
        <w:pStyle w:val="3"/>
        <w:spacing w:line="360" w:lineRule="auto"/>
        <w:ind w:firstLine="709"/>
        <w:jc w:val="both"/>
        <w:rPr>
          <w:sz w:val="28"/>
          <w:szCs w:val="28"/>
        </w:rPr>
      </w:pPr>
      <w:r w:rsidRPr="00945FA2">
        <w:rPr>
          <w:sz w:val="28"/>
          <w:szCs w:val="28"/>
        </w:rPr>
        <w:t xml:space="preserve">Сотрудничество Северных стран </w:t>
      </w:r>
    </w:p>
    <w:p w:rsidR="00945FA2" w:rsidRPr="00945FA2" w:rsidRDefault="00945FA2" w:rsidP="00945FA2">
      <w:pPr>
        <w:pStyle w:val="a3"/>
        <w:spacing w:line="360" w:lineRule="auto"/>
        <w:ind w:firstLine="709"/>
        <w:jc w:val="both"/>
        <w:rPr>
          <w:sz w:val="28"/>
          <w:szCs w:val="28"/>
        </w:rPr>
      </w:pPr>
      <w:r w:rsidRPr="00945FA2">
        <w:rPr>
          <w:sz w:val="28"/>
          <w:szCs w:val="28"/>
        </w:rPr>
        <w:t xml:space="preserve">Северные страны (Дания, Финляндия, Исландия, Норвегия и Швеция) традиционно поддерживает тесное сотрудничество, которое было разработано в основном в Северном Совете (Межпарламентский форум, основал. 1952) и </w:t>
      </w:r>
      <w:r w:rsidRPr="00945FA2">
        <w:rPr>
          <w:sz w:val="28"/>
          <w:szCs w:val="28"/>
        </w:rPr>
        <w:lastRenderedPageBreak/>
        <w:t xml:space="preserve">Совета министров Северных стран (межправительственным форумом для горя. 1971). В 2001 году произошло изменение организации работы Северного Совета, которая </w:t>
      </w:r>
      <w:proofErr w:type="gramStart"/>
      <w:r w:rsidRPr="00945FA2">
        <w:rPr>
          <w:sz w:val="28"/>
          <w:szCs w:val="28"/>
        </w:rPr>
        <w:t>вместо географическому принципу</w:t>
      </w:r>
      <w:proofErr w:type="gramEnd"/>
      <w:r w:rsidRPr="00945FA2">
        <w:rPr>
          <w:sz w:val="28"/>
          <w:szCs w:val="28"/>
        </w:rPr>
        <w:t xml:space="preserve"> на основе общих Северных ценности, убеждения и принципы социального государства. Структура деятельности Северного Совета была разделена на области культуры и образования, сохранения государства </w:t>
      </w:r>
      <w:r w:rsidRPr="00945FA2">
        <w:rPr>
          <w:rStyle w:val="a7"/>
          <w:sz w:val="28"/>
          <w:szCs w:val="28"/>
        </w:rPr>
        <w:t>(благосостояние),</w:t>
      </w:r>
      <w:r w:rsidRPr="00945FA2">
        <w:rPr>
          <w:sz w:val="28"/>
          <w:szCs w:val="28"/>
        </w:rPr>
        <w:t xml:space="preserve"> гражданские и по делам потребителей, окружающей среды и природных ресурсов, экономики и торговли. </w:t>
      </w:r>
    </w:p>
    <w:p w:rsidR="00945FA2" w:rsidRPr="00945FA2" w:rsidRDefault="00945FA2" w:rsidP="00945FA2">
      <w:pPr>
        <w:pStyle w:val="a3"/>
        <w:spacing w:line="360" w:lineRule="auto"/>
        <w:ind w:firstLine="709"/>
        <w:jc w:val="both"/>
        <w:rPr>
          <w:sz w:val="28"/>
          <w:szCs w:val="28"/>
        </w:rPr>
      </w:pPr>
      <w:r w:rsidRPr="00945FA2">
        <w:rPr>
          <w:sz w:val="28"/>
          <w:szCs w:val="28"/>
        </w:rPr>
        <w:t xml:space="preserve">Министр, ответственный за сотрудничество северных стран является министр окружающей среды и Северного сотрудничества Карен </w:t>
      </w:r>
      <w:proofErr w:type="spellStart"/>
      <w:r w:rsidRPr="00945FA2">
        <w:rPr>
          <w:sz w:val="28"/>
          <w:szCs w:val="28"/>
        </w:rPr>
        <w:t>Эллеманн</w:t>
      </w:r>
      <w:proofErr w:type="spellEnd"/>
      <w:r w:rsidRPr="00945FA2">
        <w:rPr>
          <w:sz w:val="28"/>
          <w:szCs w:val="28"/>
        </w:rPr>
        <w:t xml:space="preserve"> / голос. Основная цель датского поведения </w:t>
      </w:r>
      <w:proofErr w:type="gramStart"/>
      <w:r w:rsidRPr="00945FA2">
        <w:rPr>
          <w:sz w:val="28"/>
          <w:szCs w:val="28"/>
        </w:rPr>
        <w:t>в Северной сотрудничества</w:t>
      </w:r>
      <w:proofErr w:type="gramEnd"/>
      <w:r w:rsidRPr="00945FA2">
        <w:rPr>
          <w:sz w:val="28"/>
          <w:szCs w:val="28"/>
        </w:rPr>
        <w:t xml:space="preserve"> является повышение привлекательности Северного региона в глобальном масштабе, так что Северное сотрудничество для поддержки международной конкурентоспособности Северного региона. Дании направлена ​​на разрушение барьеров в регионе Северных стран, и защитники здания знающих и инновационных компаний в Северных странах. </w:t>
      </w:r>
    </w:p>
    <w:p w:rsidR="00945FA2" w:rsidRPr="00945FA2" w:rsidRDefault="00945FA2" w:rsidP="00945FA2">
      <w:pPr>
        <w:pStyle w:val="a3"/>
        <w:spacing w:line="360" w:lineRule="auto"/>
        <w:ind w:firstLine="709"/>
        <w:jc w:val="both"/>
        <w:rPr>
          <w:sz w:val="28"/>
          <w:szCs w:val="28"/>
        </w:rPr>
      </w:pPr>
      <w:r w:rsidRPr="00945FA2">
        <w:rPr>
          <w:sz w:val="28"/>
          <w:szCs w:val="28"/>
        </w:rPr>
        <w:t xml:space="preserve">В 1992 году возникла из датско-германская инициатива, Совет государств Балтийского моря, за исключением пяти северных и трех прибалтийских стран также входят Германия, Польша и Россия, с наблюдателем роль Европейской комиссии. </w:t>
      </w:r>
    </w:p>
    <w:p w:rsidR="00945FA2" w:rsidRPr="00945FA2" w:rsidRDefault="00945FA2" w:rsidP="00945FA2">
      <w:pPr>
        <w:pStyle w:val="3"/>
        <w:spacing w:line="360" w:lineRule="auto"/>
        <w:ind w:firstLine="709"/>
        <w:jc w:val="both"/>
        <w:rPr>
          <w:sz w:val="28"/>
          <w:szCs w:val="28"/>
        </w:rPr>
      </w:pPr>
      <w:r w:rsidRPr="00945FA2">
        <w:rPr>
          <w:sz w:val="28"/>
          <w:szCs w:val="28"/>
        </w:rPr>
        <w:t>Внешние и внутренние угрозы безопасности государства</w:t>
      </w:r>
    </w:p>
    <w:p w:rsidR="00945FA2" w:rsidRPr="00945FA2" w:rsidRDefault="00945FA2" w:rsidP="00945FA2">
      <w:pPr>
        <w:pStyle w:val="a3"/>
        <w:spacing w:line="360" w:lineRule="auto"/>
        <w:ind w:firstLine="709"/>
        <w:jc w:val="both"/>
        <w:rPr>
          <w:sz w:val="28"/>
          <w:szCs w:val="28"/>
        </w:rPr>
      </w:pPr>
      <w:r w:rsidRPr="00945FA2">
        <w:rPr>
          <w:sz w:val="28"/>
          <w:szCs w:val="28"/>
        </w:rPr>
        <w:t>В течение всего XX века попыток неконституционной смены власти или государственных переворотов в Дании не было.</w:t>
      </w:r>
    </w:p>
    <w:p w:rsidR="00945FA2" w:rsidRPr="00945FA2" w:rsidRDefault="00945FA2" w:rsidP="00945FA2">
      <w:pPr>
        <w:pStyle w:val="a3"/>
        <w:spacing w:line="360" w:lineRule="auto"/>
        <w:ind w:firstLine="709"/>
        <w:jc w:val="both"/>
        <w:rPr>
          <w:sz w:val="28"/>
          <w:szCs w:val="28"/>
        </w:rPr>
      </w:pPr>
      <w:r w:rsidRPr="00945FA2">
        <w:rPr>
          <w:sz w:val="28"/>
          <w:szCs w:val="28"/>
        </w:rPr>
        <w:t>На собственно датскую территорию претензий со стороны иностранных государств не выдвигается.</w:t>
      </w:r>
    </w:p>
    <w:p w:rsidR="00945FA2" w:rsidRPr="00945FA2" w:rsidRDefault="00945FA2" w:rsidP="00945FA2">
      <w:pPr>
        <w:pStyle w:val="a3"/>
        <w:spacing w:line="360" w:lineRule="auto"/>
        <w:ind w:firstLine="709"/>
        <w:jc w:val="both"/>
        <w:rPr>
          <w:sz w:val="28"/>
          <w:szCs w:val="28"/>
        </w:rPr>
      </w:pPr>
      <w:r w:rsidRPr="00945FA2">
        <w:rPr>
          <w:sz w:val="28"/>
          <w:szCs w:val="28"/>
        </w:rPr>
        <w:t xml:space="preserve">Страна сталкивается с проблемой существования легальных </w:t>
      </w:r>
      <w:proofErr w:type="spellStart"/>
      <w:r w:rsidRPr="00945FA2">
        <w:rPr>
          <w:sz w:val="28"/>
          <w:szCs w:val="28"/>
        </w:rPr>
        <w:t>сецессионистских</w:t>
      </w:r>
      <w:proofErr w:type="spellEnd"/>
      <w:r w:rsidRPr="00945FA2">
        <w:rPr>
          <w:sz w:val="28"/>
          <w:szCs w:val="28"/>
        </w:rPr>
        <w:t xml:space="preserve"> движений в Гренландии и на Фарерских островах. </w:t>
      </w:r>
      <w:r w:rsidRPr="00945FA2">
        <w:rPr>
          <w:sz w:val="28"/>
          <w:szCs w:val="28"/>
        </w:rPr>
        <w:lastRenderedPageBreak/>
        <w:t xml:space="preserve">Население Фарерских островов выражало намерение провозгласить независимость ещё во время Второй мировой войны, когда на архипелаге размещался британский контингент, однако Великобритания не стала вмешиваться во внутренние дела Дании и не поддержала данную инициативу. В 1946 году на островах был проведён референдум по вопросу о независимости, где победили её сторонники, однако их оппоненты перехватили инициативу на выборах в местный представительный орган, и в 1948 году вместо полной независимости острова получили только широкие полномочия в области самоуправления. </w:t>
      </w:r>
    </w:p>
    <w:p w:rsidR="00945FA2" w:rsidRPr="00945FA2" w:rsidRDefault="00945FA2" w:rsidP="00945FA2">
      <w:pPr>
        <w:pStyle w:val="a3"/>
        <w:spacing w:line="360" w:lineRule="auto"/>
        <w:ind w:firstLine="709"/>
        <w:jc w:val="both"/>
        <w:rPr>
          <w:sz w:val="28"/>
          <w:szCs w:val="28"/>
        </w:rPr>
      </w:pPr>
      <w:r w:rsidRPr="00945FA2">
        <w:rPr>
          <w:sz w:val="28"/>
          <w:szCs w:val="28"/>
        </w:rPr>
        <w:t>Фарерские острова отказались входить в состав ЕС, не соглашаясь с политикой интеграционного объединения в области рыболовного промысла. В 1984 году территория архипелага была в одностороннем порядке провозглашена безъядерной зоной. Фарерские острова претендуют на членство в Северном совете в качестве полноправного субъекта международного права, а не автономии в составе Дании.</w:t>
      </w:r>
    </w:p>
    <w:p w:rsidR="00945FA2" w:rsidRPr="00945FA2" w:rsidRDefault="00945FA2" w:rsidP="00945FA2">
      <w:pPr>
        <w:pStyle w:val="a3"/>
        <w:spacing w:line="360" w:lineRule="auto"/>
        <w:ind w:firstLine="709"/>
        <w:jc w:val="both"/>
        <w:rPr>
          <w:sz w:val="28"/>
          <w:szCs w:val="28"/>
        </w:rPr>
      </w:pPr>
      <w:r w:rsidRPr="00945FA2">
        <w:rPr>
          <w:sz w:val="28"/>
          <w:szCs w:val="28"/>
        </w:rPr>
        <w:t>В 1993–1998 годах отношения между Фарерскими островами и Данией были омрачены так называемым банковским скандалом, когда власти архипелага отказались признать в полном объёме убытки, списанные Банком Дании на Фарерские острова. В результате компромисса с датскими властями островам была предоставлена компенсация потерь и рассрочка выплат по долгу на льготных условиях. Кроме того, центральные власти Дании гарантировали полную самостоятельность Фарерских островов в области экономической политики.</w:t>
      </w:r>
    </w:p>
    <w:p w:rsidR="00945FA2" w:rsidRPr="00945FA2" w:rsidRDefault="00945FA2" w:rsidP="00945FA2">
      <w:pPr>
        <w:pStyle w:val="a3"/>
        <w:spacing w:line="360" w:lineRule="auto"/>
        <w:ind w:firstLine="709"/>
        <w:jc w:val="both"/>
        <w:rPr>
          <w:sz w:val="28"/>
          <w:szCs w:val="28"/>
        </w:rPr>
      </w:pPr>
      <w:r w:rsidRPr="00945FA2">
        <w:rPr>
          <w:sz w:val="28"/>
          <w:szCs w:val="28"/>
        </w:rPr>
        <w:t>Вероятность предоставления независимого статуса Гренландии, где, как и на Фарерских островах, существуют политические организации с </w:t>
      </w:r>
      <w:proofErr w:type="spellStart"/>
      <w:r w:rsidRPr="00945FA2">
        <w:rPr>
          <w:sz w:val="28"/>
          <w:szCs w:val="28"/>
        </w:rPr>
        <w:t>сецессионистскими</w:t>
      </w:r>
      <w:proofErr w:type="spellEnd"/>
      <w:r w:rsidRPr="00945FA2">
        <w:rPr>
          <w:sz w:val="28"/>
          <w:szCs w:val="28"/>
        </w:rPr>
        <w:t xml:space="preserve"> устремлениями (например, партия «</w:t>
      </w:r>
      <w:proofErr w:type="spellStart"/>
      <w:r w:rsidRPr="00945FA2">
        <w:rPr>
          <w:sz w:val="28"/>
          <w:szCs w:val="28"/>
        </w:rPr>
        <w:t>Инуитский</w:t>
      </w:r>
      <w:proofErr w:type="spellEnd"/>
      <w:r w:rsidRPr="00945FA2">
        <w:rPr>
          <w:sz w:val="28"/>
          <w:szCs w:val="28"/>
        </w:rPr>
        <w:t xml:space="preserve"> союз»), невысока. Это обусловлено как зависимостью острова от датских субсидий (ежегодно датское правительство направляет Гренландии дотации в объёме </w:t>
      </w:r>
      <w:r w:rsidRPr="00945FA2">
        <w:rPr>
          <w:sz w:val="28"/>
          <w:szCs w:val="28"/>
        </w:rPr>
        <w:lastRenderedPageBreak/>
        <w:t xml:space="preserve">примерно 2 800 миллионов датских крон (около 600 миллионов долларов США), что составляет примерно половину гренландского бюджета), так и преимуществами дальнейшего развития на основе самоуправления при сохранении формального суверенитета Дании. </w:t>
      </w:r>
    </w:p>
    <w:p w:rsidR="00945FA2" w:rsidRPr="00945FA2" w:rsidRDefault="00945FA2" w:rsidP="00945FA2">
      <w:pPr>
        <w:pStyle w:val="a3"/>
        <w:spacing w:line="360" w:lineRule="auto"/>
        <w:ind w:firstLine="709"/>
        <w:jc w:val="both"/>
        <w:rPr>
          <w:sz w:val="28"/>
          <w:szCs w:val="28"/>
        </w:rPr>
      </w:pPr>
      <w:r w:rsidRPr="00945FA2">
        <w:rPr>
          <w:sz w:val="28"/>
          <w:szCs w:val="28"/>
        </w:rPr>
        <w:t>Одним из факторов, исключающих в обозримой перспективе независимость Гренландии, является наличие на морском шельфе у берегов острова потенциальных запасов нефти. С учётом постепенного истощения запасов у берегов самого королевства не исключено, что Гренландии будет предоставлено право свободно продавать нефть, поскольку это позволит датской стороне сохранять важные резервы под своим, пусть даже номинальным, контролем. Помимо нефти, Гренландия располагает месторождениями угля, цинка, золота, серебра, свинца, алмазов, молибдена, урана, железа, также представляющими значительный интерес для бедной ресурсами Дании.</w:t>
      </w:r>
    </w:p>
    <w:p w:rsidR="00945FA2" w:rsidRPr="00945FA2" w:rsidRDefault="00945FA2" w:rsidP="00945FA2">
      <w:pPr>
        <w:pStyle w:val="a3"/>
        <w:spacing w:line="360" w:lineRule="auto"/>
        <w:ind w:firstLine="709"/>
        <w:jc w:val="both"/>
        <w:rPr>
          <w:sz w:val="28"/>
          <w:szCs w:val="28"/>
        </w:rPr>
      </w:pPr>
      <w:r w:rsidRPr="00945FA2">
        <w:rPr>
          <w:sz w:val="28"/>
          <w:szCs w:val="28"/>
        </w:rPr>
        <w:t xml:space="preserve">В 1968–2008 годах в Дании произошло около 30 террористических актов. Объясняется такой высокий для «малой» страны показатель тем, что подавляющее большинство терактов было совершено </w:t>
      </w:r>
      <w:proofErr w:type="spellStart"/>
      <w:r w:rsidRPr="00945FA2">
        <w:rPr>
          <w:sz w:val="28"/>
          <w:szCs w:val="28"/>
        </w:rPr>
        <w:t>недатчанами</w:t>
      </w:r>
      <w:proofErr w:type="spellEnd"/>
      <w:r w:rsidRPr="00945FA2">
        <w:rPr>
          <w:sz w:val="28"/>
          <w:szCs w:val="28"/>
        </w:rPr>
        <w:t xml:space="preserve"> против </w:t>
      </w:r>
      <w:proofErr w:type="spellStart"/>
      <w:r w:rsidRPr="00945FA2">
        <w:rPr>
          <w:sz w:val="28"/>
          <w:szCs w:val="28"/>
        </w:rPr>
        <w:t>недатчан</w:t>
      </w:r>
      <w:proofErr w:type="spellEnd"/>
      <w:r w:rsidRPr="00945FA2">
        <w:rPr>
          <w:sz w:val="28"/>
          <w:szCs w:val="28"/>
        </w:rPr>
        <w:t xml:space="preserve"> на датской территории, что схоже с ситуацией в целом ряде государств сопоставимого уровня. Так, в разное время населённые пункты королевства (в первую очередь Копенгаген) становились местом террористической деятельности против турецких, югославских, израильских граждан, осуществлявшейся соответственно армянскими, курдскими, хорватскими и арабскими экстремистами. </w:t>
      </w:r>
    </w:p>
    <w:p w:rsidR="00945FA2" w:rsidRPr="00945FA2" w:rsidRDefault="00945FA2" w:rsidP="00945FA2">
      <w:pPr>
        <w:pStyle w:val="a3"/>
        <w:spacing w:line="360" w:lineRule="auto"/>
        <w:ind w:firstLine="709"/>
        <w:jc w:val="both"/>
        <w:rPr>
          <w:sz w:val="28"/>
          <w:szCs w:val="28"/>
        </w:rPr>
      </w:pPr>
      <w:r w:rsidRPr="00945FA2">
        <w:rPr>
          <w:sz w:val="28"/>
          <w:szCs w:val="28"/>
        </w:rPr>
        <w:t>В 2005–2007 годах на территории страны по обвинению в подготовке террористических атак был задержан ряд выходцев из мусульманских стран. В Дании действует Марокканская исламская боевая группа, выступающая за превращение Марокко в исламское государство и считающаяся одним из союзников «Аль-Каиды».</w:t>
      </w:r>
    </w:p>
    <w:p w:rsidR="00945FA2" w:rsidRPr="00945FA2" w:rsidRDefault="00945FA2" w:rsidP="00945FA2">
      <w:pPr>
        <w:pStyle w:val="a3"/>
        <w:spacing w:line="360" w:lineRule="auto"/>
        <w:ind w:firstLine="709"/>
        <w:jc w:val="both"/>
        <w:rPr>
          <w:sz w:val="28"/>
          <w:szCs w:val="28"/>
        </w:rPr>
      </w:pPr>
      <w:r w:rsidRPr="00945FA2">
        <w:rPr>
          <w:sz w:val="28"/>
          <w:szCs w:val="28"/>
        </w:rPr>
        <w:lastRenderedPageBreak/>
        <w:t xml:space="preserve">Согласно экспертным оценкам, уровень коррупции в Дании достаточно низкий. </w:t>
      </w:r>
    </w:p>
    <w:p w:rsidR="00945FA2" w:rsidRPr="00945FA2" w:rsidRDefault="00945FA2" w:rsidP="00945FA2">
      <w:pPr>
        <w:pStyle w:val="a3"/>
        <w:spacing w:line="360" w:lineRule="auto"/>
        <w:ind w:firstLine="709"/>
        <w:jc w:val="both"/>
        <w:rPr>
          <w:sz w:val="28"/>
          <w:szCs w:val="28"/>
        </w:rPr>
      </w:pPr>
      <w:r w:rsidRPr="00945FA2">
        <w:rPr>
          <w:sz w:val="28"/>
          <w:szCs w:val="28"/>
        </w:rPr>
        <w:t>Исследование «Глобальный барометр коррупции — 2007», подготовленное международной неправительственной организацией «</w:t>
      </w:r>
      <w:proofErr w:type="spellStart"/>
      <w:r w:rsidRPr="00945FA2">
        <w:rPr>
          <w:sz w:val="28"/>
          <w:szCs w:val="28"/>
        </w:rPr>
        <w:t>Трансперенси</w:t>
      </w:r>
      <w:proofErr w:type="spellEnd"/>
      <w:r w:rsidRPr="00945FA2">
        <w:rPr>
          <w:sz w:val="28"/>
          <w:szCs w:val="28"/>
        </w:rPr>
        <w:t xml:space="preserve"> Интернешнл» (</w:t>
      </w:r>
      <w:proofErr w:type="spellStart"/>
      <w:r w:rsidRPr="00945FA2">
        <w:rPr>
          <w:sz w:val="28"/>
          <w:szCs w:val="28"/>
        </w:rPr>
        <w:t>Transparency</w:t>
      </w:r>
      <w:proofErr w:type="spellEnd"/>
      <w:r w:rsidRPr="00945FA2">
        <w:rPr>
          <w:sz w:val="28"/>
          <w:szCs w:val="28"/>
        </w:rPr>
        <w:t xml:space="preserve"> </w:t>
      </w:r>
      <w:proofErr w:type="spellStart"/>
      <w:r w:rsidRPr="00945FA2">
        <w:rPr>
          <w:sz w:val="28"/>
          <w:szCs w:val="28"/>
        </w:rPr>
        <w:t>International</w:t>
      </w:r>
      <w:proofErr w:type="spellEnd"/>
      <w:r w:rsidRPr="00945FA2">
        <w:rPr>
          <w:sz w:val="28"/>
          <w:szCs w:val="28"/>
        </w:rPr>
        <w:t>), показывает, какие сферы общественной жизни в стране, по мнению граждан, в наибольшей мере подвержены коррупции. В случае Дании наиболее коррумпированными население считает религиозные организации (3,3 балла по 5-балльной шкале, где 5 — максимальный показатель коррумпированности), частный бизнес (3,2), политические партии и средства массовой информации (по 3,1). Наименее коррумпированными граждане считают регистрирующие и лицензирующие органы (1,9) и представителей судебной власти (2,0).</w:t>
      </w:r>
    </w:p>
    <w:p w:rsidR="00945FA2" w:rsidRPr="00945FA2" w:rsidRDefault="00945FA2" w:rsidP="00945FA2">
      <w:pPr>
        <w:pStyle w:val="a3"/>
        <w:spacing w:line="360" w:lineRule="auto"/>
        <w:ind w:firstLine="709"/>
        <w:jc w:val="both"/>
        <w:rPr>
          <w:sz w:val="28"/>
          <w:szCs w:val="28"/>
        </w:rPr>
      </w:pPr>
      <w:r w:rsidRPr="00945FA2">
        <w:rPr>
          <w:sz w:val="28"/>
          <w:szCs w:val="28"/>
        </w:rPr>
        <w:t>Перед датским государством стоит проблема избыточной иммиграции, и правительство страны принимает меры по её снижению. Проводится политика интегрирования вновь прибывших мигрантов в датское общество.</w:t>
      </w:r>
    </w:p>
    <w:p w:rsidR="00945FA2" w:rsidRPr="00945FA2" w:rsidRDefault="00945FA2" w:rsidP="00945FA2">
      <w:pPr>
        <w:pStyle w:val="a3"/>
        <w:spacing w:line="360" w:lineRule="auto"/>
        <w:ind w:firstLine="709"/>
        <w:jc w:val="both"/>
        <w:rPr>
          <w:sz w:val="28"/>
          <w:szCs w:val="28"/>
        </w:rPr>
      </w:pPr>
      <w:r w:rsidRPr="00945FA2">
        <w:rPr>
          <w:sz w:val="28"/>
          <w:szCs w:val="28"/>
        </w:rPr>
        <w:t>Дания не сталкивается с угрозой сокращения численности населения: согласно докладу ПРООН «О развитии человека 2007/2008», в 2005–2015 годах прогнозируется положительный ежегодный прирост населения, который составит 0,2 %. Вместе с тем поддержание положительной демографической динамики будет происходить в основном за счёт семей иммигрантов, где традиционно рождается большое число детей.</w:t>
      </w:r>
    </w:p>
    <w:p w:rsidR="00945FA2" w:rsidRPr="00945FA2" w:rsidRDefault="00945FA2" w:rsidP="00945FA2">
      <w:pPr>
        <w:pStyle w:val="a3"/>
        <w:spacing w:line="360" w:lineRule="auto"/>
        <w:ind w:firstLine="709"/>
        <w:jc w:val="both"/>
        <w:rPr>
          <w:sz w:val="28"/>
          <w:szCs w:val="28"/>
        </w:rPr>
      </w:pPr>
      <w:r w:rsidRPr="00945FA2">
        <w:rPr>
          <w:sz w:val="28"/>
          <w:szCs w:val="28"/>
        </w:rPr>
        <w:t xml:space="preserve">Организованная преступность в Дании представляет собой комплексное явление. Так, после прекращения в 1997 году усилиями полиции войн </w:t>
      </w:r>
      <w:proofErr w:type="spellStart"/>
      <w:r w:rsidRPr="00945FA2">
        <w:rPr>
          <w:sz w:val="28"/>
          <w:szCs w:val="28"/>
        </w:rPr>
        <w:t>байкерских</w:t>
      </w:r>
      <w:proofErr w:type="spellEnd"/>
      <w:r w:rsidRPr="00945FA2">
        <w:rPr>
          <w:sz w:val="28"/>
          <w:szCs w:val="28"/>
        </w:rPr>
        <w:t xml:space="preserve"> группировок, создававших значительную угрозу общественному порядку и безопасности, эти объединения перешли от конфликтов внутри субкультуры исключительно к конфликту с государственными структурами, выступая в качестве торговцев оружием и распространителей наркотиков. </w:t>
      </w:r>
      <w:proofErr w:type="gramStart"/>
      <w:r w:rsidRPr="00945FA2">
        <w:rPr>
          <w:sz w:val="28"/>
          <w:szCs w:val="28"/>
        </w:rPr>
        <w:t>Помимо этого</w:t>
      </w:r>
      <w:proofErr w:type="gramEnd"/>
      <w:r w:rsidRPr="00945FA2">
        <w:rPr>
          <w:sz w:val="28"/>
          <w:szCs w:val="28"/>
        </w:rPr>
        <w:t xml:space="preserve"> противоправная активность байкеров проявляется в актах </w:t>
      </w:r>
      <w:r w:rsidRPr="00945FA2">
        <w:rPr>
          <w:sz w:val="28"/>
          <w:szCs w:val="28"/>
        </w:rPr>
        <w:lastRenderedPageBreak/>
        <w:t>насилия (в том числе убийствах), грабежах, контрабанде товаров, облагаемых значительными налогами. Криминальные связи байкеров включают в себя и иностранные преступные синдикаты, среди которых ОПГ из США.</w:t>
      </w:r>
    </w:p>
    <w:p w:rsidR="00945FA2" w:rsidRPr="00945FA2" w:rsidRDefault="00945FA2" w:rsidP="00945FA2">
      <w:pPr>
        <w:pStyle w:val="a3"/>
        <w:spacing w:line="360" w:lineRule="auto"/>
        <w:ind w:firstLine="709"/>
        <w:jc w:val="both"/>
        <w:rPr>
          <w:sz w:val="28"/>
          <w:szCs w:val="28"/>
        </w:rPr>
      </w:pPr>
      <w:r w:rsidRPr="00945FA2">
        <w:rPr>
          <w:sz w:val="28"/>
          <w:szCs w:val="28"/>
        </w:rPr>
        <w:t xml:space="preserve">В последнее время Дания превратилась в транзитную страну на пути поставки наркотических веществ из Германии в Швецию и Норвегию. </w:t>
      </w:r>
      <w:proofErr w:type="spellStart"/>
      <w:r w:rsidRPr="00945FA2">
        <w:rPr>
          <w:sz w:val="28"/>
          <w:szCs w:val="28"/>
        </w:rPr>
        <w:t>Наркотрафик</w:t>
      </w:r>
      <w:proofErr w:type="spellEnd"/>
      <w:r w:rsidRPr="00945FA2">
        <w:rPr>
          <w:sz w:val="28"/>
          <w:szCs w:val="28"/>
        </w:rPr>
        <w:t xml:space="preserve"> охватывает провоз конопли, героина, кокаина и синтетических наркотиков. Ситуация с наркоманией в королевстве весьма серьёзна, поскольку страна лидирует в Европе по числу потребителей конопли (по некоторым оценкам, до 31 % населения) и делит вместе с Нидерландами первое место по числу зависимых от кокаина в возрасте от 15 до 34 лет.</w:t>
      </w:r>
    </w:p>
    <w:p w:rsidR="00945FA2" w:rsidRPr="00945FA2" w:rsidRDefault="00945FA2" w:rsidP="00945FA2">
      <w:pPr>
        <w:pStyle w:val="a3"/>
        <w:spacing w:line="360" w:lineRule="auto"/>
        <w:ind w:firstLine="709"/>
        <w:jc w:val="both"/>
        <w:rPr>
          <w:sz w:val="28"/>
          <w:szCs w:val="28"/>
        </w:rPr>
      </w:pPr>
      <w:r w:rsidRPr="00945FA2">
        <w:rPr>
          <w:sz w:val="28"/>
          <w:szCs w:val="28"/>
        </w:rPr>
        <w:t>Наряду с байкерами важным компонентом преступного мира являются этнические ОПГ. 1990-е годы ознаменовались целой серией гангстерских войн между иммигрантскими бандами.</w:t>
      </w:r>
    </w:p>
    <w:p w:rsidR="00B6747E" w:rsidRDefault="00B6747E" w:rsidP="00B6747E">
      <w:pPr>
        <w:pStyle w:val="a3"/>
        <w:spacing w:line="360" w:lineRule="auto"/>
        <w:ind w:firstLine="709"/>
        <w:jc w:val="both"/>
        <w:rPr>
          <w:sz w:val="28"/>
          <w:szCs w:val="28"/>
        </w:rPr>
      </w:pPr>
      <w:r>
        <w:rPr>
          <w:sz w:val="28"/>
          <w:szCs w:val="28"/>
        </w:rPr>
        <w:br w:type="page"/>
      </w:r>
    </w:p>
    <w:p w:rsidR="00945FA2" w:rsidRDefault="00B6747E" w:rsidP="00B6747E">
      <w:pPr>
        <w:pStyle w:val="a3"/>
        <w:spacing w:line="360" w:lineRule="auto"/>
        <w:jc w:val="both"/>
        <w:rPr>
          <w:sz w:val="28"/>
          <w:szCs w:val="28"/>
        </w:rPr>
      </w:pPr>
      <w:r>
        <w:rPr>
          <w:sz w:val="28"/>
          <w:szCs w:val="28"/>
        </w:rPr>
        <w:lastRenderedPageBreak/>
        <w:t>СПИСОК ИСПОЛЬЗОВАННЫХ ИСТОЧНИКОВ</w:t>
      </w:r>
    </w:p>
    <w:p w:rsidR="00B6747E" w:rsidRDefault="00B6747E" w:rsidP="00B6747E">
      <w:pPr>
        <w:pStyle w:val="a3"/>
        <w:spacing w:line="360" w:lineRule="auto"/>
        <w:jc w:val="both"/>
        <w:rPr>
          <w:sz w:val="28"/>
          <w:szCs w:val="28"/>
        </w:rPr>
      </w:pPr>
      <w:hyperlink r:id="rId5" w:history="1">
        <w:r w:rsidRPr="0032636A">
          <w:rPr>
            <w:rStyle w:val="a5"/>
            <w:sz w:val="28"/>
            <w:szCs w:val="28"/>
          </w:rPr>
          <w:t>https://ru.tradingeconomics.com</w:t>
        </w:r>
      </w:hyperlink>
    </w:p>
    <w:p w:rsidR="00B6747E" w:rsidRDefault="00B6747E" w:rsidP="00B6747E">
      <w:pPr>
        <w:pStyle w:val="a3"/>
        <w:spacing w:line="360" w:lineRule="auto"/>
        <w:jc w:val="both"/>
        <w:rPr>
          <w:sz w:val="28"/>
          <w:szCs w:val="28"/>
        </w:rPr>
      </w:pPr>
      <w:hyperlink r:id="rId6" w:history="1">
        <w:r w:rsidRPr="0032636A">
          <w:rPr>
            <w:rStyle w:val="a5"/>
            <w:sz w:val="28"/>
            <w:szCs w:val="28"/>
          </w:rPr>
          <w:t>https://ru-world.net</w:t>
        </w:r>
      </w:hyperlink>
    </w:p>
    <w:p w:rsidR="00B6747E" w:rsidRDefault="00B6747E" w:rsidP="00B6747E">
      <w:pPr>
        <w:pStyle w:val="a3"/>
        <w:spacing w:line="360" w:lineRule="auto"/>
        <w:jc w:val="both"/>
        <w:rPr>
          <w:sz w:val="28"/>
          <w:szCs w:val="28"/>
        </w:rPr>
      </w:pPr>
      <w:hyperlink r:id="rId7" w:history="1">
        <w:r w:rsidRPr="0032636A">
          <w:rPr>
            <w:rStyle w:val="a5"/>
            <w:sz w:val="28"/>
            <w:szCs w:val="28"/>
          </w:rPr>
          <w:t>https://ru.theglobaleconomy.com</w:t>
        </w:r>
      </w:hyperlink>
    </w:p>
    <w:p w:rsidR="00B6747E" w:rsidRDefault="00B6747E" w:rsidP="00B6747E">
      <w:pPr>
        <w:pStyle w:val="a3"/>
        <w:spacing w:line="360" w:lineRule="auto"/>
        <w:jc w:val="both"/>
        <w:rPr>
          <w:sz w:val="28"/>
          <w:szCs w:val="28"/>
        </w:rPr>
      </w:pPr>
      <w:hyperlink r:id="rId8" w:history="1">
        <w:r w:rsidRPr="0032636A">
          <w:rPr>
            <w:rStyle w:val="a5"/>
            <w:sz w:val="28"/>
            <w:szCs w:val="28"/>
          </w:rPr>
          <w:t>https://denmarklife.ru</w:t>
        </w:r>
      </w:hyperlink>
    </w:p>
    <w:p w:rsidR="00B6747E" w:rsidRDefault="00B6747E" w:rsidP="00B6747E">
      <w:pPr>
        <w:pStyle w:val="a3"/>
        <w:spacing w:line="360" w:lineRule="auto"/>
        <w:jc w:val="both"/>
        <w:rPr>
          <w:sz w:val="28"/>
          <w:szCs w:val="28"/>
        </w:rPr>
      </w:pPr>
      <w:hyperlink r:id="rId9" w:history="1">
        <w:r w:rsidRPr="0032636A">
          <w:rPr>
            <w:rStyle w:val="a5"/>
            <w:sz w:val="28"/>
            <w:szCs w:val="28"/>
          </w:rPr>
          <w:t>http://www.hyno.ru</w:t>
        </w:r>
      </w:hyperlink>
    </w:p>
    <w:p w:rsidR="00B6747E" w:rsidRDefault="00B6747E" w:rsidP="00B6747E">
      <w:pPr>
        <w:pStyle w:val="a3"/>
        <w:spacing w:line="360" w:lineRule="auto"/>
        <w:jc w:val="both"/>
        <w:rPr>
          <w:sz w:val="28"/>
          <w:szCs w:val="28"/>
        </w:rPr>
      </w:pPr>
      <w:hyperlink r:id="rId10" w:history="1">
        <w:r w:rsidRPr="0032636A">
          <w:rPr>
            <w:rStyle w:val="a5"/>
            <w:sz w:val="28"/>
            <w:szCs w:val="28"/>
          </w:rPr>
          <w:t>https://wikiway.com</w:t>
        </w:r>
      </w:hyperlink>
    </w:p>
    <w:p w:rsidR="00B6747E" w:rsidRDefault="00B6747E" w:rsidP="00B6747E">
      <w:pPr>
        <w:pStyle w:val="a3"/>
        <w:spacing w:line="360" w:lineRule="auto"/>
        <w:jc w:val="both"/>
        <w:rPr>
          <w:sz w:val="28"/>
          <w:szCs w:val="28"/>
        </w:rPr>
      </w:pPr>
      <w:hyperlink r:id="rId11" w:history="1">
        <w:r w:rsidRPr="0032636A">
          <w:rPr>
            <w:rStyle w:val="a5"/>
            <w:sz w:val="28"/>
            <w:szCs w:val="28"/>
          </w:rPr>
          <w:t>http://finance-romance.ru</w:t>
        </w:r>
      </w:hyperlink>
    </w:p>
    <w:p w:rsidR="00B6747E" w:rsidRPr="00945FA2" w:rsidRDefault="00B6747E" w:rsidP="00B6747E">
      <w:pPr>
        <w:pStyle w:val="a3"/>
        <w:spacing w:line="360" w:lineRule="auto"/>
        <w:ind w:firstLine="709"/>
        <w:jc w:val="both"/>
        <w:rPr>
          <w:sz w:val="28"/>
          <w:szCs w:val="28"/>
        </w:rPr>
      </w:pPr>
    </w:p>
    <w:p w:rsidR="00945FA2" w:rsidRPr="00945FA2" w:rsidRDefault="00945FA2" w:rsidP="00945FA2">
      <w:pPr>
        <w:spacing w:line="360" w:lineRule="auto"/>
        <w:ind w:firstLine="709"/>
        <w:jc w:val="both"/>
        <w:rPr>
          <w:rFonts w:ascii="Times New Roman" w:hAnsi="Times New Roman" w:cs="Times New Roman"/>
          <w:b/>
          <w:sz w:val="28"/>
          <w:szCs w:val="28"/>
        </w:rPr>
      </w:pPr>
    </w:p>
    <w:sectPr w:rsidR="00945FA2" w:rsidRPr="00945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5181"/>
    <w:multiLevelType w:val="hybridMultilevel"/>
    <w:tmpl w:val="251E7076"/>
    <w:lvl w:ilvl="0" w:tplc="E8E64CFC">
      <w:start w:val="1"/>
      <w:numFmt w:val="bullet"/>
      <w:lvlText w:val="■"/>
      <w:lvlJc w:val="left"/>
      <w:pPr>
        <w:tabs>
          <w:tab w:val="num" w:pos="720"/>
        </w:tabs>
        <w:ind w:left="720" w:hanging="360"/>
      </w:pPr>
      <w:rPr>
        <w:rFonts w:ascii="Franklin Gothic Book" w:hAnsi="Franklin Gothic Book" w:hint="default"/>
      </w:rPr>
    </w:lvl>
    <w:lvl w:ilvl="1" w:tplc="F7E25D58" w:tentative="1">
      <w:start w:val="1"/>
      <w:numFmt w:val="bullet"/>
      <w:lvlText w:val="■"/>
      <w:lvlJc w:val="left"/>
      <w:pPr>
        <w:tabs>
          <w:tab w:val="num" w:pos="1440"/>
        </w:tabs>
        <w:ind w:left="1440" w:hanging="360"/>
      </w:pPr>
      <w:rPr>
        <w:rFonts w:ascii="Franklin Gothic Book" w:hAnsi="Franklin Gothic Book" w:hint="default"/>
      </w:rPr>
    </w:lvl>
    <w:lvl w:ilvl="2" w:tplc="8EFA81FE" w:tentative="1">
      <w:start w:val="1"/>
      <w:numFmt w:val="bullet"/>
      <w:lvlText w:val="■"/>
      <w:lvlJc w:val="left"/>
      <w:pPr>
        <w:tabs>
          <w:tab w:val="num" w:pos="2160"/>
        </w:tabs>
        <w:ind w:left="2160" w:hanging="360"/>
      </w:pPr>
      <w:rPr>
        <w:rFonts w:ascii="Franklin Gothic Book" w:hAnsi="Franklin Gothic Book" w:hint="default"/>
      </w:rPr>
    </w:lvl>
    <w:lvl w:ilvl="3" w:tplc="668A2D0E" w:tentative="1">
      <w:start w:val="1"/>
      <w:numFmt w:val="bullet"/>
      <w:lvlText w:val="■"/>
      <w:lvlJc w:val="left"/>
      <w:pPr>
        <w:tabs>
          <w:tab w:val="num" w:pos="2880"/>
        </w:tabs>
        <w:ind w:left="2880" w:hanging="360"/>
      </w:pPr>
      <w:rPr>
        <w:rFonts w:ascii="Franklin Gothic Book" w:hAnsi="Franklin Gothic Book" w:hint="default"/>
      </w:rPr>
    </w:lvl>
    <w:lvl w:ilvl="4" w:tplc="DAA6D516" w:tentative="1">
      <w:start w:val="1"/>
      <w:numFmt w:val="bullet"/>
      <w:lvlText w:val="■"/>
      <w:lvlJc w:val="left"/>
      <w:pPr>
        <w:tabs>
          <w:tab w:val="num" w:pos="3600"/>
        </w:tabs>
        <w:ind w:left="3600" w:hanging="360"/>
      </w:pPr>
      <w:rPr>
        <w:rFonts w:ascii="Franklin Gothic Book" w:hAnsi="Franklin Gothic Book" w:hint="default"/>
      </w:rPr>
    </w:lvl>
    <w:lvl w:ilvl="5" w:tplc="68EA4724" w:tentative="1">
      <w:start w:val="1"/>
      <w:numFmt w:val="bullet"/>
      <w:lvlText w:val="■"/>
      <w:lvlJc w:val="left"/>
      <w:pPr>
        <w:tabs>
          <w:tab w:val="num" w:pos="4320"/>
        </w:tabs>
        <w:ind w:left="4320" w:hanging="360"/>
      </w:pPr>
      <w:rPr>
        <w:rFonts w:ascii="Franklin Gothic Book" w:hAnsi="Franklin Gothic Book" w:hint="default"/>
      </w:rPr>
    </w:lvl>
    <w:lvl w:ilvl="6" w:tplc="A1E8C860" w:tentative="1">
      <w:start w:val="1"/>
      <w:numFmt w:val="bullet"/>
      <w:lvlText w:val="■"/>
      <w:lvlJc w:val="left"/>
      <w:pPr>
        <w:tabs>
          <w:tab w:val="num" w:pos="5040"/>
        </w:tabs>
        <w:ind w:left="5040" w:hanging="360"/>
      </w:pPr>
      <w:rPr>
        <w:rFonts w:ascii="Franklin Gothic Book" w:hAnsi="Franklin Gothic Book" w:hint="default"/>
      </w:rPr>
    </w:lvl>
    <w:lvl w:ilvl="7" w:tplc="A536A57A" w:tentative="1">
      <w:start w:val="1"/>
      <w:numFmt w:val="bullet"/>
      <w:lvlText w:val="■"/>
      <w:lvlJc w:val="left"/>
      <w:pPr>
        <w:tabs>
          <w:tab w:val="num" w:pos="5760"/>
        </w:tabs>
        <w:ind w:left="5760" w:hanging="360"/>
      </w:pPr>
      <w:rPr>
        <w:rFonts w:ascii="Franklin Gothic Book" w:hAnsi="Franklin Gothic Book" w:hint="default"/>
      </w:rPr>
    </w:lvl>
    <w:lvl w:ilvl="8" w:tplc="D1B6DD14"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5F9F3063"/>
    <w:multiLevelType w:val="hybridMultilevel"/>
    <w:tmpl w:val="DFE85186"/>
    <w:lvl w:ilvl="0" w:tplc="DF346E02">
      <w:start w:val="1"/>
      <w:numFmt w:val="bullet"/>
      <w:lvlText w:val="■"/>
      <w:lvlJc w:val="left"/>
      <w:pPr>
        <w:tabs>
          <w:tab w:val="num" w:pos="720"/>
        </w:tabs>
        <w:ind w:left="720" w:hanging="360"/>
      </w:pPr>
      <w:rPr>
        <w:rFonts w:ascii="Franklin Gothic Book" w:hAnsi="Franklin Gothic Book" w:hint="default"/>
      </w:rPr>
    </w:lvl>
    <w:lvl w:ilvl="1" w:tplc="E0D03FB0" w:tentative="1">
      <w:start w:val="1"/>
      <w:numFmt w:val="bullet"/>
      <w:lvlText w:val="■"/>
      <w:lvlJc w:val="left"/>
      <w:pPr>
        <w:tabs>
          <w:tab w:val="num" w:pos="1440"/>
        </w:tabs>
        <w:ind w:left="1440" w:hanging="360"/>
      </w:pPr>
      <w:rPr>
        <w:rFonts w:ascii="Franklin Gothic Book" w:hAnsi="Franklin Gothic Book" w:hint="default"/>
      </w:rPr>
    </w:lvl>
    <w:lvl w:ilvl="2" w:tplc="B4E40706" w:tentative="1">
      <w:start w:val="1"/>
      <w:numFmt w:val="bullet"/>
      <w:lvlText w:val="■"/>
      <w:lvlJc w:val="left"/>
      <w:pPr>
        <w:tabs>
          <w:tab w:val="num" w:pos="2160"/>
        </w:tabs>
        <w:ind w:left="2160" w:hanging="360"/>
      </w:pPr>
      <w:rPr>
        <w:rFonts w:ascii="Franklin Gothic Book" w:hAnsi="Franklin Gothic Book" w:hint="default"/>
      </w:rPr>
    </w:lvl>
    <w:lvl w:ilvl="3" w:tplc="E2CC53A4" w:tentative="1">
      <w:start w:val="1"/>
      <w:numFmt w:val="bullet"/>
      <w:lvlText w:val="■"/>
      <w:lvlJc w:val="left"/>
      <w:pPr>
        <w:tabs>
          <w:tab w:val="num" w:pos="2880"/>
        </w:tabs>
        <w:ind w:left="2880" w:hanging="360"/>
      </w:pPr>
      <w:rPr>
        <w:rFonts w:ascii="Franklin Gothic Book" w:hAnsi="Franklin Gothic Book" w:hint="default"/>
      </w:rPr>
    </w:lvl>
    <w:lvl w:ilvl="4" w:tplc="24C289DC" w:tentative="1">
      <w:start w:val="1"/>
      <w:numFmt w:val="bullet"/>
      <w:lvlText w:val="■"/>
      <w:lvlJc w:val="left"/>
      <w:pPr>
        <w:tabs>
          <w:tab w:val="num" w:pos="3600"/>
        </w:tabs>
        <w:ind w:left="3600" w:hanging="360"/>
      </w:pPr>
      <w:rPr>
        <w:rFonts w:ascii="Franklin Gothic Book" w:hAnsi="Franklin Gothic Book" w:hint="default"/>
      </w:rPr>
    </w:lvl>
    <w:lvl w:ilvl="5" w:tplc="4822994E" w:tentative="1">
      <w:start w:val="1"/>
      <w:numFmt w:val="bullet"/>
      <w:lvlText w:val="■"/>
      <w:lvlJc w:val="left"/>
      <w:pPr>
        <w:tabs>
          <w:tab w:val="num" w:pos="4320"/>
        </w:tabs>
        <w:ind w:left="4320" w:hanging="360"/>
      </w:pPr>
      <w:rPr>
        <w:rFonts w:ascii="Franklin Gothic Book" w:hAnsi="Franklin Gothic Book" w:hint="default"/>
      </w:rPr>
    </w:lvl>
    <w:lvl w:ilvl="6" w:tplc="F516FCC4" w:tentative="1">
      <w:start w:val="1"/>
      <w:numFmt w:val="bullet"/>
      <w:lvlText w:val="■"/>
      <w:lvlJc w:val="left"/>
      <w:pPr>
        <w:tabs>
          <w:tab w:val="num" w:pos="5040"/>
        </w:tabs>
        <w:ind w:left="5040" w:hanging="360"/>
      </w:pPr>
      <w:rPr>
        <w:rFonts w:ascii="Franklin Gothic Book" w:hAnsi="Franklin Gothic Book" w:hint="default"/>
      </w:rPr>
    </w:lvl>
    <w:lvl w:ilvl="7" w:tplc="B344AB78" w:tentative="1">
      <w:start w:val="1"/>
      <w:numFmt w:val="bullet"/>
      <w:lvlText w:val="■"/>
      <w:lvlJc w:val="left"/>
      <w:pPr>
        <w:tabs>
          <w:tab w:val="num" w:pos="5760"/>
        </w:tabs>
        <w:ind w:left="5760" w:hanging="360"/>
      </w:pPr>
      <w:rPr>
        <w:rFonts w:ascii="Franklin Gothic Book" w:hAnsi="Franklin Gothic Book" w:hint="default"/>
      </w:rPr>
    </w:lvl>
    <w:lvl w:ilvl="8" w:tplc="C0588B58"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70610FB1"/>
    <w:multiLevelType w:val="hybridMultilevel"/>
    <w:tmpl w:val="5F2EEE7A"/>
    <w:lvl w:ilvl="0" w:tplc="6258424E">
      <w:start w:val="1"/>
      <w:numFmt w:val="bullet"/>
      <w:lvlText w:val="■"/>
      <w:lvlJc w:val="left"/>
      <w:pPr>
        <w:tabs>
          <w:tab w:val="num" w:pos="720"/>
        </w:tabs>
        <w:ind w:left="720" w:hanging="360"/>
      </w:pPr>
      <w:rPr>
        <w:rFonts w:ascii="Franklin Gothic Book" w:hAnsi="Franklin Gothic Book" w:hint="default"/>
      </w:rPr>
    </w:lvl>
    <w:lvl w:ilvl="1" w:tplc="3648E6A0" w:tentative="1">
      <w:start w:val="1"/>
      <w:numFmt w:val="bullet"/>
      <w:lvlText w:val="■"/>
      <w:lvlJc w:val="left"/>
      <w:pPr>
        <w:tabs>
          <w:tab w:val="num" w:pos="1440"/>
        </w:tabs>
        <w:ind w:left="1440" w:hanging="360"/>
      </w:pPr>
      <w:rPr>
        <w:rFonts w:ascii="Franklin Gothic Book" w:hAnsi="Franklin Gothic Book" w:hint="default"/>
      </w:rPr>
    </w:lvl>
    <w:lvl w:ilvl="2" w:tplc="3AC2A0E8" w:tentative="1">
      <w:start w:val="1"/>
      <w:numFmt w:val="bullet"/>
      <w:lvlText w:val="■"/>
      <w:lvlJc w:val="left"/>
      <w:pPr>
        <w:tabs>
          <w:tab w:val="num" w:pos="2160"/>
        </w:tabs>
        <w:ind w:left="2160" w:hanging="360"/>
      </w:pPr>
      <w:rPr>
        <w:rFonts w:ascii="Franklin Gothic Book" w:hAnsi="Franklin Gothic Book" w:hint="default"/>
      </w:rPr>
    </w:lvl>
    <w:lvl w:ilvl="3" w:tplc="7D6AF2C6" w:tentative="1">
      <w:start w:val="1"/>
      <w:numFmt w:val="bullet"/>
      <w:lvlText w:val="■"/>
      <w:lvlJc w:val="left"/>
      <w:pPr>
        <w:tabs>
          <w:tab w:val="num" w:pos="2880"/>
        </w:tabs>
        <w:ind w:left="2880" w:hanging="360"/>
      </w:pPr>
      <w:rPr>
        <w:rFonts w:ascii="Franklin Gothic Book" w:hAnsi="Franklin Gothic Book" w:hint="default"/>
      </w:rPr>
    </w:lvl>
    <w:lvl w:ilvl="4" w:tplc="3D3A2536" w:tentative="1">
      <w:start w:val="1"/>
      <w:numFmt w:val="bullet"/>
      <w:lvlText w:val="■"/>
      <w:lvlJc w:val="left"/>
      <w:pPr>
        <w:tabs>
          <w:tab w:val="num" w:pos="3600"/>
        </w:tabs>
        <w:ind w:left="3600" w:hanging="360"/>
      </w:pPr>
      <w:rPr>
        <w:rFonts w:ascii="Franklin Gothic Book" w:hAnsi="Franklin Gothic Book" w:hint="default"/>
      </w:rPr>
    </w:lvl>
    <w:lvl w:ilvl="5" w:tplc="10AE4C3A" w:tentative="1">
      <w:start w:val="1"/>
      <w:numFmt w:val="bullet"/>
      <w:lvlText w:val="■"/>
      <w:lvlJc w:val="left"/>
      <w:pPr>
        <w:tabs>
          <w:tab w:val="num" w:pos="4320"/>
        </w:tabs>
        <w:ind w:left="4320" w:hanging="360"/>
      </w:pPr>
      <w:rPr>
        <w:rFonts w:ascii="Franklin Gothic Book" w:hAnsi="Franklin Gothic Book" w:hint="default"/>
      </w:rPr>
    </w:lvl>
    <w:lvl w:ilvl="6" w:tplc="B700F506" w:tentative="1">
      <w:start w:val="1"/>
      <w:numFmt w:val="bullet"/>
      <w:lvlText w:val="■"/>
      <w:lvlJc w:val="left"/>
      <w:pPr>
        <w:tabs>
          <w:tab w:val="num" w:pos="5040"/>
        </w:tabs>
        <w:ind w:left="5040" w:hanging="360"/>
      </w:pPr>
      <w:rPr>
        <w:rFonts w:ascii="Franklin Gothic Book" w:hAnsi="Franklin Gothic Book" w:hint="default"/>
      </w:rPr>
    </w:lvl>
    <w:lvl w:ilvl="7" w:tplc="79DECDDC" w:tentative="1">
      <w:start w:val="1"/>
      <w:numFmt w:val="bullet"/>
      <w:lvlText w:val="■"/>
      <w:lvlJc w:val="left"/>
      <w:pPr>
        <w:tabs>
          <w:tab w:val="num" w:pos="5760"/>
        </w:tabs>
        <w:ind w:left="5760" w:hanging="360"/>
      </w:pPr>
      <w:rPr>
        <w:rFonts w:ascii="Franklin Gothic Book" w:hAnsi="Franklin Gothic Book" w:hint="default"/>
      </w:rPr>
    </w:lvl>
    <w:lvl w:ilvl="8" w:tplc="E84A1F76"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54"/>
    <w:rsid w:val="008A6A54"/>
    <w:rsid w:val="00945FA2"/>
    <w:rsid w:val="00B6747E"/>
    <w:rsid w:val="00C03735"/>
    <w:rsid w:val="00C6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FE61"/>
  <w15:chartTrackingRefBased/>
  <w15:docId w15:val="{D01C1A67-E4EA-46AD-89AA-254353D8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45F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2F19"/>
    <w:rPr>
      <w:b/>
      <w:bCs/>
    </w:rPr>
  </w:style>
  <w:style w:type="character" w:styleId="a5">
    <w:name w:val="Hyperlink"/>
    <w:basedOn w:val="a0"/>
    <w:uiPriority w:val="99"/>
    <w:unhideWhenUsed/>
    <w:rsid w:val="00C62F19"/>
    <w:rPr>
      <w:color w:val="0563C1" w:themeColor="hyperlink"/>
      <w:u w:val="single"/>
    </w:rPr>
  </w:style>
  <w:style w:type="paragraph" w:styleId="a6">
    <w:name w:val="List Paragraph"/>
    <w:basedOn w:val="a"/>
    <w:uiPriority w:val="34"/>
    <w:qFormat/>
    <w:rsid w:val="00C62F1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45FA2"/>
    <w:rPr>
      <w:rFonts w:ascii="Times New Roman" w:eastAsia="Times New Roman" w:hAnsi="Times New Roman" w:cs="Times New Roman"/>
      <w:b/>
      <w:bCs/>
      <w:sz w:val="27"/>
      <w:szCs w:val="27"/>
      <w:lang w:eastAsia="ru-RU"/>
    </w:rPr>
  </w:style>
  <w:style w:type="character" w:styleId="a7">
    <w:name w:val="Emphasis"/>
    <w:basedOn w:val="a0"/>
    <w:uiPriority w:val="20"/>
    <w:qFormat/>
    <w:rsid w:val="00945F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3211">
      <w:bodyDiv w:val="1"/>
      <w:marLeft w:val="0"/>
      <w:marRight w:val="0"/>
      <w:marTop w:val="0"/>
      <w:marBottom w:val="0"/>
      <w:divBdr>
        <w:top w:val="none" w:sz="0" w:space="0" w:color="auto"/>
        <w:left w:val="none" w:sz="0" w:space="0" w:color="auto"/>
        <w:bottom w:val="none" w:sz="0" w:space="0" w:color="auto"/>
        <w:right w:val="none" w:sz="0" w:space="0" w:color="auto"/>
      </w:divBdr>
      <w:divsChild>
        <w:div w:id="1040978130">
          <w:marLeft w:val="605"/>
          <w:marRight w:val="0"/>
          <w:marTop w:val="200"/>
          <w:marBottom w:val="40"/>
          <w:divBdr>
            <w:top w:val="none" w:sz="0" w:space="0" w:color="auto"/>
            <w:left w:val="none" w:sz="0" w:space="0" w:color="auto"/>
            <w:bottom w:val="none" w:sz="0" w:space="0" w:color="auto"/>
            <w:right w:val="none" w:sz="0" w:space="0" w:color="auto"/>
          </w:divBdr>
        </w:div>
        <w:div w:id="2119251498">
          <w:marLeft w:val="605"/>
          <w:marRight w:val="0"/>
          <w:marTop w:val="200"/>
          <w:marBottom w:val="40"/>
          <w:divBdr>
            <w:top w:val="none" w:sz="0" w:space="0" w:color="auto"/>
            <w:left w:val="none" w:sz="0" w:space="0" w:color="auto"/>
            <w:bottom w:val="none" w:sz="0" w:space="0" w:color="auto"/>
            <w:right w:val="none" w:sz="0" w:space="0" w:color="auto"/>
          </w:divBdr>
        </w:div>
      </w:divsChild>
    </w:div>
    <w:div w:id="572543742">
      <w:bodyDiv w:val="1"/>
      <w:marLeft w:val="0"/>
      <w:marRight w:val="0"/>
      <w:marTop w:val="0"/>
      <w:marBottom w:val="0"/>
      <w:divBdr>
        <w:top w:val="none" w:sz="0" w:space="0" w:color="auto"/>
        <w:left w:val="none" w:sz="0" w:space="0" w:color="auto"/>
        <w:bottom w:val="none" w:sz="0" w:space="0" w:color="auto"/>
        <w:right w:val="none" w:sz="0" w:space="0" w:color="auto"/>
      </w:divBdr>
      <w:divsChild>
        <w:div w:id="1316181386">
          <w:marLeft w:val="605"/>
          <w:marRight w:val="0"/>
          <w:marTop w:val="200"/>
          <w:marBottom w:val="40"/>
          <w:divBdr>
            <w:top w:val="none" w:sz="0" w:space="0" w:color="auto"/>
            <w:left w:val="none" w:sz="0" w:space="0" w:color="auto"/>
            <w:bottom w:val="none" w:sz="0" w:space="0" w:color="auto"/>
            <w:right w:val="none" w:sz="0" w:space="0" w:color="auto"/>
          </w:divBdr>
        </w:div>
        <w:div w:id="209802263">
          <w:marLeft w:val="605"/>
          <w:marRight w:val="0"/>
          <w:marTop w:val="200"/>
          <w:marBottom w:val="40"/>
          <w:divBdr>
            <w:top w:val="none" w:sz="0" w:space="0" w:color="auto"/>
            <w:left w:val="none" w:sz="0" w:space="0" w:color="auto"/>
            <w:bottom w:val="none" w:sz="0" w:space="0" w:color="auto"/>
            <w:right w:val="none" w:sz="0" w:space="0" w:color="auto"/>
          </w:divBdr>
        </w:div>
      </w:divsChild>
    </w:div>
    <w:div w:id="673267338">
      <w:bodyDiv w:val="1"/>
      <w:marLeft w:val="0"/>
      <w:marRight w:val="0"/>
      <w:marTop w:val="0"/>
      <w:marBottom w:val="0"/>
      <w:divBdr>
        <w:top w:val="none" w:sz="0" w:space="0" w:color="auto"/>
        <w:left w:val="none" w:sz="0" w:space="0" w:color="auto"/>
        <w:bottom w:val="none" w:sz="0" w:space="0" w:color="auto"/>
        <w:right w:val="none" w:sz="0" w:space="0" w:color="auto"/>
      </w:divBdr>
      <w:divsChild>
        <w:div w:id="1268780931">
          <w:marLeft w:val="0"/>
          <w:marRight w:val="0"/>
          <w:marTop w:val="0"/>
          <w:marBottom w:val="0"/>
          <w:divBdr>
            <w:top w:val="none" w:sz="0" w:space="0" w:color="auto"/>
            <w:left w:val="none" w:sz="0" w:space="0" w:color="auto"/>
            <w:bottom w:val="none" w:sz="0" w:space="0" w:color="auto"/>
            <w:right w:val="none" w:sz="0" w:space="0" w:color="auto"/>
          </w:divBdr>
        </w:div>
      </w:divsChild>
    </w:div>
    <w:div w:id="782458304">
      <w:bodyDiv w:val="1"/>
      <w:marLeft w:val="0"/>
      <w:marRight w:val="0"/>
      <w:marTop w:val="0"/>
      <w:marBottom w:val="0"/>
      <w:divBdr>
        <w:top w:val="none" w:sz="0" w:space="0" w:color="auto"/>
        <w:left w:val="none" w:sz="0" w:space="0" w:color="auto"/>
        <w:bottom w:val="none" w:sz="0" w:space="0" w:color="auto"/>
        <w:right w:val="none" w:sz="0" w:space="0" w:color="auto"/>
      </w:divBdr>
      <w:divsChild>
        <w:div w:id="1612468950">
          <w:marLeft w:val="605"/>
          <w:marRight w:val="0"/>
          <w:marTop w:val="200"/>
          <w:marBottom w:val="40"/>
          <w:divBdr>
            <w:top w:val="none" w:sz="0" w:space="0" w:color="auto"/>
            <w:left w:val="none" w:sz="0" w:space="0" w:color="auto"/>
            <w:bottom w:val="none" w:sz="0" w:space="0" w:color="auto"/>
            <w:right w:val="none" w:sz="0" w:space="0" w:color="auto"/>
          </w:divBdr>
        </w:div>
        <w:div w:id="72506012">
          <w:marLeft w:val="605"/>
          <w:marRight w:val="0"/>
          <w:marTop w:val="200"/>
          <w:marBottom w:val="40"/>
          <w:divBdr>
            <w:top w:val="none" w:sz="0" w:space="0" w:color="auto"/>
            <w:left w:val="none" w:sz="0" w:space="0" w:color="auto"/>
            <w:bottom w:val="none" w:sz="0" w:space="0" w:color="auto"/>
            <w:right w:val="none" w:sz="0" w:space="0" w:color="auto"/>
          </w:divBdr>
        </w:div>
      </w:divsChild>
    </w:div>
    <w:div w:id="853034114">
      <w:bodyDiv w:val="1"/>
      <w:marLeft w:val="0"/>
      <w:marRight w:val="0"/>
      <w:marTop w:val="0"/>
      <w:marBottom w:val="0"/>
      <w:divBdr>
        <w:top w:val="none" w:sz="0" w:space="0" w:color="auto"/>
        <w:left w:val="none" w:sz="0" w:space="0" w:color="auto"/>
        <w:bottom w:val="none" w:sz="0" w:space="0" w:color="auto"/>
        <w:right w:val="none" w:sz="0" w:space="0" w:color="auto"/>
      </w:divBdr>
      <w:divsChild>
        <w:div w:id="923994311">
          <w:marLeft w:val="0"/>
          <w:marRight w:val="0"/>
          <w:marTop w:val="0"/>
          <w:marBottom w:val="0"/>
          <w:divBdr>
            <w:top w:val="none" w:sz="0" w:space="0" w:color="auto"/>
            <w:left w:val="none" w:sz="0" w:space="0" w:color="auto"/>
            <w:bottom w:val="none" w:sz="0" w:space="0" w:color="auto"/>
            <w:right w:val="none" w:sz="0" w:space="0" w:color="auto"/>
          </w:divBdr>
        </w:div>
      </w:divsChild>
    </w:div>
    <w:div w:id="947737661">
      <w:bodyDiv w:val="1"/>
      <w:marLeft w:val="0"/>
      <w:marRight w:val="0"/>
      <w:marTop w:val="0"/>
      <w:marBottom w:val="0"/>
      <w:divBdr>
        <w:top w:val="none" w:sz="0" w:space="0" w:color="auto"/>
        <w:left w:val="none" w:sz="0" w:space="0" w:color="auto"/>
        <w:bottom w:val="none" w:sz="0" w:space="0" w:color="auto"/>
        <w:right w:val="none" w:sz="0" w:space="0" w:color="auto"/>
      </w:divBdr>
    </w:div>
    <w:div w:id="1233276159">
      <w:bodyDiv w:val="1"/>
      <w:marLeft w:val="0"/>
      <w:marRight w:val="0"/>
      <w:marTop w:val="0"/>
      <w:marBottom w:val="0"/>
      <w:divBdr>
        <w:top w:val="none" w:sz="0" w:space="0" w:color="auto"/>
        <w:left w:val="none" w:sz="0" w:space="0" w:color="auto"/>
        <w:bottom w:val="none" w:sz="0" w:space="0" w:color="auto"/>
        <w:right w:val="none" w:sz="0" w:space="0" w:color="auto"/>
      </w:divBdr>
    </w:div>
    <w:div w:id="1356807095">
      <w:bodyDiv w:val="1"/>
      <w:marLeft w:val="0"/>
      <w:marRight w:val="0"/>
      <w:marTop w:val="0"/>
      <w:marBottom w:val="0"/>
      <w:divBdr>
        <w:top w:val="none" w:sz="0" w:space="0" w:color="auto"/>
        <w:left w:val="none" w:sz="0" w:space="0" w:color="auto"/>
        <w:bottom w:val="none" w:sz="0" w:space="0" w:color="auto"/>
        <w:right w:val="none" w:sz="0" w:space="0" w:color="auto"/>
      </w:divBdr>
    </w:div>
    <w:div w:id="1570313165">
      <w:bodyDiv w:val="1"/>
      <w:marLeft w:val="0"/>
      <w:marRight w:val="0"/>
      <w:marTop w:val="0"/>
      <w:marBottom w:val="0"/>
      <w:divBdr>
        <w:top w:val="none" w:sz="0" w:space="0" w:color="auto"/>
        <w:left w:val="none" w:sz="0" w:space="0" w:color="auto"/>
        <w:bottom w:val="none" w:sz="0" w:space="0" w:color="auto"/>
        <w:right w:val="none" w:sz="0" w:space="0" w:color="auto"/>
      </w:divBdr>
      <w:divsChild>
        <w:div w:id="878011028">
          <w:marLeft w:val="0"/>
          <w:marRight w:val="0"/>
          <w:marTop w:val="0"/>
          <w:marBottom w:val="0"/>
          <w:divBdr>
            <w:top w:val="none" w:sz="0" w:space="0" w:color="auto"/>
            <w:left w:val="none" w:sz="0" w:space="0" w:color="auto"/>
            <w:bottom w:val="none" w:sz="0" w:space="0" w:color="auto"/>
            <w:right w:val="none" w:sz="0" w:space="0" w:color="auto"/>
          </w:divBdr>
        </w:div>
      </w:divsChild>
    </w:div>
    <w:div w:id="1593397884">
      <w:bodyDiv w:val="1"/>
      <w:marLeft w:val="0"/>
      <w:marRight w:val="0"/>
      <w:marTop w:val="0"/>
      <w:marBottom w:val="0"/>
      <w:divBdr>
        <w:top w:val="none" w:sz="0" w:space="0" w:color="auto"/>
        <w:left w:val="none" w:sz="0" w:space="0" w:color="auto"/>
        <w:bottom w:val="none" w:sz="0" w:space="0" w:color="auto"/>
        <w:right w:val="none" w:sz="0" w:space="0" w:color="auto"/>
      </w:divBdr>
      <w:divsChild>
        <w:div w:id="1578247076">
          <w:marLeft w:val="0"/>
          <w:marRight w:val="0"/>
          <w:marTop w:val="0"/>
          <w:marBottom w:val="0"/>
          <w:divBdr>
            <w:top w:val="none" w:sz="0" w:space="0" w:color="auto"/>
            <w:left w:val="none" w:sz="0" w:space="0" w:color="auto"/>
            <w:bottom w:val="none" w:sz="0" w:space="0" w:color="auto"/>
            <w:right w:val="none" w:sz="0" w:space="0" w:color="auto"/>
          </w:divBdr>
        </w:div>
      </w:divsChild>
    </w:div>
    <w:div w:id="1769542572">
      <w:bodyDiv w:val="1"/>
      <w:marLeft w:val="0"/>
      <w:marRight w:val="0"/>
      <w:marTop w:val="0"/>
      <w:marBottom w:val="0"/>
      <w:divBdr>
        <w:top w:val="none" w:sz="0" w:space="0" w:color="auto"/>
        <w:left w:val="none" w:sz="0" w:space="0" w:color="auto"/>
        <w:bottom w:val="none" w:sz="0" w:space="0" w:color="auto"/>
        <w:right w:val="none" w:sz="0" w:space="0" w:color="auto"/>
      </w:divBdr>
    </w:div>
    <w:div w:id="21230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marklif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theglobaleconom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orld.net" TargetMode="External"/><Relationship Id="rId11" Type="http://schemas.openxmlformats.org/officeDocument/2006/relationships/hyperlink" Target="http://finance-romance.ru" TargetMode="External"/><Relationship Id="rId5" Type="http://schemas.openxmlformats.org/officeDocument/2006/relationships/hyperlink" Target="https://ru.tradingeconomics.com" TargetMode="External"/><Relationship Id="rId10" Type="http://schemas.openxmlformats.org/officeDocument/2006/relationships/hyperlink" Target="https://wikiway.com" TargetMode="External"/><Relationship Id="rId4" Type="http://schemas.openxmlformats.org/officeDocument/2006/relationships/webSettings" Target="webSettings.xml"/><Relationship Id="rId9" Type="http://schemas.openxmlformats.org/officeDocument/2006/relationships/hyperlink" Target="http://www.hy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3610</Words>
  <Characters>20580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Санёк</dc:creator>
  <cp:keywords/>
  <dc:description/>
  <cp:lastModifiedBy>Санёк</cp:lastModifiedBy>
  <cp:revision>2</cp:revision>
  <dcterms:created xsi:type="dcterms:W3CDTF">2019-05-29T22:17:00Z</dcterms:created>
  <dcterms:modified xsi:type="dcterms:W3CDTF">2019-05-29T22:43:00Z</dcterms:modified>
</cp:coreProperties>
</file>