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FF81" w14:textId="77777777" w:rsidR="00576148" w:rsidRDefault="00576148" w:rsidP="001961F8">
      <w:pPr>
        <w:pStyle w:val="a9"/>
        <w:spacing w:before="0" w:line="360" w:lineRule="auto"/>
        <w:ind w:firstLine="851"/>
        <w:jc w:val="center"/>
        <w:rPr>
          <w:rFonts w:ascii="Arial" w:eastAsia="Arial" w:hAnsi="Arial" w:cs="Arial"/>
          <w:color w:val="auto"/>
          <w:sz w:val="22"/>
          <w:szCs w:val="22"/>
          <w:lang w:val="ru"/>
        </w:rPr>
      </w:pPr>
    </w:p>
    <w:p w14:paraId="1DD5055B" w14:textId="52BE8CC7" w:rsidR="00576148" w:rsidRDefault="00576148" w:rsidP="00576148"/>
    <w:p w14:paraId="103B371F" w14:textId="77777777" w:rsidR="00576148" w:rsidRPr="001C3E1C" w:rsidRDefault="00576148" w:rsidP="00576148">
      <w:pPr>
        <w:tabs>
          <w:tab w:val="left" w:pos="709"/>
          <w:tab w:val="left" w:pos="4678"/>
        </w:tabs>
        <w:spacing w:line="240" w:lineRule="auto"/>
        <w:ind w:left="-142"/>
        <w:jc w:val="center"/>
        <w:rPr>
          <w:rFonts w:ascii="Times New Roman" w:hAnsi="Times New Roman"/>
          <w:color w:val="000000"/>
          <w:szCs w:val="24"/>
          <w:lang w:eastAsia="ru-RU"/>
        </w:rPr>
      </w:pPr>
      <w:r w:rsidRPr="001C3E1C">
        <w:rPr>
          <w:rFonts w:ascii="Times New Roman" w:hAnsi="Times New Roman"/>
          <w:color w:val="000000"/>
          <w:sz w:val="24"/>
          <w:szCs w:val="24"/>
          <w:lang w:eastAsia="ru-RU"/>
        </w:rPr>
        <w:t>МИНИСТЕРСТВО НАУКИ И ВЫСШЕГО ОБРАЗОВАНИЯ РОССИЙСКОЙ ФЕДЕРАЦИИ</w:t>
      </w:r>
    </w:p>
    <w:p w14:paraId="4ABE698B" w14:textId="77777777" w:rsidR="00576148" w:rsidRPr="001C3E1C" w:rsidRDefault="00576148" w:rsidP="00576148">
      <w:pPr>
        <w:shd w:val="clear" w:color="auto" w:fill="FFFFFF"/>
        <w:autoSpaceDE w:val="0"/>
        <w:autoSpaceDN w:val="0"/>
        <w:adjustRightInd w:val="0"/>
        <w:spacing w:line="240" w:lineRule="auto"/>
        <w:jc w:val="center"/>
        <w:rPr>
          <w:rFonts w:ascii="Times New Roman" w:eastAsia="Calibri" w:hAnsi="Times New Roman"/>
          <w:color w:val="000000"/>
          <w:sz w:val="24"/>
          <w:szCs w:val="24"/>
          <w:lang w:eastAsia="ru-RU"/>
        </w:rPr>
      </w:pPr>
      <w:r w:rsidRPr="001C3E1C">
        <w:rPr>
          <w:rFonts w:ascii="Times New Roman" w:eastAsia="Calibri" w:hAnsi="Times New Roman"/>
          <w:color w:val="000000"/>
          <w:sz w:val="24"/>
          <w:szCs w:val="24"/>
          <w:lang w:eastAsia="ru-RU"/>
        </w:rPr>
        <w:t>Федеральное государственное бюджетное образовательное учреждение</w:t>
      </w:r>
    </w:p>
    <w:p w14:paraId="05E3C5B4" w14:textId="77777777" w:rsidR="00576148" w:rsidRPr="001C3E1C" w:rsidRDefault="00576148" w:rsidP="00576148">
      <w:pPr>
        <w:shd w:val="clear" w:color="auto" w:fill="FFFFFF"/>
        <w:autoSpaceDE w:val="0"/>
        <w:autoSpaceDN w:val="0"/>
        <w:adjustRightInd w:val="0"/>
        <w:spacing w:line="240" w:lineRule="auto"/>
        <w:jc w:val="center"/>
        <w:rPr>
          <w:rFonts w:ascii="Times New Roman" w:eastAsia="Calibri" w:hAnsi="Times New Roman"/>
          <w:b/>
          <w:color w:val="000000"/>
          <w:sz w:val="24"/>
          <w:szCs w:val="24"/>
          <w:lang w:eastAsia="ru-RU"/>
        </w:rPr>
      </w:pPr>
      <w:r w:rsidRPr="001C3E1C">
        <w:rPr>
          <w:rFonts w:ascii="Times New Roman" w:eastAsia="Calibri" w:hAnsi="Times New Roman"/>
          <w:color w:val="000000"/>
          <w:sz w:val="24"/>
          <w:szCs w:val="24"/>
          <w:lang w:eastAsia="ru-RU"/>
        </w:rPr>
        <w:t>высшего образования</w:t>
      </w:r>
    </w:p>
    <w:p w14:paraId="0E243374" w14:textId="77777777" w:rsidR="00576148" w:rsidRPr="001C3E1C" w:rsidRDefault="00576148" w:rsidP="00576148">
      <w:pPr>
        <w:shd w:val="clear" w:color="auto" w:fill="FFFFFF"/>
        <w:autoSpaceDE w:val="0"/>
        <w:autoSpaceDN w:val="0"/>
        <w:adjustRightInd w:val="0"/>
        <w:spacing w:line="240" w:lineRule="auto"/>
        <w:jc w:val="center"/>
        <w:rPr>
          <w:rFonts w:ascii="Times New Roman" w:eastAsia="Calibri" w:hAnsi="Times New Roman"/>
          <w:b/>
          <w:color w:val="000000"/>
          <w:sz w:val="28"/>
          <w:szCs w:val="28"/>
          <w:lang w:eastAsia="ru-RU"/>
        </w:rPr>
      </w:pPr>
      <w:r w:rsidRPr="001C3E1C">
        <w:rPr>
          <w:rFonts w:ascii="Times New Roman" w:eastAsia="Calibri" w:hAnsi="Times New Roman"/>
          <w:b/>
          <w:color w:val="000000"/>
          <w:sz w:val="28"/>
          <w:szCs w:val="28"/>
          <w:lang w:eastAsia="ru-RU"/>
        </w:rPr>
        <w:t>«КУБАНСКИЙ ГОСУДАРСТВЕННЫЙ УНИВЕРСИТЕТ»</w:t>
      </w:r>
    </w:p>
    <w:p w14:paraId="1DD6B14D" w14:textId="77777777" w:rsidR="00576148" w:rsidRPr="001C3E1C" w:rsidRDefault="00576148" w:rsidP="00576148">
      <w:pPr>
        <w:shd w:val="clear" w:color="auto" w:fill="FFFFFF"/>
        <w:autoSpaceDE w:val="0"/>
        <w:autoSpaceDN w:val="0"/>
        <w:adjustRightInd w:val="0"/>
        <w:spacing w:line="240" w:lineRule="auto"/>
        <w:jc w:val="center"/>
        <w:rPr>
          <w:rFonts w:ascii="Times New Roman" w:eastAsia="Calibri" w:hAnsi="Times New Roman"/>
          <w:b/>
          <w:color w:val="000000"/>
          <w:sz w:val="28"/>
          <w:szCs w:val="28"/>
          <w:lang w:eastAsia="ru-RU"/>
        </w:rPr>
      </w:pPr>
      <w:r w:rsidRPr="001C3E1C">
        <w:rPr>
          <w:rFonts w:ascii="Times New Roman" w:eastAsia="Calibri" w:hAnsi="Times New Roman"/>
          <w:b/>
          <w:color w:val="000000"/>
          <w:sz w:val="28"/>
          <w:szCs w:val="28"/>
          <w:lang w:eastAsia="ru-RU"/>
        </w:rPr>
        <w:t>(ФГБОУ ВО «КубГУ»)</w:t>
      </w:r>
    </w:p>
    <w:p w14:paraId="505C8760" w14:textId="77777777" w:rsidR="00576148" w:rsidRPr="001C3E1C" w:rsidRDefault="00576148" w:rsidP="00576148">
      <w:pPr>
        <w:shd w:val="clear" w:color="auto" w:fill="FFFFFF"/>
        <w:autoSpaceDE w:val="0"/>
        <w:autoSpaceDN w:val="0"/>
        <w:adjustRightInd w:val="0"/>
        <w:spacing w:line="240" w:lineRule="auto"/>
        <w:jc w:val="center"/>
        <w:outlineLvl w:val="0"/>
        <w:rPr>
          <w:rFonts w:ascii="Times New Roman" w:eastAsia="Calibri" w:hAnsi="Times New Roman"/>
          <w:b/>
          <w:color w:val="000000"/>
          <w:sz w:val="28"/>
          <w:szCs w:val="28"/>
          <w:lang w:eastAsia="ru-RU"/>
        </w:rPr>
      </w:pPr>
    </w:p>
    <w:p w14:paraId="08C254C1" w14:textId="77777777" w:rsidR="00576148" w:rsidRPr="001C3E1C" w:rsidRDefault="00576148" w:rsidP="00576148">
      <w:pPr>
        <w:shd w:val="clear" w:color="auto" w:fill="FFFFFF"/>
        <w:autoSpaceDE w:val="0"/>
        <w:autoSpaceDN w:val="0"/>
        <w:adjustRightInd w:val="0"/>
        <w:spacing w:line="240" w:lineRule="auto"/>
        <w:jc w:val="center"/>
        <w:outlineLvl w:val="0"/>
        <w:rPr>
          <w:rFonts w:ascii="Times New Roman" w:eastAsia="Calibri" w:hAnsi="Times New Roman"/>
          <w:b/>
          <w:color w:val="000000"/>
          <w:sz w:val="28"/>
          <w:szCs w:val="28"/>
          <w:u w:val="single"/>
          <w:lang w:eastAsia="ru-RU"/>
        </w:rPr>
      </w:pPr>
      <w:r w:rsidRPr="001C3E1C">
        <w:rPr>
          <w:rFonts w:ascii="Times New Roman" w:eastAsia="Calibri" w:hAnsi="Times New Roman"/>
          <w:b/>
          <w:color w:val="000000"/>
          <w:sz w:val="28"/>
          <w:szCs w:val="28"/>
          <w:lang w:eastAsia="ru-RU"/>
        </w:rPr>
        <w:t xml:space="preserve">Факультет </w:t>
      </w:r>
      <w:r w:rsidRPr="001C3E1C">
        <w:rPr>
          <w:rFonts w:ascii="Times New Roman" w:eastAsia="Calibri" w:hAnsi="Times New Roman"/>
          <w:b/>
          <w:color w:val="000000"/>
          <w:sz w:val="28"/>
          <w:szCs w:val="28"/>
          <w:u w:val="single"/>
          <w:lang w:eastAsia="ru-RU"/>
        </w:rPr>
        <w:t>экономический</w:t>
      </w:r>
    </w:p>
    <w:p w14:paraId="223A32A7" w14:textId="77777777" w:rsidR="00576148" w:rsidRPr="001C3E1C" w:rsidRDefault="00576148" w:rsidP="00576148">
      <w:pPr>
        <w:shd w:val="clear" w:color="auto" w:fill="FFFFFF"/>
        <w:autoSpaceDE w:val="0"/>
        <w:autoSpaceDN w:val="0"/>
        <w:adjustRightInd w:val="0"/>
        <w:spacing w:line="240" w:lineRule="auto"/>
        <w:jc w:val="center"/>
        <w:outlineLvl w:val="0"/>
        <w:rPr>
          <w:rFonts w:ascii="Times New Roman" w:eastAsia="Calibri" w:hAnsi="Times New Roman"/>
          <w:b/>
          <w:color w:val="000000"/>
          <w:sz w:val="28"/>
          <w:szCs w:val="28"/>
          <w:lang w:eastAsia="ru-RU"/>
        </w:rPr>
      </w:pPr>
      <w:r>
        <w:rPr>
          <w:rFonts w:ascii="Times New Roman" w:eastAsia="Calibri" w:hAnsi="Times New Roman"/>
          <w:b/>
          <w:color w:val="000000"/>
          <w:sz w:val="28"/>
          <w:szCs w:val="28"/>
          <w:lang w:eastAsia="ru-RU"/>
        </w:rPr>
        <w:t xml:space="preserve">Кафедра </w:t>
      </w:r>
      <w:r w:rsidRPr="001C3E1C">
        <w:rPr>
          <w:rFonts w:ascii="Times New Roman" w:eastAsia="Calibri" w:hAnsi="Times New Roman"/>
          <w:b/>
          <w:color w:val="000000"/>
          <w:sz w:val="28"/>
          <w:szCs w:val="28"/>
          <w:u w:val="single"/>
          <w:lang w:eastAsia="ru-RU"/>
        </w:rPr>
        <w:t>мировой экономики и менеджмента</w:t>
      </w:r>
    </w:p>
    <w:p w14:paraId="2DB5EF89" w14:textId="77777777" w:rsidR="00576148" w:rsidRPr="001C3E1C" w:rsidRDefault="00576148" w:rsidP="00576148">
      <w:pPr>
        <w:shd w:val="clear" w:color="auto" w:fill="FFFFFF"/>
        <w:autoSpaceDE w:val="0"/>
        <w:autoSpaceDN w:val="0"/>
        <w:adjustRightInd w:val="0"/>
        <w:spacing w:line="360" w:lineRule="auto"/>
        <w:jc w:val="center"/>
        <w:outlineLvl w:val="0"/>
        <w:rPr>
          <w:rFonts w:ascii="Times New Roman" w:eastAsia="Calibri" w:hAnsi="Times New Roman"/>
          <w:b/>
          <w:color w:val="000000"/>
          <w:sz w:val="28"/>
          <w:szCs w:val="28"/>
          <w:lang w:eastAsia="ru-RU"/>
        </w:rPr>
      </w:pPr>
    </w:p>
    <w:p w14:paraId="37B31D75" w14:textId="77777777" w:rsidR="00576148" w:rsidRPr="001C3E1C" w:rsidRDefault="00576148" w:rsidP="00576148">
      <w:pPr>
        <w:shd w:val="clear" w:color="auto" w:fill="FFFFFF"/>
        <w:autoSpaceDE w:val="0"/>
        <w:autoSpaceDN w:val="0"/>
        <w:adjustRightInd w:val="0"/>
        <w:spacing w:line="240" w:lineRule="auto"/>
        <w:ind w:left="-1620" w:firstLine="6300"/>
        <w:outlineLvl w:val="0"/>
        <w:rPr>
          <w:rFonts w:ascii="Times New Roman" w:eastAsia="Calibri" w:hAnsi="Times New Roman"/>
          <w:color w:val="000000"/>
          <w:sz w:val="28"/>
          <w:szCs w:val="28"/>
          <w:lang w:eastAsia="ru-RU"/>
        </w:rPr>
      </w:pPr>
    </w:p>
    <w:p w14:paraId="6D7DDE4E" w14:textId="77777777" w:rsidR="00576148" w:rsidRDefault="00576148" w:rsidP="00576148">
      <w:pPr>
        <w:overflowPunct w:val="0"/>
        <w:adjustRightInd w:val="0"/>
        <w:spacing w:line="240" w:lineRule="auto"/>
        <w:jc w:val="center"/>
        <w:textAlignment w:val="baseline"/>
        <w:rPr>
          <w:rFonts w:ascii="Times New Roman" w:eastAsia="Calibri" w:hAnsi="Times New Roman"/>
          <w:b/>
          <w:color w:val="000000"/>
          <w:sz w:val="28"/>
          <w:szCs w:val="28"/>
          <w:lang w:eastAsia="ru-RU"/>
        </w:rPr>
      </w:pPr>
    </w:p>
    <w:p w14:paraId="10C63726" w14:textId="77777777" w:rsidR="00576148" w:rsidRDefault="00576148" w:rsidP="00576148">
      <w:pPr>
        <w:overflowPunct w:val="0"/>
        <w:adjustRightInd w:val="0"/>
        <w:spacing w:line="240" w:lineRule="auto"/>
        <w:jc w:val="center"/>
        <w:textAlignment w:val="baseline"/>
        <w:rPr>
          <w:rFonts w:ascii="Times New Roman" w:eastAsia="Calibri" w:hAnsi="Times New Roman"/>
          <w:b/>
          <w:color w:val="000000"/>
          <w:sz w:val="28"/>
          <w:szCs w:val="28"/>
          <w:lang w:eastAsia="ru-RU"/>
        </w:rPr>
      </w:pPr>
    </w:p>
    <w:p w14:paraId="1F3E53FF" w14:textId="77777777" w:rsidR="00576148" w:rsidRDefault="00576148" w:rsidP="00576148">
      <w:pPr>
        <w:overflowPunct w:val="0"/>
        <w:adjustRightInd w:val="0"/>
        <w:spacing w:line="240" w:lineRule="auto"/>
        <w:jc w:val="center"/>
        <w:textAlignment w:val="baseline"/>
        <w:rPr>
          <w:rFonts w:ascii="Times New Roman" w:eastAsia="Calibri" w:hAnsi="Times New Roman"/>
          <w:b/>
          <w:color w:val="000000"/>
          <w:sz w:val="28"/>
          <w:szCs w:val="28"/>
          <w:lang w:eastAsia="ru-RU"/>
        </w:rPr>
      </w:pPr>
    </w:p>
    <w:p w14:paraId="3529110A" w14:textId="77777777" w:rsidR="00576148" w:rsidRPr="001C3E1C" w:rsidRDefault="00576148" w:rsidP="00576148">
      <w:pPr>
        <w:overflowPunct w:val="0"/>
        <w:adjustRightInd w:val="0"/>
        <w:spacing w:line="240" w:lineRule="auto"/>
        <w:jc w:val="center"/>
        <w:textAlignment w:val="baseline"/>
        <w:rPr>
          <w:rFonts w:ascii="Times New Roman" w:eastAsia="Calibri" w:hAnsi="Times New Roman"/>
          <w:b/>
          <w:caps/>
          <w:color w:val="000000"/>
          <w:sz w:val="28"/>
          <w:szCs w:val="28"/>
          <w:lang w:eastAsia="ru-RU"/>
        </w:rPr>
      </w:pPr>
      <w:r>
        <w:rPr>
          <w:rFonts w:ascii="Times New Roman" w:eastAsia="Calibri" w:hAnsi="Times New Roman"/>
          <w:b/>
          <w:color w:val="000000"/>
          <w:sz w:val="28"/>
          <w:szCs w:val="28"/>
          <w:lang w:eastAsia="ru-RU"/>
        </w:rPr>
        <w:t>КУРСОВАЯ РАБОТА</w:t>
      </w:r>
    </w:p>
    <w:p w14:paraId="037F7757" w14:textId="77777777" w:rsidR="00576148" w:rsidRPr="001C3E1C" w:rsidRDefault="00576148" w:rsidP="00576148">
      <w:pPr>
        <w:overflowPunct w:val="0"/>
        <w:adjustRightInd w:val="0"/>
        <w:spacing w:line="240" w:lineRule="auto"/>
        <w:jc w:val="center"/>
        <w:textAlignment w:val="baseline"/>
        <w:rPr>
          <w:rFonts w:ascii="Times New Roman" w:eastAsia="Calibri" w:hAnsi="Times New Roman"/>
          <w:b/>
          <w:caps/>
          <w:color w:val="000000"/>
          <w:sz w:val="28"/>
          <w:szCs w:val="28"/>
          <w:lang w:eastAsia="ru-RU"/>
        </w:rPr>
      </w:pPr>
    </w:p>
    <w:p w14:paraId="4C11FBC1" w14:textId="7AEE8A8F" w:rsidR="00576148" w:rsidRPr="00576148" w:rsidRDefault="00576148" w:rsidP="00576148">
      <w:pPr>
        <w:overflowPunct w:val="0"/>
        <w:adjustRightInd w:val="0"/>
        <w:spacing w:line="240" w:lineRule="auto"/>
        <w:jc w:val="center"/>
        <w:textAlignment w:val="baseline"/>
        <w:rPr>
          <w:rFonts w:ascii="Times New Roman" w:eastAsia="Calibri" w:hAnsi="Times New Roman"/>
          <w:b/>
          <w:caps/>
          <w:color w:val="000000"/>
          <w:sz w:val="28"/>
          <w:szCs w:val="28"/>
          <w:lang w:val="ru-RU" w:eastAsia="ru-RU"/>
        </w:rPr>
      </w:pPr>
      <w:r>
        <w:rPr>
          <w:rFonts w:ascii="Times New Roman" w:eastAsia="Calibri" w:hAnsi="Times New Roman"/>
          <w:b/>
          <w:caps/>
          <w:color w:val="000000"/>
          <w:sz w:val="28"/>
          <w:szCs w:val="28"/>
          <w:lang w:val="ru-RU" w:eastAsia="ru-RU"/>
        </w:rPr>
        <w:t xml:space="preserve">ТЕОРЕТИЧЕСКИЕ ОСНОВЫ И ОПЫТ ПРИМЕНЕНИЯ ИНСТРУМЕНТОВ ФИНАНСОВОГО СТИМУЛИРОВАНИЯ ПРЕДПРИЯТИЙ </w:t>
      </w:r>
      <w:r>
        <w:rPr>
          <w:rFonts w:ascii="Times New Roman" w:eastAsia="Calibri" w:hAnsi="Times New Roman"/>
          <w:b/>
          <w:caps/>
          <w:color w:val="000000"/>
          <w:sz w:val="28"/>
          <w:szCs w:val="28"/>
          <w:lang w:val="en-US" w:eastAsia="ru-RU"/>
        </w:rPr>
        <w:t xml:space="preserve">IT </w:t>
      </w:r>
      <w:r>
        <w:rPr>
          <w:rFonts w:ascii="Times New Roman" w:eastAsia="Calibri" w:hAnsi="Times New Roman"/>
          <w:b/>
          <w:caps/>
          <w:color w:val="000000"/>
          <w:sz w:val="28"/>
          <w:szCs w:val="28"/>
          <w:lang w:val="ru-RU" w:eastAsia="ru-RU"/>
        </w:rPr>
        <w:t>СЕКТОРА</w:t>
      </w:r>
    </w:p>
    <w:p w14:paraId="68F3E8F6" w14:textId="77777777" w:rsidR="00576148" w:rsidRPr="001C3E1C" w:rsidRDefault="00576148" w:rsidP="00576148">
      <w:pPr>
        <w:overflowPunct w:val="0"/>
        <w:adjustRightInd w:val="0"/>
        <w:spacing w:line="240" w:lineRule="auto"/>
        <w:jc w:val="center"/>
        <w:textAlignment w:val="baseline"/>
        <w:rPr>
          <w:rFonts w:ascii="Times New Roman" w:eastAsia="Calibri" w:hAnsi="Times New Roman"/>
          <w:b/>
          <w:caps/>
          <w:color w:val="000000"/>
          <w:sz w:val="28"/>
          <w:szCs w:val="28"/>
          <w:lang w:eastAsia="ru-RU"/>
        </w:rPr>
      </w:pPr>
    </w:p>
    <w:p w14:paraId="7341D5F1" w14:textId="77777777" w:rsidR="00576148" w:rsidRPr="001C3E1C" w:rsidRDefault="00576148" w:rsidP="00576148">
      <w:pPr>
        <w:overflowPunct w:val="0"/>
        <w:adjustRightInd w:val="0"/>
        <w:spacing w:line="240" w:lineRule="auto"/>
        <w:textAlignment w:val="baseline"/>
        <w:rPr>
          <w:rFonts w:ascii="Times New Roman" w:eastAsia="Calibri" w:hAnsi="Times New Roman"/>
          <w:color w:val="000000"/>
          <w:sz w:val="28"/>
          <w:szCs w:val="28"/>
          <w:lang w:eastAsia="ru-RU"/>
        </w:rPr>
      </w:pPr>
    </w:p>
    <w:p w14:paraId="3FB98400" w14:textId="77777777" w:rsidR="00576148" w:rsidRPr="001C3E1C" w:rsidRDefault="00576148" w:rsidP="00576148">
      <w:pPr>
        <w:overflowPunct w:val="0"/>
        <w:adjustRightInd w:val="0"/>
        <w:spacing w:line="240" w:lineRule="auto"/>
        <w:jc w:val="center"/>
        <w:textAlignment w:val="baseline"/>
        <w:rPr>
          <w:rFonts w:ascii="Times New Roman" w:eastAsia="Calibri" w:hAnsi="Times New Roman"/>
          <w:color w:val="000000"/>
          <w:sz w:val="28"/>
          <w:szCs w:val="28"/>
          <w:lang w:eastAsia="ru-RU"/>
        </w:rPr>
      </w:pPr>
    </w:p>
    <w:p w14:paraId="4B09BACF" w14:textId="139DB43C" w:rsidR="00576148" w:rsidRPr="00576148" w:rsidRDefault="00576148" w:rsidP="00576148">
      <w:pPr>
        <w:shd w:val="clear" w:color="auto" w:fill="FFFFFF"/>
        <w:autoSpaceDE w:val="0"/>
        <w:autoSpaceDN w:val="0"/>
        <w:adjustRightInd w:val="0"/>
        <w:spacing w:line="240" w:lineRule="auto"/>
        <w:outlineLvl w:val="0"/>
        <w:rPr>
          <w:rFonts w:ascii="Times New Roman" w:eastAsia="Calibri" w:hAnsi="Times New Roman"/>
          <w:color w:val="000000"/>
          <w:sz w:val="28"/>
          <w:szCs w:val="28"/>
          <w:lang w:val="ru-RU" w:eastAsia="ru-RU"/>
        </w:rPr>
      </w:pPr>
      <w:r w:rsidRPr="001C3E1C">
        <w:rPr>
          <w:rFonts w:ascii="Times New Roman" w:eastAsia="Calibri" w:hAnsi="Times New Roman"/>
          <w:color w:val="000000"/>
          <w:sz w:val="28"/>
          <w:szCs w:val="28"/>
          <w:lang w:eastAsia="ru-RU"/>
        </w:rPr>
        <w:t xml:space="preserve">Работу выполнил ___________________________________ </w:t>
      </w:r>
      <w:proofErr w:type="spellStart"/>
      <w:r w:rsidRPr="00576148">
        <w:rPr>
          <w:rFonts w:ascii="Times New Roman" w:eastAsia="Calibri" w:hAnsi="Times New Roman"/>
          <w:color w:val="000000"/>
          <w:sz w:val="28"/>
          <w:szCs w:val="28"/>
          <w:lang w:val="ru-RU" w:eastAsia="ru-RU"/>
        </w:rPr>
        <w:t>М.В.Сибгатулин</w:t>
      </w:r>
      <w:proofErr w:type="spellEnd"/>
    </w:p>
    <w:p w14:paraId="4F5063A0" w14:textId="77777777" w:rsidR="00576148" w:rsidRPr="001C3E1C" w:rsidRDefault="00576148" w:rsidP="00576148">
      <w:pPr>
        <w:shd w:val="clear" w:color="auto" w:fill="FFFFFF"/>
        <w:autoSpaceDE w:val="0"/>
        <w:autoSpaceDN w:val="0"/>
        <w:adjustRightInd w:val="0"/>
        <w:spacing w:line="240" w:lineRule="auto"/>
        <w:ind w:left="2832" w:firstLine="708"/>
        <w:jc w:val="both"/>
        <w:outlineLvl w:val="0"/>
        <w:rPr>
          <w:rFonts w:ascii="Times New Roman" w:eastAsia="Calibri" w:hAnsi="Times New Roman"/>
          <w:color w:val="000000"/>
          <w:sz w:val="24"/>
          <w:szCs w:val="24"/>
          <w:lang w:eastAsia="ru-RU"/>
        </w:rPr>
      </w:pPr>
      <w:r w:rsidRPr="001C3E1C">
        <w:rPr>
          <w:rFonts w:ascii="Times New Roman" w:eastAsia="Calibri" w:hAnsi="Times New Roman"/>
          <w:color w:val="000000"/>
          <w:sz w:val="24"/>
          <w:szCs w:val="24"/>
          <w:lang w:eastAsia="ru-RU"/>
        </w:rPr>
        <w:t xml:space="preserve">      (подпись)                 </w:t>
      </w:r>
    </w:p>
    <w:p w14:paraId="5A0AD574" w14:textId="77777777" w:rsidR="00576148" w:rsidRPr="001C3E1C" w:rsidRDefault="00576148" w:rsidP="00576148">
      <w:pPr>
        <w:tabs>
          <w:tab w:val="left" w:pos="1125"/>
          <w:tab w:val="center" w:pos="4819"/>
        </w:tabs>
        <w:spacing w:line="240" w:lineRule="auto"/>
        <w:rPr>
          <w:rFonts w:ascii="Times New Roman" w:eastAsia="Calibri" w:hAnsi="Times New Roman"/>
          <w:color w:val="000000"/>
          <w:sz w:val="28"/>
          <w:szCs w:val="28"/>
          <w:lang w:eastAsia="ru-RU"/>
        </w:rPr>
      </w:pPr>
      <w:r>
        <w:rPr>
          <w:rFonts w:ascii="Times New Roman" w:eastAsia="Calibri" w:hAnsi="Times New Roman"/>
          <w:noProof/>
          <w:sz w:val="28"/>
          <w:szCs w:val="28"/>
          <w:lang w:eastAsia="ru-RU"/>
        </w:rPr>
        <mc:AlternateContent>
          <mc:Choice Requires="wps">
            <w:drawing>
              <wp:anchor distT="0" distB="0" distL="114300" distR="114300" simplePos="0" relativeHeight="251659264" behindDoc="0" locked="0" layoutInCell="1" allowOverlap="1" wp14:anchorId="09B4565A" wp14:editId="66617669">
                <wp:simplePos x="0" y="0"/>
                <wp:positionH relativeFrom="column">
                  <wp:posOffset>1940560</wp:posOffset>
                </wp:positionH>
                <wp:positionV relativeFrom="paragraph">
                  <wp:posOffset>203835</wp:posOffset>
                </wp:positionV>
                <wp:extent cx="3923030" cy="0"/>
                <wp:effectExtent l="10795" t="5715" r="9525" b="13335"/>
                <wp:wrapNone/>
                <wp:docPr id="4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122D5" id="_x0000_t32" coordsize="21600,21600" o:spt="32" o:oned="t" path="m,l21600,21600e" filled="f">
                <v:path arrowok="t" fillok="f" o:connecttype="none"/>
                <o:lock v:ext="edit" shapetype="t"/>
              </v:shapetype>
              <v:shape id="AutoShape 59" o:spid="_x0000_s1026" type="#_x0000_t32" style="position:absolute;margin-left:152.8pt;margin-top:16.05pt;width:30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sidRPr="001C3E1C">
        <w:rPr>
          <w:rFonts w:ascii="Times New Roman" w:eastAsia="Calibri" w:hAnsi="Times New Roman"/>
          <w:sz w:val="28"/>
          <w:szCs w:val="28"/>
          <w:lang w:eastAsia="ru-RU"/>
        </w:rPr>
        <w:t>Направление подготовки 38.0</w:t>
      </w:r>
      <w:r>
        <w:rPr>
          <w:rFonts w:ascii="Times New Roman" w:eastAsia="Calibri" w:hAnsi="Times New Roman"/>
          <w:sz w:val="28"/>
          <w:szCs w:val="28"/>
          <w:lang w:eastAsia="ru-RU"/>
        </w:rPr>
        <w:t>4</w:t>
      </w:r>
      <w:r w:rsidRPr="001C3E1C">
        <w:rPr>
          <w:rFonts w:ascii="Times New Roman" w:eastAsia="Calibri" w:hAnsi="Times New Roman"/>
          <w:sz w:val="28"/>
          <w:szCs w:val="28"/>
          <w:lang w:eastAsia="ru-RU"/>
        </w:rPr>
        <w:t>.01 Экономика</w:t>
      </w:r>
      <w:r>
        <w:rPr>
          <w:rFonts w:ascii="Times New Roman" w:eastAsia="Calibri" w:hAnsi="Times New Roman"/>
          <w:sz w:val="28"/>
          <w:szCs w:val="28"/>
          <w:lang w:eastAsia="ru-RU"/>
        </w:rPr>
        <w:t xml:space="preserve">                          курс 1</w:t>
      </w:r>
    </w:p>
    <w:p w14:paraId="6CABA54B" w14:textId="77777777" w:rsidR="00576148" w:rsidRPr="001C3E1C" w:rsidRDefault="00576148" w:rsidP="00576148">
      <w:pPr>
        <w:shd w:val="clear" w:color="auto" w:fill="FFFFFF"/>
        <w:autoSpaceDE w:val="0"/>
        <w:autoSpaceDN w:val="0"/>
        <w:adjustRightInd w:val="0"/>
        <w:jc w:val="center"/>
        <w:outlineLvl w:val="0"/>
        <w:rPr>
          <w:rFonts w:ascii="Times New Roman" w:eastAsia="Calibri" w:hAnsi="Times New Roman"/>
          <w:sz w:val="24"/>
          <w:szCs w:val="20"/>
          <w:lang w:eastAsia="ru-RU"/>
        </w:rPr>
      </w:pPr>
      <w:r w:rsidRPr="001C3E1C">
        <w:rPr>
          <w:rFonts w:ascii="Times New Roman" w:eastAsia="Calibri" w:hAnsi="Times New Roman"/>
          <w:color w:val="000000"/>
          <w:sz w:val="24"/>
          <w:szCs w:val="20"/>
          <w:lang w:eastAsia="ru-RU"/>
        </w:rPr>
        <w:t>(код, наименование)</w:t>
      </w:r>
    </w:p>
    <w:p w14:paraId="0FF12C81" w14:textId="77777777" w:rsidR="00576148" w:rsidRPr="001C3E1C" w:rsidRDefault="00576148" w:rsidP="00576148">
      <w:pPr>
        <w:tabs>
          <w:tab w:val="left" w:pos="1125"/>
          <w:tab w:val="center" w:pos="4819"/>
        </w:tabs>
        <w:spacing w:after="120" w:line="360" w:lineRule="auto"/>
        <w:rPr>
          <w:rFonts w:ascii="Times New Roman" w:eastAsia="Calibri" w:hAnsi="Times New Roman"/>
          <w:color w:val="000000"/>
          <w:sz w:val="28"/>
          <w:szCs w:val="28"/>
          <w:lang w:eastAsia="ru-RU"/>
        </w:rPr>
      </w:pPr>
      <w:r>
        <w:rPr>
          <w:rFonts w:ascii="Times New Roman" w:eastAsia="Calibri" w:hAnsi="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4408916E" wp14:editId="17C00965">
                <wp:simplePos x="0" y="0"/>
                <wp:positionH relativeFrom="column">
                  <wp:posOffset>2135505</wp:posOffset>
                </wp:positionH>
                <wp:positionV relativeFrom="paragraph">
                  <wp:posOffset>220345</wp:posOffset>
                </wp:positionV>
                <wp:extent cx="3728085" cy="0"/>
                <wp:effectExtent l="5715" t="9525" r="9525" b="9525"/>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FA8EF" id="AutoShape 60" o:spid="_x0000_s1026" type="#_x0000_t32" style="position:absolute;margin-left:168.15pt;margin-top:17.35pt;width:29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1C3E1C">
        <w:rPr>
          <w:rFonts w:ascii="Times New Roman" w:eastAsia="Calibri" w:hAnsi="Times New Roman"/>
          <w:color w:val="000000"/>
          <w:sz w:val="28"/>
          <w:szCs w:val="28"/>
          <w:lang w:eastAsia="ru-RU"/>
        </w:rPr>
        <w:t>Направленность (профиль) Финанс</w:t>
      </w:r>
      <w:r>
        <w:rPr>
          <w:rFonts w:ascii="Times New Roman" w:eastAsia="Calibri" w:hAnsi="Times New Roman"/>
          <w:color w:val="000000"/>
          <w:sz w:val="28"/>
          <w:szCs w:val="28"/>
          <w:lang w:eastAsia="ru-RU"/>
        </w:rPr>
        <w:t>овая экономика</w:t>
      </w:r>
    </w:p>
    <w:p w14:paraId="324506E3" w14:textId="77777777" w:rsidR="00576148" w:rsidRPr="001C3E1C" w:rsidRDefault="00576148" w:rsidP="00576148">
      <w:pPr>
        <w:spacing w:line="240" w:lineRule="auto"/>
        <w:rPr>
          <w:rFonts w:ascii="Times New Roman" w:eastAsia="Calibri" w:hAnsi="Times New Roman"/>
          <w:sz w:val="28"/>
          <w:szCs w:val="28"/>
          <w:lang w:eastAsia="ru-RU"/>
        </w:rPr>
      </w:pPr>
      <w:r w:rsidRPr="001C3E1C">
        <w:rPr>
          <w:rFonts w:ascii="Times New Roman" w:eastAsia="Calibri" w:hAnsi="Times New Roman"/>
          <w:sz w:val="28"/>
          <w:szCs w:val="28"/>
          <w:lang w:eastAsia="ru-RU"/>
        </w:rPr>
        <w:t xml:space="preserve">Научный руководитель </w:t>
      </w:r>
    </w:p>
    <w:p w14:paraId="1D260AE2" w14:textId="39225CE9" w:rsidR="00576148" w:rsidRPr="00576148" w:rsidRDefault="00576148" w:rsidP="00576148">
      <w:pPr>
        <w:tabs>
          <w:tab w:val="left" w:pos="1125"/>
          <w:tab w:val="center" w:pos="4819"/>
        </w:tabs>
        <w:spacing w:line="240" w:lineRule="auto"/>
        <w:rPr>
          <w:rFonts w:ascii="Times New Roman" w:eastAsia="Calibri" w:hAnsi="Times New Roman"/>
          <w:color w:val="000000"/>
          <w:sz w:val="28"/>
          <w:szCs w:val="28"/>
          <w:lang w:val="ru-RU" w:eastAsia="ru-RU"/>
        </w:rPr>
      </w:pPr>
      <w:proofErr w:type="spellStart"/>
      <w:r>
        <w:rPr>
          <w:rFonts w:ascii="Times New Roman" w:eastAsia="Calibri" w:hAnsi="Times New Roman"/>
          <w:color w:val="000000"/>
          <w:sz w:val="28"/>
          <w:szCs w:val="28"/>
          <w:lang w:eastAsia="ru-RU"/>
        </w:rPr>
        <w:t>д</w:t>
      </w:r>
      <w:r w:rsidRPr="001C3E1C">
        <w:rPr>
          <w:rFonts w:ascii="Times New Roman" w:eastAsia="Calibri" w:hAnsi="Times New Roman"/>
          <w:color w:val="000000"/>
          <w:sz w:val="28"/>
          <w:szCs w:val="28"/>
          <w:lang w:eastAsia="ru-RU"/>
        </w:rPr>
        <w:t>.</w:t>
      </w:r>
      <w:proofErr w:type="gramStart"/>
      <w:r>
        <w:rPr>
          <w:rFonts w:ascii="Times New Roman" w:eastAsia="Calibri" w:hAnsi="Times New Roman"/>
          <w:color w:val="000000"/>
          <w:sz w:val="28"/>
          <w:szCs w:val="28"/>
          <w:lang w:eastAsia="ru-RU"/>
        </w:rPr>
        <w:t>э</w:t>
      </w:r>
      <w:r w:rsidRPr="001C3E1C">
        <w:rPr>
          <w:rFonts w:ascii="Times New Roman" w:eastAsia="Calibri" w:hAnsi="Times New Roman"/>
          <w:color w:val="000000"/>
          <w:sz w:val="28"/>
          <w:szCs w:val="28"/>
          <w:lang w:eastAsia="ru-RU"/>
        </w:rPr>
        <w:t>.н</w:t>
      </w:r>
      <w:proofErr w:type="spellEnd"/>
      <w:proofErr w:type="gramEnd"/>
      <w:r w:rsidRPr="001C3E1C">
        <w:rPr>
          <w:rFonts w:ascii="Times New Roman" w:eastAsia="Calibri" w:hAnsi="Times New Roman"/>
          <w:color w:val="000000"/>
          <w:sz w:val="28"/>
          <w:szCs w:val="28"/>
          <w:lang w:eastAsia="ru-RU"/>
        </w:rPr>
        <w:t xml:space="preserve">, </w:t>
      </w:r>
      <w:r>
        <w:rPr>
          <w:rFonts w:ascii="Times New Roman" w:eastAsia="Calibri" w:hAnsi="Times New Roman"/>
          <w:color w:val="000000"/>
          <w:sz w:val="28"/>
          <w:szCs w:val="28"/>
          <w:lang w:eastAsia="ru-RU"/>
        </w:rPr>
        <w:t>профессор ______________________________________</w:t>
      </w:r>
      <w:proofErr w:type="spellStart"/>
      <w:r>
        <w:rPr>
          <w:rFonts w:ascii="Times New Roman" w:eastAsia="Calibri" w:hAnsi="Times New Roman"/>
          <w:color w:val="000000"/>
          <w:sz w:val="28"/>
          <w:szCs w:val="28"/>
          <w:lang w:val="ru-RU" w:eastAsia="ru-RU"/>
        </w:rPr>
        <w:t>Е.Ф.Линкевич</w:t>
      </w:r>
      <w:proofErr w:type="spellEnd"/>
    </w:p>
    <w:p w14:paraId="577C4077" w14:textId="77777777" w:rsidR="00576148" w:rsidRPr="001C3E1C" w:rsidRDefault="00576148" w:rsidP="00576148">
      <w:pPr>
        <w:tabs>
          <w:tab w:val="left" w:pos="3855"/>
        </w:tabs>
        <w:spacing w:line="240" w:lineRule="auto"/>
        <w:jc w:val="center"/>
        <w:rPr>
          <w:rFonts w:ascii="Times New Roman" w:eastAsia="Calibri" w:hAnsi="Times New Roman"/>
          <w:sz w:val="24"/>
          <w:szCs w:val="24"/>
          <w:lang w:eastAsia="ru-RU"/>
        </w:rPr>
      </w:pPr>
      <w:r w:rsidRPr="001C3E1C">
        <w:rPr>
          <w:rFonts w:ascii="Times New Roman" w:eastAsia="Calibri" w:hAnsi="Times New Roman"/>
          <w:sz w:val="24"/>
          <w:szCs w:val="24"/>
          <w:lang w:eastAsia="ru-RU"/>
        </w:rPr>
        <w:t>(подпись)</w:t>
      </w:r>
    </w:p>
    <w:p w14:paraId="54C1F031" w14:textId="77777777" w:rsidR="00576148" w:rsidRPr="001C3E1C" w:rsidRDefault="00576148" w:rsidP="00576148">
      <w:pPr>
        <w:spacing w:line="240" w:lineRule="auto"/>
        <w:rPr>
          <w:rFonts w:ascii="Times New Roman" w:eastAsia="Calibri" w:hAnsi="Times New Roman"/>
          <w:sz w:val="28"/>
          <w:szCs w:val="28"/>
          <w:lang w:eastAsia="ru-RU"/>
        </w:rPr>
      </w:pPr>
      <w:proofErr w:type="spellStart"/>
      <w:r w:rsidRPr="001C3E1C">
        <w:rPr>
          <w:rFonts w:ascii="Times New Roman" w:eastAsia="Calibri" w:hAnsi="Times New Roman"/>
          <w:sz w:val="28"/>
          <w:szCs w:val="28"/>
          <w:lang w:eastAsia="ru-RU"/>
        </w:rPr>
        <w:t>Нормоконтролер</w:t>
      </w:r>
      <w:proofErr w:type="spellEnd"/>
    </w:p>
    <w:p w14:paraId="2F287546" w14:textId="1080B906" w:rsidR="00576148" w:rsidRPr="00576148" w:rsidRDefault="00576148" w:rsidP="00576148">
      <w:pPr>
        <w:spacing w:line="240" w:lineRule="auto"/>
        <w:rPr>
          <w:rFonts w:ascii="Times New Roman" w:eastAsia="Calibri" w:hAnsi="Times New Roman"/>
          <w:sz w:val="28"/>
          <w:szCs w:val="28"/>
          <w:lang w:val="ru-RU" w:eastAsia="ru-RU"/>
        </w:rPr>
      </w:pPr>
      <w:proofErr w:type="spellStart"/>
      <w:r w:rsidRPr="00F13AB2">
        <w:rPr>
          <w:rFonts w:ascii="Times New Roman" w:eastAsia="Calibri" w:hAnsi="Times New Roman"/>
          <w:color w:val="000000"/>
          <w:sz w:val="28"/>
          <w:szCs w:val="28"/>
          <w:lang w:eastAsia="ru-RU"/>
        </w:rPr>
        <w:t>д.</w:t>
      </w:r>
      <w:proofErr w:type="gramStart"/>
      <w:r w:rsidRPr="00F13AB2">
        <w:rPr>
          <w:rFonts w:ascii="Times New Roman" w:eastAsia="Calibri" w:hAnsi="Times New Roman"/>
          <w:color w:val="000000"/>
          <w:sz w:val="28"/>
          <w:szCs w:val="28"/>
          <w:lang w:eastAsia="ru-RU"/>
        </w:rPr>
        <w:t>э.н</w:t>
      </w:r>
      <w:proofErr w:type="spellEnd"/>
      <w:proofErr w:type="gramEnd"/>
      <w:r w:rsidRPr="00F13AB2">
        <w:rPr>
          <w:rFonts w:ascii="Times New Roman" w:eastAsia="Calibri" w:hAnsi="Times New Roman"/>
          <w:color w:val="000000"/>
          <w:sz w:val="28"/>
          <w:szCs w:val="28"/>
          <w:lang w:eastAsia="ru-RU"/>
        </w:rPr>
        <w:t xml:space="preserve">, профессор </w:t>
      </w:r>
      <w:r w:rsidRPr="001C3E1C">
        <w:rPr>
          <w:rFonts w:ascii="Times New Roman" w:eastAsia="Calibri" w:hAnsi="Times New Roman"/>
          <w:sz w:val="28"/>
          <w:szCs w:val="28"/>
          <w:lang w:eastAsia="ru-RU"/>
        </w:rPr>
        <w:t>______________________________</w:t>
      </w:r>
      <w:r>
        <w:rPr>
          <w:rFonts w:ascii="Times New Roman" w:eastAsia="Calibri" w:hAnsi="Times New Roman"/>
          <w:sz w:val="28"/>
          <w:szCs w:val="28"/>
          <w:lang w:eastAsia="ru-RU"/>
        </w:rPr>
        <w:t>________</w:t>
      </w:r>
      <w:r w:rsidRPr="00F13AB2">
        <w:rPr>
          <w:rFonts w:ascii="Times New Roman" w:eastAsia="Calibri" w:hAnsi="Times New Roman"/>
          <w:color w:val="000000"/>
          <w:sz w:val="28"/>
          <w:szCs w:val="28"/>
          <w:lang w:eastAsia="ru-RU"/>
        </w:rPr>
        <w:t xml:space="preserve"> </w:t>
      </w:r>
      <w:proofErr w:type="spellStart"/>
      <w:r w:rsidRPr="00576148">
        <w:rPr>
          <w:rFonts w:ascii="Times New Roman" w:eastAsia="Calibri" w:hAnsi="Times New Roman"/>
          <w:sz w:val="28"/>
          <w:szCs w:val="28"/>
          <w:lang w:val="ru-RU" w:eastAsia="ru-RU"/>
        </w:rPr>
        <w:t>Е.Ф.Линкевич</w:t>
      </w:r>
      <w:proofErr w:type="spellEnd"/>
    </w:p>
    <w:p w14:paraId="3E27C05E" w14:textId="77777777" w:rsidR="00576148" w:rsidRPr="001C3E1C" w:rsidRDefault="00576148" w:rsidP="00576148">
      <w:pPr>
        <w:spacing w:line="240" w:lineRule="auto"/>
        <w:jc w:val="center"/>
        <w:rPr>
          <w:rFonts w:ascii="Times New Roman" w:eastAsia="Calibri" w:hAnsi="Times New Roman"/>
          <w:sz w:val="24"/>
          <w:szCs w:val="20"/>
          <w:lang w:eastAsia="ru-RU"/>
        </w:rPr>
      </w:pPr>
      <w:r w:rsidRPr="001C3E1C">
        <w:rPr>
          <w:rFonts w:ascii="Times New Roman" w:eastAsia="Calibri" w:hAnsi="Times New Roman"/>
          <w:sz w:val="24"/>
          <w:szCs w:val="20"/>
          <w:lang w:eastAsia="ru-RU"/>
        </w:rPr>
        <w:t xml:space="preserve"> (подпись)</w:t>
      </w:r>
    </w:p>
    <w:p w14:paraId="160BA9FF"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588558ED"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0EB16C45"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47934352"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778A79BA"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166CC5B7"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p>
    <w:p w14:paraId="65E9BBBE" w14:textId="77777777" w:rsidR="00576148" w:rsidRDefault="00576148" w:rsidP="00576148">
      <w:pPr>
        <w:spacing w:line="240" w:lineRule="auto"/>
        <w:jc w:val="center"/>
        <w:rPr>
          <w:rFonts w:ascii="Times New Roman" w:eastAsia="Calibri" w:hAnsi="Times New Roman"/>
          <w:color w:val="000000"/>
          <w:sz w:val="28"/>
          <w:szCs w:val="28"/>
          <w:lang w:eastAsia="ru-RU"/>
        </w:rPr>
      </w:pPr>
    </w:p>
    <w:p w14:paraId="52D4660D" w14:textId="77777777" w:rsidR="00576148" w:rsidRDefault="00576148" w:rsidP="00576148">
      <w:pPr>
        <w:spacing w:line="240" w:lineRule="auto"/>
        <w:jc w:val="center"/>
        <w:rPr>
          <w:rFonts w:ascii="Times New Roman" w:eastAsia="Calibri" w:hAnsi="Times New Roman"/>
          <w:color w:val="000000"/>
          <w:sz w:val="28"/>
          <w:szCs w:val="28"/>
          <w:lang w:eastAsia="ru-RU"/>
        </w:rPr>
      </w:pPr>
    </w:p>
    <w:p w14:paraId="395BEE7E" w14:textId="77777777" w:rsidR="00576148" w:rsidRPr="001C3E1C" w:rsidRDefault="00576148" w:rsidP="00576148">
      <w:pPr>
        <w:spacing w:line="240" w:lineRule="auto"/>
        <w:jc w:val="center"/>
        <w:rPr>
          <w:rFonts w:ascii="Times New Roman" w:eastAsia="Calibri" w:hAnsi="Times New Roman"/>
          <w:color w:val="000000"/>
          <w:sz w:val="28"/>
          <w:szCs w:val="28"/>
          <w:lang w:eastAsia="ru-RU"/>
        </w:rPr>
      </w:pPr>
      <w:r w:rsidRPr="001C3E1C">
        <w:rPr>
          <w:rFonts w:ascii="Times New Roman" w:eastAsia="Calibri" w:hAnsi="Times New Roman"/>
          <w:color w:val="000000"/>
          <w:sz w:val="28"/>
          <w:szCs w:val="28"/>
          <w:lang w:eastAsia="ru-RU"/>
        </w:rPr>
        <w:t xml:space="preserve">Краснодар </w:t>
      </w:r>
    </w:p>
    <w:p w14:paraId="16D93596" w14:textId="77777777" w:rsidR="00576148" w:rsidRDefault="00576148" w:rsidP="00576148">
      <w:pPr>
        <w:jc w:val="center"/>
      </w:pPr>
      <w:r w:rsidRPr="001C3E1C">
        <w:rPr>
          <w:rFonts w:ascii="Times New Roman" w:eastAsia="Calibri" w:hAnsi="Times New Roman"/>
          <w:color w:val="000000"/>
          <w:sz w:val="28"/>
          <w:szCs w:val="28"/>
          <w:lang w:eastAsia="ru-RU"/>
        </w:rPr>
        <w:t>202</w:t>
      </w:r>
      <w:r>
        <w:rPr>
          <w:rFonts w:ascii="Times New Roman" w:eastAsia="Calibri" w:hAnsi="Times New Roman"/>
          <w:color w:val="000000"/>
          <w:sz w:val="28"/>
          <w:szCs w:val="28"/>
          <w:lang w:eastAsia="ru-RU"/>
        </w:rPr>
        <w:t>3</w:t>
      </w:r>
    </w:p>
    <w:p w14:paraId="32E51AA2" w14:textId="25E97EDB" w:rsidR="00576148" w:rsidRDefault="00576148">
      <w:pPr>
        <w:spacing w:after="160" w:line="259" w:lineRule="auto"/>
      </w:pPr>
    </w:p>
    <w:sdt>
      <w:sdtPr>
        <w:rPr>
          <w:rFonts w:ascii="Arial" w:eastAsia="Arial" w:hAnsi="Arial" w:cs="Arial"/>
          <w:color w:val="auto"/>
          <w:sz w:val="22"/>
          <w:szCs w:val="22"/>
          <w:lang w:val="ru"/>
        </w:rPr>
        <w:id w:val="1650402952"/>
        <w:docPartObj>
          <w:docPartGallery w:val="Table of Contents"/>
          <w:docPartUnique/>
        </w:docPartObj>
      </w:sdtPr>
      <w:sdtEndPr>
        <w:rPr>
          <w:b/>
          <w:bCs/>
          <w:noProof/>
        </w:rPr>
      </w:sdtEndPr>
      <w:sdtContent>
        <w:p w14:paraId="44364A0C" w14:textId="220EF54C" w:rsidR="001E0DD5" w:rsidRPr="00576148" w:rsidRDefault="001E0DD5" w:rsidP="001961F8">
          <w:pPr>
            <w:pStyle w:val="a9"/>
            <w:spacing w:before="0" w:line="360" w:lineRule="auto"/>
            <w:ind w:firstLine="851"/>
            <w:jc w:val="center"/>
            <w:rPr>
              <w:rFonts w:ascii="Times New Roman" w:hAnsi="Times New Roman" w:cs="Times New Roman"/>
              <w:color w:val="000000" w:themeColor="text1"/>
              <w:sz w:val="28"/>
              <w:szCs w:val="28"/>
              <w:lang w:val="ru-RU"/>
            </w:rPr>
          </w:pPr>
          <w:r w:rsidRPr="00576148">
            <w:rPr>
              <w:rFonts w:ascii="Times New Roman" w:hAnsi="Times New Roman" w:cs="Times New Roman"/>
              <w:color w:val="000000" w:themeColor="text1"/>
              <w:sz w:val="28"/>
              <w:szCs w:val="28"/>
              <w:lang w:val="ru-RU"/>
            </w:rPr>
            <w:t>СОДЕРЖАНИЕ</w:t>
          </w:r>
        </w:p>
        <w:p w14:paraId="127EC80B" w14:textId="786A3803" w:rsidR="00576148" w:rsidRPr="00576148" w:rsidRDefault="001E0DD5">
          <w:pPr>
            <w:pStyle w:val="11"/>
            <w:tabs>
              <w:tab w:val="right" w:leader="dot" w:pos="9345"/>
            </w:tabs>
            <w:rPr>
              <w:rFonts w:ascii="Times New Roman" w:eastAsiaTheme="minorEastAsia" w:hAnsi="Times New Roman" w:cs="Times New Roman"/>
              <w:noProof/>
              <w:kern w:val="2"/>
              <w:sz w:val="28"/>
              <w:szCs w:val="28"/>
              <w:lang w:val="en-US"/>
              <w14:ligatures w14:val="standardContextual"/>
            </w:rPr>
          </w:pPr>
          <w:r w:rsidRPr="00576148">
            <w:rPr>
              <w:rFonts w:ascii="Times New Roman" w:hAnsi="Times New Roman" w:cs="Times New Roman"/>
              <w:color w:val="000000" w:themeColor="text1"/>
              <w:sz w:val="28"/>
              <w:szCs w:val="28"/>
            </w:rPr>
            <w:fldChar w:fldCharType="begin"/>
          </w:r>
          <w:r w:rsidRPr="00576148">
            <w:rPr>
              <w:rFonts w:ascii="Times New Roman" w:hAnsi="Times New Roman" w:cs="Times New Roman"/>
              <w:color w:val="000000" w:themeColor="text1"/>
              <w:sz w:val="28"/>
              <w:szCs w:val="28"/>
            </w:rPr>
            <w:instrText xml:space="preserve"> TOC \o "1-3" \h \z \u </w:instrText>
          </w:r>
          <w:r w:rsidRPr="00576148">
            <w:rPr>
              <w:rFonts w:ascii="Times New Roman" w:hAnsi="Times New Roman" w:cs="Times New Roman"/>
              <w:color w:val="000000" w:themeColor="text1"/>
              <w:sz w:val="28"/>
              <w:szCs w:val="28"/>
            </w:rPr>
            <w:fldChar w:fldCharType="separate"/>
          </w:r>
          <w:hyperlink w:anchor="_Toc138357324" w:history="1">
            <w:r w:rsidR="00576148" w:rsidRPr="00576148">
              <w:rPr>
                <w:rStyle w:val="a7"/>
                <w:rFonts w:ascii="Times New Roman" w:hAnsi="Times New Roman" w:cs="Times New Roman"/>
                <w:noProof/>
                <w:sz w:val="28"/>
                <w:szCs w:val="28"/>
                <w:lang w:val="ru-RU"/>
              </w:rPr>
              <w:t>ВВЕДЕНИЕ</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_Toc138357324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3</w:t>
            </w:r>
            <w:r w:rsidR="00576148" w:rsidRPr="00576148">
              <w:rPr>
                <w:rFonts w:ascii="Times New Roman" w:hAnsi="Times New Roman" w:cs="Times New Roman"/>
                <w:noProof/>
                <w:webHidden/>
                <w:sz w:val="28"/>
                <w:szCs w:val="28"/>
              </w:rPr>
              <w:fldChar w:fldCharType="end"/>
            </w:r>
          </w:hyperlink>
        </w:p>
        <w:p w14:paraId="24CD182D" w14:textId="4623872D" w:rsidR="00576148" w:rsidRPr="00576148" w:rsidRDefault="00000000">
          <w:pPr>
            <w:pStyle w:val="11"/>
            <w:tabs>
              <w:tab w:val="left" w:pos="440"/>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25" w:history="1">
            <w:r w:rsidR="00576148" w:rsidRPr="00576148">
              <w:rPr>
                <w:rStyle w:val="a7"/>
                <w:rFonts w:ascii="Times New Roman" w:hAnsi="Times New Roman" w:cs="Times New Roman"/>
                <w:noProof/>
                <w:sz w:val="28"/>
                <w:szCs w:val="28"/>
                <w:lang w:val="ru-RU"/>
              </w:rPr>
              <w:t>1.</w:t>
            </w:r>
            <w:r w:rsidR="00576148" w:rsidRPr="00576148">
              <w:rPr>
                <w:rFonts w:ascii="Times New Roman" w:eastAsiaTheme="minorEastAsia" w:hAnsi="Times New Roman" w:cs="Times New Roman"/>
                <w:noProof/>
                <w:kern w:val="2"/>
                <w:sz w:val="28"/>
                <w:szCs w:val="28"/>
                <w:lang w:val="en-US"/>
                <w14:ligatures w14:val="standardContextual"/>
              </w:rPr>
              <w:tab/>
            </w:r>
            <w:r w:rsidR="00576148" w:rsidRPr="00576148">
              <w:rPr>
                <w:rStyle w:val="a7"/>
                <w:rFonts w:ascii="Times New Roman" w:hAnsi="Times New Roman" w:cs="Times New Roman"/>
                <w:noProof/>
                <w:sz w:val="28"/>
                <w:szCs w:val="28"/>
                <w:lang w:val="ru-RU"/>
              </w:rPr>
              <w:t>Теоретические основы финансового стимулирования предприятий IT-сектора.</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_Toc138357325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6</w:t>
            </w:r>
            <w:r w:rsidR="00576148" w:rsidRPr="00576148">
              <w:rPr>
                <w:rFonts w:ascii="Times New Roman" w:hAnsi="Times New Roman" w:cs="Times New Roman"/>
                <w:noProof/>
                <w:webHidden/>
                <w:sz w:val="28"/>
                <w:szCs w:val="28"/>
              </w:rPr>
              <w:fldChar w:fldCharType="end"/>
            </w:r>
          </w:hyperlink>
        </w:p>
        <w:p w14:paraId="6B254971" w14:textId="3FC8B4E5" w:rsidR="00576148" w:rsidRPr="00576148" w:rsidRDefault="00000000">
          <w:pPr>
            <w:pStyle w:val="21"/>
            <w:tabs>
              <w:tab w:val="left" w:pos="880"/>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26" w:history="1">
            <w:r w:rsidR="00576148" w:rsidRPr="00576148">
              <w:rPr>
                <w:rStyle w:val="a7"/>
                <w:rFonts w:ascii="Times New Roman" w:hAnsi="Times New Roman" w:cs="Times New Roman"/>
                <w:noProof/>
                <w:sz w:val="28"/>
                <w:szCs w:val="28"/>
                <w:lang w:val="ru-RU"/>
              </w:rPr>
              <w:t>1.1</w:t>
            </w:r>
            <w:r w:rsidR="00576148" w:rsidRPr="00576148">
              <w:rPr>
                <w:rFonts w:ascii="Times New Roman" w:eastAsiaTheme="minorEastAsia" w:hAnsi="Times New Roman" w:cs="Times New Roman"/>
                <w:noProof/>
                <w:kern w:val="2"/>
                <w:sz w:val="28"/>
                <w:szCs w:val="28"/>
                <w:lang w:val="en-US"/>
                <w14:ligatures w14:val="standardContextual"/>
              </w:rPr>
              <w:tab/>
            </w:r>
            <w:r w:rsidR="00576148" w:rsidRPr="00576148">
              <w:rPr>
                <w:rStyle w:val="a7"/>
                <w:rFonts w:ascii="Times New Roman" w:hAnsi="Times New Roman" w:cs="Times New Roman"/>
                <w:noProof/>
                <w:sz w:val="28"/>
                <w:szCs w:val="28"/>
                <w:lang w:val="ru-RU"/>
              </w:rPr>
              <w:t>Понятие финансового стимулирования и его роль в развитии IT-сектора.</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_Toc138357326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6</w:t>
            </w:r>
            <w:r w:rsidR="00576148" w:rsidRPr="00576148">
              <w:rPr>
                <w:rFonts w:ascii="Times New Roman" w:hAnsi="Times New Roman" w:cs="Times New Roman"/>
                <w:noProof/>
                <w:webHidden/>
                <w:sz w:val="28"/>
                <w:szCs w:val="28"/>
              </w:rPr>
              <w:fldChar w:fldCharType="end"/>
            </w:r>
          </w:hyperlink>
        </w:p>
        <w:p w14:paraId="107F5EC0" w14:textId="192DF1D6" w:rsidR="00576148" w:rsidRPr="00576148" w:rsidRDefault="00000000">
          <w:pPr>
            <w:pStyle w:val="21"/>
            <w:tabs>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27" w:history="1">
            <w:r w:rsidR="00576148" w:rsidRPr="00576148">
              <w:rPr>
                <w:rStyle w:val="a7"/>
                <w:rFonts w:ascii="Times New Roman" w:hAnsi="Times New Roman" w:cs="Times New Roman"/>
                <w:noProof/>
                <w:sz w:val="28"/>
                <w:szCs w:val="28"/>
                <w:lang w:val="ru-RU"/>
              </w:rPr>
              <w:t>1.2 Инструменты финансового стимулирования предприятий IT-сектора.</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_Toc138357327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13</w:t>
            </w:r>
            <w:r w:rsidR="00576148" w:rsidRPr="00576148">
              <w:rPr>
                <w:rFonts w:ascii="Times New Roman" w:hAnsi="Times New Roman" w:cs="Times New Roman"/>
                <w:noProof/>
                <w:webHidden/>
                <w:sz w:val="28"/>
                <w:szCs w:val="28"/>
              </w:rPr>
              <w:fldChar w:fldCharType="end"/>
            </w:r>
          </w:hyperlink>
        </w:p>
        <w:p w14:paraId="0162B868" w14:textId="503E7C27" w:rsidR="00576148" w:rsidRPr="00576148" w:rsidRDefault="00000000">
          <w:pPr>
            <w:pStyle w:val="11"/>
            <w:tabs>
              <w:tab w:val="left" w:pos="440"/>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28" w:history="1">
            <w:r w:rsidR="00576148" w:rsidRPr="00576148">
              <w:rPr>
                <w:rStyle w:val="a7"/>
                <w:rFonts w:ascii="Times New Roman" w:hAnsi="Times New Roman" w:cs="Times New Roman"/>
                <w:noProof/>
                <w:sz w:val="28"/>
                <w:szCs w:val="28"/>
                <w:lang w:val="ru-RU"/>
              </w:rPr>
              <w:t>2.</w:t>
            </w:r>
            <w:r w:rsidR="00576148" w:rsidRPr="00576148">
              <w:rPr>
                <w:rFonts w:ascii="Times New Roman" w:eastAsiaTheme="minorEastAsia" w:hAnsi="Times New Roman" w:cs="Times New Roman"/>
                <w:noProof/>
                <w:kern w:val="2"/>
                <w:sz w:val="28"/>
                <w:szCs w:val="28"/>
                <w:lang w:val="en-US"/>
                <w14:ligatures w14:val="standardContextual"/>
              </w:rPr>
              <w:tab/>
            </w:r>
            <w:r w:rsidR="00576148" w:rsidRPr="00576148">
              <w:rPr>
                <w:rStyle w:val="a7"/>
                <w:rFonts w:ascii="Times New Roman" w:hAnsi="Times New Roman" w:cs="Times New Roman"/>
                <w:noProof/>
                <w:sz w:val="28"/>
                <w:szCs w:val="28"/>
                <w:lang w:val="ru-RU"/>
              </w:rPr>
              <w:t>Опыт применения инструментов финансового стимулирования в IT-секторе.</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_Toc138357328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20</w:t>
            </w:r>
            <w:r w:rsidR="00576148" w:rsidRPr="00576148">
              <w:rPr>
                <w:rFonts w:ascii="Times New Roman" w:hAnsi="Times New Roman" w:cs="Times New Roman"/>
                <w:noProof/>
                <w:webHidden/>
                <w:sz w:val="28"/>
                <w:szCs w:val="28"/>
              </w:rPr>
              <w:fldChar w:fldCharType="end"/>
            </w:r>
          </w:hyperlink>
        </w:p>
        <w:p w14:paraId="43491A4A" w14:textId="44350FF9" w:rsidR="00576148" w:rsidRPr="00576148" w:rsidRDefault="00000000">
          <w:pPr>
            <w:pStyle w:val="21"/>
            <w:tabs>
              <w:tab w:val="left" w:pos="880"/>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29" w:history="1">
            <w:r w:rsidR="00576148" w:rsidRPr="00576148">
              <w:rPr>
                <w:rStyle w:val="a7"/>
                <w:rFonts w:ascii="Times New Roman" w:hAnsi="Times New Roman" w:cs="Times New Roman"/>
                <w:noProof/>
                <w:sz w:val="28"/>
                <w:szCs w:val="28"/>
                <w:lang w:val="ru-RU"/>
              </w:rPr>
              <w:t>2.1</w:t>
            </w:r>
            <w:r w:rsidR="00576148" w:rsidRPr="00576148">
              <w:rPr>
                <w:rFonts w:ascii="Times New Roman" w:eastAsiaTheme="minorEastAsia" w:hAnsi="Times New Roman" w:cs="Times New Roman"/>
                <w:noProof/>
                <w:kern w:val="2"/>
                <w:sz w:val="28"/>
                <w:szCs w:val="28"/>
                <w:lang w:val="en-US"/>
                <w14:ligatures w14:val="standardContextual"/>
              </w:rPr>
              <w:tab/>
            </w:r>
            <w:r w:rsidR="00576148" w:rsidRPr="00576148">
              <w:rPr>
                <w:rStyle w:val="a7"/>
                <w:rFonts w:ascii="Times New Roman" w:hAnsi="Times New Roman" w:cs="Times New Roman"/>
                <w:noProof/>
                <w:sz w:val="28"/>
                <w:szCs w:val="28"/>
                <w:lang w:val="ru-RU"/>
              </w:rPr>
              <w:t>Анализ и оценка эффективности использования налоговых льгот и преференций в IT-секторе.</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_Toc138357329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20</w:t>
            </w:r>
            <w:r w:rsidR="00576148" w:rsidRPr="00576148">
              <w:rPr>
                <w:rFonts w:ascii="Times New Roman" w:hAnsi="Times New Roman" w:cs="Times New Roman"/>
                <w:noProof/>
                <w:webHidden/>
                <w:sz w:val="28"/>
                <w:szCs w:val="28"/>
              </w:rPr>
              <w:fldChar w:fldCharType="end"/>
            </w:r>
          </w:hyperlink>
        </w:p>
        <w:p w14:paraId="66825EAD" w14:textId="2D3DF412" w:rsidR="00576148" w:rsidRPr="00576148" w:rsidRDefault="00000000">
          <w:pPr>
            <w:pStyle w:val="21"/>
            <w:tabs>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30" w:history="1">
            <w:r w:rsidR="00576148" w:rsidRPr="00576148">
              <w:rPr>
                <w:rStyle w:val="a7"/>
                <w:rFonts w:ascii="Times New Roman" w:hAnsi="Times New Roman" w:cs="Times New Roman"/>
                <w:noProof/>
                <w:sz w:val="28"/>
                <w:szCs w:val="28"/>
                <w:lang w:val="ru-RU"/>
              </w:rPr>
              <w:t xml:space="preserve">2.2 Дорожная карта развития </w:t>
            </w:r>
            <w:r w:rsidR="00576148" w:rsidRPr="00576148">
              <w:rPr>
                <w:rStyle w:val="a7"/>
                <w:rFonts w:ascii="Times New Roman" w:hAnsi="Times New Roman" w:cs="Times New Roman"/>
                <w:noProof/>
                <w:sz w:val="28"/>
                <w:szCs w:val="28"/>
                <w:lang w:val="en-US"/>
              </w:rPr>
              <w:t xml:space="preserve">IT </w:t>
            </w:r>
            <w:r w:rsidR="00576148" w:rsidRPr="00576148">
              <w:rPr>
                <w:rStyle w:val="a7"/>
                <w:rFonts w:ascii="Times New Roman" w:hAnsi="Times New Roman" w:cs="Times New Roman"/>
                <w:noProof/>
                <w:sz w:val="28"/>
                <w:szCs w:val="28"/>
                <w:lang w:val="ru-RU"/>
              </w:rPr>
              <w:t>отрасли как инструмент обеспечения спроса на российское ПО.</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_Toc138357330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25</w:t>
            </w:r>
            <w:r w:rsidR="00576148" w:rsidRPr="00576148">
              <w:rPr>
                <w:rFonts w:ascii="Times New Roman" w:hAnsi="Times New Roman" w:cs="Times New Roman"/>
                <w:noProof/>
                <w:webHidden/>
                <w:sz w:val="28"/>
                <w:szCs w:val="28"/>
              </w:rPr>
              <w:fldChar w:fldCharType="end"/>
            </w:r>
          </w:hyperlink>
        </w:p>
        <w:p w14:paraId="3276F754" w14:textId="3B998DA3" w:rsidR="00576148" w:rsidRPr="00576148" w:rsidRDefault="00000000">
          <w:pPr>
            <w:pStyle w:val="11"/>
            <w:tabs>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31" w:history="1">
            <w:r w:rsidR="00576148" w:rsidRPr="00576148">
              <w:rPr>
                <w:rStyle w:val="a7"/>
                <w:rFonts w:ascii="Times New Roman" w:hAnsi="Times New Roman" w:cs="Times New Roman"/>
                <w:noProof/>
                <w:sz w:val="28"/>
                <w:szCs w:val="28"/>
                <w:lang w:val="ru-RU"/>
              </w:rPr>
              <w:t>ЗАКЛЮЧЕНИЕ</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_Toc138357331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30</w:t>
            </w:r>
            <w:r w:rsidR="00576148" w:rsidRPr="00576148">
              <w:rPr>
                <w:rFonts w:ascii="Times New Roman" w:hAnsi="Times New Roman" w:cs="Times New Roman"/>
                <w:noProof/>
                <w:webHidden/>
                <w:sz w:val="28"/>
                <w:szCs w:val="28"/>
              </w:rPr>
              <w:fldChar w:fldCharType="end"/>
            </w:r>
          </w:hyperlink>
        </w:p>
        <w:p w14:paraId="18FB1B3F" w14:textId="5DC2E6DE" w:rsidR="00576148" w:rsidRPr="00576148" w:rsidRDefault="00000000">
          <w:pPr>
            <w:pStyle w:val="11"/>
            <w:tabs>
              <w:tab w:val="right" w:leader="dot" w:pos="9345"/>
            </w:tabs>
            <w:rPr>
              <w:rFonts w:ascii="Times New Roman" w:eastAsiaTheme="minorEastAsia" w:hAnsi="Times New Roman" w:cs="Times New Roman"/>
              <w:noProof/>
              <w:kern w:val="2"/>
              <w:sz w:val="28"/>
              <w:szCs w:val="28"/>
              <w:lang w:val="en-US"/>
              <w14:ligatures w14:val="standardContextual"/>
            </w:rPr>
          </w:pPr>
          <w:hyperlink w:anchor="_Toc138357332" w:history="1">
            <w:r w:rsidR="00576148" w:rsidRPr="00576148">
              <w:rPr>
                <w:rStyle w:val="a7"/>
                <w:rFonts w:ascii="Times New Roman" w:hAnsi="Times New Roman" w:cs="Times New Roman"/>
                <w:noProof/>
                <w:sz w:val="28"/>
                <w:szCs w:val="28"/>
              </w:rPr>
              <w:t>СПИСОК ИСПОЛЬЗОВАННЫХ ИСТОЧНИКОВ</w:t>
            </w:r>
            <w:r w:rsidR="00576148" w:rsidRPr="00576148">
              <w:rPr>
                <w:rFonts w:ascii="Times New Roman" w:hAnsi="Times New Roman" w:cs="Times New Roman"/>
                <w:noProof/>
                <w:webHidden/>
                <w:sz w:val="28"/>
                <w:szCs w:val="28"/>
              </w:rPr>
              <w:tab/>
            </w:r>
            <w:r w:rsidR="00576148" w:rsidRPr="00576148">
              <w:rPr>
                <w:rFonts w:ascii="Times New Roman" w:hAnsi="Times New Roman" w:cs="Times New Roman"/>
                <w:noProof/>
                <w:webHidden/>
                <w:sz w:val="28"/>
                <w:szCs w:val="28"/>
              </w:rPr>
              <w:fldChar w:fldCharType="begin"/>
            </w:r>
            <w:r w:rsidR="00576148" w:rsidRPr="00576148">
              <w:rPr>
                <w:rFonts w:ascii="Times New Roman" w:hAnsi="Times New Roman" w:cs="Times New Roman"/>
                <w:noProof/>
                <w:webHidden/>
                <w:sz w:val="28"/>
                <w:szCs w:val="28"/>
              </w:rPr>
              <w:instrText xml:space="preserve"> PAGEREF _Toc138357332 \h </w:instrText>
            </w:r>
            <w:r w:rsidR="00576148" w:rsidRPr="00576148">
              <w:rPr>
                <w:rFonts w:ascii="Times New Roman" w:hAnsi="Times New Roman" w:cs="Times New Roman"/>
                <w:noProof/>
                <w:webHidden/>
                <w:sz w:val="28"/>
                <w:szCs w:val="28"/>
              </w:rPr>
            </w:r>
            <w:r w:rsidR="00576148" w:rsidRPr="00576148">
              <w:rPr>
                <w:rFonts w:ascii="Times New Roman" w:hAnsi="Times New Roman" w:cs="Times New Roman"/>
                <w:noProof/>
                <w:webHidden/>
                <w:sz w:val="28"/>
                <w:szCs w:val="28"/>
              </w:rPr>
              <w:fldChar w:fldCharType="separate"/>
            </w:r>
            <w:r w:rsidR="00576148" w:rsidRPr="00576148">
              <w:rPr>
                <w:rFonts w:ascii="Times New Roman" w:hAnsi="Times New Roman" w:cs="Times New Roman"/>
                <w:noProof/>
                <w:webHidden/>
                <w:sz w:val="28"/>
                <w:szCs w:val="28"/>
              </w:rPr>
              <w:t>32</w:t>
            </w:r>
            <w:r w:rsidR="00576148" w:rsidRPr="00576148">
              <w:rPr>
                <w:rFonts w:ascii="Times New Roman" w:hAnsi="Times New Roman" w:cs="Times New Roman"/>
                <w:noProof/>
                <w:webHidden/>
                <w:sz w:val="28"/>
                <w:szCs w:val="28"/>
              </w:rPr>
              <w:fldChar w:fldCharType="end"/>
            </w:r>
          </w:hyperlink>
        </w:p>
        <w:p w14:paraId="71C38593" w14:textId="74510F88" w:rsidR="001E0DD5" w:rsidRDefault="001E0DD5" w:rsidP="001961F8">
          <w:pPr>
            <w:spacing w:line="360" w:lineRule="auto"/>
            <w:ind w:firstLine="851"/>
            <w:jc w:val="both"/>
          </w:pPr>
          <w:r w:rsidRPr="00576148">
            <w:rPr>
              <w:rFonts w:ascii="Times New Roman" w:hAnsi="Times New Roman" w:cs="Times New Roman"/>
              <w:noProof/>
              <w:color w:val="000000" w:themeColor="text1"/>
              <w:sz w:val="28"/>
              <w:szCs w:val="28"/>
            </w:rPr>
            <w:fldChar w:fldCharType="end"/>
          </w:r>
        </w:p>
      </w:sdtContent>
    </w:sdt>
    <w:p w14:paraId="15EF0068" w14:textId="4890554E" w:rsidR="005E4DFD" w:rsidRDefault="005E4DFD" w:rsidP="001961F8">
      <w:pPr>
        <w:spacing w:line="36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br/>
      </w:r>
      <w:r>
        <w:rPr>
          <w:rFonts w:ascii="Times New Roman" w:hAnsi="Times New Roman" w:cs="Times New Roman"/>
          <w:sz w:val="28"/>
          <w:szCs w:val="28"/>
          <w:lang w:val="ru-RU"/>
        </w:rPr>
        <w:br/>
      </w:r>
    </w:p>
    <w:p w14:paraId="5C3C39B8" w14:textId="77777777" w:rsidR="005E4DFD" w:rsidRDefault="005E4DFD" w:rsidP="001961F8">
      <w:pPr>
        <w:spacing w:line="36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4EAAD6B0" w14:textId="1249737D" w:rsidR="00F741FE" w:rsidRPr="009560D1" w:rsidRDefault="005E4DFD" w:rsidP="005C0478">
      <w:pPr>
        <w:pStyle w:val="1"/>
        <w:spacing w:before="0" w:line="360" w:lineRule="auto"/>
        <w:ind w:firstLine="851"/>
        <w:jc w:val="center"/>
        <w:rPr>
          <w:rFonts w:cs="Times New Roman"/>
          <w:szCs w:val="28"/>
          <w:lang w:val="ru-RU"/>
        </w:rPr>
      </w:pPr>
      <w:bookmarkStart w:id="0" w:name="_Toc138357324"/>
      <w:r w:rsidRPr="009560D1">
        <w:rPr>
          <w:rFonts w:cs="Times New Roman"/>
          <w:szCs w:val="28"/>
          <w:lang w:val="ru-RU"/>
        </w:rPr>
        <w:lastRenderedPageBreak/>
        <w:t>ВВЕДЕНИЕ</w:t>
      </w:r>
      <w:bookmarkEnd w:id="0"/>
    </w:p>
    <w:p w14:paraId="2B96AB18" w14:textId="77777777" w:rsidR="009560D1" w:rsidRPr="009560D1" w:rsidRDefault="009560D1" w:rsidP="009560D1">
      <w:pPr>
        <w:rPr>
          <w:rFonts w:ascii="Times New Roman" w:hAnsi="Times New Roman" w:cs="Times New Roman"/>
          <w:sz w:val="28"/>
          <w:szCs w:val="28"/>
          <w:lang w:val="ru-RU"/>
        </w:rPr>
      </w:pPr>
    </w:p>
    <w:p w14:paraId="286EF0F5" w14:textId="63339D9D"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современном обществе, где информационные технологии занимают центральное место, предприятия IT-сектора играют ключевую роль в экономическом развитии. Они являются двигателем инноваций, создают новые продукты и услуги, формируют новые рынки и способы взаимодействия. Однако, чтобы поддерживать эту динамичную отрасль и стимулировать ее рост, необходимо разработать эффективные инструменты финансового стимулирования.</w:t>
      </w:r>
    </w:p>
    <w:p w14:paraId="046E80E6" w14:textId="431EB647"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Введение финансового стимулирования для предприятий IT-сектора имеет стратегическое значение для обеспечения их конкурентоспособности и инновационного развития. Финансовые механизмы, такие как налоговые льготы, гранты, инвестиционные фонды и другие инструменты, способствуют созданию благоприятной среды для роста и развития IT-предприятий. Они позволяют привлечь инвестиции, обеспечить доступ к необходимым ресурсам, улучшить исследования и разработки, а также поддержать инновационные и стартап-проекты.</w:t>
      </w:r>
    </w:p>
    <w:p w14:paraId="6D6F933A" w14:textId="240A7773"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b/>
          <w:bCs/>
          <w:sz w:val="28"/>
          <w:szCs w:val="28"/>
          <w:lang w:val="ru-RU"/>
        </w:rPr>
        <w:t>Актуальность</w:t>
      </w:r>
      <w:r w:rsidRPr="009560D1">
        <w:rPr>
          <w:rFonts w:ascii="Times New Roman" w:hAnsi="Times New Roman" w:cs="Times New Roman"/>
          <w:sz w:val="28"/>
          <w:szCs w:val="28"/>
          <w:lang w:val="ru-RU"/>
        </w:rPr>
        <w:t xml:space="preserve"> темы исследования заключается в необходимости изучения и анализа теоретических основ и опыта применения инструментов финансового стимулирования предприятий IT-сектора. Финансовое стимулирование является существенным фактором в создании благоприятной среды для развития и роста IT-предприятий. Оптимальное использование финансовых механизмов, таких как налоговые льготы, гранты, инвестиционные фонды и другие инструменты, способствует стимулированию инноваций, созданию рабочих мест и повышению конкурентоспособности предприятий IT-сектора.</w:t>
      </w:r>
    </w:p>
    <w:p w14:paraId="37855A23" w14:textId="30594CB7"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Более того, в современном мире необходимо наращивать развитие в области высокотехнологичного производства, так как обеспечение отечественным программным обеспечением и вычислительными мощностями является стратегической целью любого государства, желающего достичь </w:t>
      </w:r>
      <w:r w:rsidRPr="009560D1">
        <w:rPr>
          <w:rFonts w:ascii="Times New Roman" w:hAnsi="Times New Roman" w:cs="Times New Roman"/>
          <w:sz w:val="28"/>
          <w:szCs w:val="28"/>
          <w:lang w:val="ru-RU"/>
        </w:rPr>
        <w:lastRenderedPageBreak/>
        <w:t>экономических успехов. Отстранение от сырьевого характера экономики в том числе и заключается в переходе на цифровое производство, способное обеспечить экономику страны не только высокотехнологичным товаром, но и высокооплачиваемыми рабочими местами и потенциалом к росту ВВП.</w:t>
      </w:r>
    </w:p>
    <w:p w14:paraId="0DEF02C8" w14:textId="7D0E9B95"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b/>
          <w:bCs/>
          <w:sz w:val="28"/>
          <w:szCs w:val="28"/>
          <w:lang w:val="ru-RU"/>
        </w:rPr>
        <w:t>Целью</w:t>
      </w:r>
      <w:r w:rsidRPr="009560D1">
        <w:rPr>
          <w:rFonts w:ascii="Times New Roman" w:hAnsi="Times New Roman" w:cs="Times New Roman"/>
          <w:sz w:val="28"/>
          <w:szCs w:val="28"/>
          <w:lang w:val="ru-RU"/>
        </w:rPr>
        <w:t xml:space="preserve"> данной курсовой работы является изучение теоретических основ и опыта применения инструментов финансового стимулирования предприятий IT-сектора. Для достижения этой цели были поставлены следующие задачи:</w:t>
      </w:r>
    </w:p>
    <w:p w14:paraId="254A72B9" w14:textId="77777777" w:rsidR="005E4DFD" w:rsidRPr="009560D1" w:rsidRDefault="005E4DFD" w:rsidP="009560D1">
      <w:pPr>
        <w:pStyle w:val="a3"/>
        <w:numPr>
          <w:ilvl w:val="0"/>
          <w:numId w:val="4"/>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Рассмотреть концепцию финансового стимулирования и его роль в развитии предприятий IT-сектора.</w:t>
      </w:r>
    </w:p>
    <w:p w14:paraId="341FE24C" w14:textId="77777777" w:rsidR="005E4DFD" w:rsidRPr="009560D1" w:rsidRDefault="005E4DFD" w:rsidP="009560D1">
      <w:pPr>
        <w:pStyle w:val="a3"/>
        <w:numPr>
          <w:ilvl w:val="0"/>
          <w:numId w:val="4"/>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Изучить различные инструменты финансового стимулирования, такие как налоговые льготы, гранты, инвестиционные фонды и другие, и их применимость в IT-секторе.</w:t>
      </w:r>
    </w:p>
    <w:p w14:paraId="46395533" w14:textId="77777777" w:rsidR="005E4DFD" w:rsidRPr="009560D1" w:rsidRDefault="005E4DFD" w:rsidP="009560D1">
      <w:pPr>
        <w:pStyle w:val="a3"/>
        <w:numPr>
          <w:ilvl w:val="0"/>
          <w:numId w:val="4"/>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Проанализировать опыт применения инструментов финансового стимулирования в IT-секторе на основе существующих исследований и практических примеров.</w:t>
      </w:r>
    </w:p>
    <w:p w14:paraId="66C4245C" w14:textId="4CE24F6C" w:rsidR="005E4DFD" w:rsidRPr="009560D1" w:rsidRDefault="005E4DFD" w:rsidP="009560D1">
      <w:pPr>
        <w:pStyle w:val="a3"/>
        <w:numPr>
          <w:ilvl w:val="0"/>
          <w:numId w:val="4"/>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Оценить эффективность и влияние инструментов финансового стимулирования на развитие и конкурентоспособность предприятий IT-сектора.</w:t>
      </w:r>
    </w:p>
    <w:p w14:paraId="30D79FD0" w14:textId="77777777" w:rsidR="002D2291" w:rsidRPr="009560D1" w:rsidRDefault="002D2291" w:rsidP="009560D1">
      <w:pPr>
        <w:spacing w:line="360" w:lineRule="auto"/>
        <w:ind w:firstLine="709"/>
        <w:jc w:val="both"/>
        <w:rPr>
          <w:rFonts w:ascii="Times New Roman" w:hAnsi="Times New Roman" w:cs="Times New Roman"/>
          <w:sz w:val="28"/>
          <w:szCs w:val="28"/>
        </w:rPr>
      </w:pPr>
      <w:r w:rsidRPr="009560D1">
        <w:rPr>
          <w:rFonts w:ascii="Times New Roman" w:hAnsi="Times New Roman" w:cs="Times New Roman"/>
          <w:b/>
          <w:bCs/>
          <w:sz w:val="28"/>
          <w:szCs w:val="28"/>
        </w:rPr>
        <w:t xml:space="preserve">Объектом исследования </w:t>
      </w:r>
      <w:r w:rsidRPr="009560D1">
        <w:rPr>
          <w:rFonts w:ascii="Times New Roman" w:hAnsi="Times New Roman" w:cs="Times New Roman"/>
          <w:sz w:val="28"/>
          <w:szCs w:val="28"/>
        </w:rPr>
        <w:t>является инвестиционная деятельность, направленная на предприятия IT-отрасли.</w:t>
      </w:r>
    </w:p>
    <w:p w14:paraId="38E2A48B" w14:textId="1C9BEDA4" w:rsidR="002D2291" w:rsidRPr="009560D1" w:rsidRDefault="002D2291" w:rsidP="009560D1">
      <w:pPr>
        <w:spacing w:line="360" w:lineRule="auto"/>
        <w:ind w:firstLine="709"/>
        <w:jc w:val="both"/>
        <w:rPr>
          <w:rFonts w:ascii="Times New Roman" w:hAnsi="Times New Roman" w:cs="Times New Roman"/>
          <w:sz w:val="28"/>
          <w:szCs w:val="28"/>
        </w:rPr>
      </w:pPr>
      <w:r w:rsidRPr="009560D1">
        <w:rPr>
          <w:rFonts w:ascii="Times New Roman" w:hAnsi="Times New Roman" w:cs="Times New Roman"/>
          <w:b/>
          <w:bCs/>
          <w:sz w:val="28"/>
          <w:szCs w:val="28"/>
        </w:rPr>
        <w:t xml:space="preserve">Предметом исследования </w:t>
      </w:r>
      <w:r w:rsidRPr="009560D1">
        <w:rPr>
          <w:rFonts w:ascii="Times New Roman" w:hAnsi="Times New Roman" w:cs="Times New Roman"/>
          <w:sz w:val="28"/>
          <w:szCs w:val="28"/>
        </w:rPr>
        <w:t>выступают теоретические и практические проблемы, связанные с эффективностью инвестиционных проектов и пути их повышения в условиях развивающейся экономики.</w:t>
      </w:r>
    </w:p>
    <w:p w14:paraId="2978D99B" w14:textId="2596ADCC" w:rsidR="005E4DFD" w:rsidRPr="009560D1" w:rsidRDefault="002D22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b/>
          <w:bCs/>
          <w:sz w:val="28"/>
          <w:szCs w:val="28"/>
          <w:lang w:val="ru-RU"/>
        </w:rPr>
        <w:t>Информационной базой</w:t>
      </w:r>
      <w:r w:rsidRPr="009560D1">
        <w:rPr>
          <w:rFonts w:ascii="Times New Roman" w:hAnsi="Times New Roman" w:cs="Times New Roman"/>
          <w:sz w:val="28"/>
          <w:szCs w:val="28"/>
          <w:lang w:val="ru-RU"/>
        </w:rPr>
        <w:t xml:space="preserve"> выступают труды отечественных и зарубежных научных сотрудников в области повышения эффективности инвестиций в различных сферах экономики, а также законодательные и нормативно-правовые акты РФ, регулирующие процессы в данной сфере.</w:t>
      </w:r>
    </w:p>
    <w:p w14:paraId="67E13742" w14:textId="3DB5697D" w:rsidR="002D2291" w:rsidRPr="009560D1" w:rsidRDefault="002D22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Новые сферы деятельности всегда являлись предметом притяжения для исследователей. Поэтому существует достаточно большое количество работ, </w:t>
      </w:r>
      <w:r w:rsidRPr="009560D1">
        <w:rPr>
          <w:rFonts w:ascii="Times New Roman" w:hAnsi="Times New Roman" w:cs="Times New Roman"/>
          <w:sz w:val="28"/>
          <w:szCs w:val="28"/>
          <w:lang w:val="ru-RU"/>
        </w:rPr>
        <w:lastRenderedPageBreak/>
        <w:t xml:space="preserve">посвященных финансовому стимулированию различной инновационной деятельности. Однако, в сфере изучения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 xml:space="preserve">сектора эти вопросы поднимались не так часто, поэтому можно говорить о том, что есть еще простор для исследований. Так в работе Громова В. В. поднимаются вопросы эффективности применения льгот для малых ИТ предприятий, рассматриваются ограничения, которые должны преодолеть компании в получении льгот, а также делается вывод о выборе налогового режима для разных категорий малых ИТ компаний. </w:t>
      </w:r>
      <w:r w:rsidR="007D6F03" w:rsidRPr="009560D1">
        <w:rPr>
          <w:rFonts w:ascii="Times New Roman" w:hAnsi="Times New Roman" w:cs="Times New Roman"/>
          <w:sz w:val="28"/>
          <w:szCs w:val="28"/>
          <w:lang w:val="ru-RU"/>
        </w:rPr>
        <w:t xml:space="preserve">В исследовании, проведенным Казариным С. В. и Свечниковой Н. Ю. поднимается вопрос об эффективности применения налоговых льгот на уровне региона, выстраивается иерархия по эффективности использования дополнительных средств </w:t>
      </w:r>
      <w:r w:rsidR="007D6F03" w:rsidRPr="009560D1">
        <w:rPr>
          <w:rFonts w:ascii="Times New Roman" w:hAnsi="Times New Roman" w:cs="Times New Roman"/>
          <w:sz w:val="28"/>
          <w:szCs w:val="28"/>
          <w:lang w:val="en-US"/>
        </w:rPr>
        <w:t xml:space="preserve">IT </w:t>
      </w:r>
      <w:r w:rsidR="007D6F03" w:rsidRPr="009560D1">
        <w:rPr>
          <w:rFonts w:ascii="Times New Roman" w:hAnsi="Times New Roman" w:cs="Times New Roman"/>
          <w:sz w:val="28"/>
          <w:szCs w:val="28"/>
          <w:lang w:val="ru-RU"/>
        </w:rPr>
        <w:t>компаниями различных регионов.</w:t>
      </w:r>
      <w:r w:rsidRPr="009560D1">
        <w:rPr>
          <w:rFonts w:ascii="Times New Roman" w:hAnsi="Times New Roman" w:cs="Times New Roman"/>
          <w:sz w:val="28"/>
          <w:szCs w:val="28"/>
          <w:lang w:val="ru-RU"/>
        </w:rPr>
        <w:t xml:space="preserve"> </w:t>
      </w:r>
    </w:p>
    <w:p w14:paraId="000E28D1" w14:textId="77777777"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Для достижения целей исследования будет использована комбинация </w:t>
      </w:r>
      <w:r w:rsidRPr="009560D1">
        <w:rPr>
          <w:rFonts w:ascii="Times New Roman" w:hAnsi="Times New Roman" w:cs="Times New Roman"/>
          <w:b/>
          <w:bCs/>
          <w:sz w:val="28"/>
          <w:szCs w:val="28"/>
          <w:lang w:val="ru-RU"/>
        </w:rPr>
        <w:t>методов</w:t>
      </w:r>
      <w:r w:rsidRPr="009560D1">
        <w:rPr>
          <w:rFonts w:ascii="Times New Roman" w:hAnsi="Times New Roman" w:cs="Times New Roman"/>
          <w:sz w:val="28"/>
          <w:szCs w:val="28"/>
          <w:lang w:val="ru-RU"/>
        </w:rPr>
        <w:t xml:space="preserve"> анализа и синтеза. В работе будет проведен анализ научной литературы и исследований, связанных с финансовым стимулированием предприятий IT-сектора. Будут рассмотрены конкретные примеры успешного применения инструментов финансового стимулирования в IT-секторе.</w:t>
      </w:r>
    </w:p>
    <w:p w14:paraId="625A9AC1" w14:textId="6499D947"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Кроме того, будет проведен сравнительный анализ различных инструментов финансового стимулирования и их эффективности в IT-секторе. Данные для исследования могут быть получены из анализа открытых источников, статистических данных, а также интервью с экспертами и представителями предприятий IT-сектора.</w:t>
      </w:r>
    </w:p>
    <w:p w14:paraId="7D317326" w14:textId="77777777" w:rsidR="005E4DFD" w:rsidRPr="009560D1" w:rsidRDefault="005E4D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br w:type="page"/>
      </w:r>
    </w:p>
    <w:p w14:paraId="7E3D2025" w14:textId="7C191DA8" w:rsidR="005E4DFD" w:rsidRPr="009560D1" w:rsidRDefault="005E4DFD" w:rsidP="009560D1">
      <w:pPr>
        <w:pStyle w:val="1"/>
        <w:numPr>
          <w:ilvl w:val="0"/>
          <w:numId w:val="14"/>
        </w:numPr>
        <w:spacing w:before="0" w:line="360" w:lineRule="auto"/>
        <w:ind w:left="0" w:firstLine="851"/>
        <w:jc w:val="both"/>
        <w:rPr>
          <w:rFonts w:cs="Times New Roman"/>
          <w:szCs w:val="28"/>
          <w:lang w:val="ru-RU"/>
        </w:rPr>
      </w:pPr>
      <w:bookmarkStart w:id="1" w:name="_Toc138357325"/>
      <w:r w:rsidRPr="009560D1">
        <w:rPr>
          <w:rFonts w:cs="Times New Roman"/>
          <w:szCs w:val="28"/>
          <w:lang w:val="ru-RU"/>
        </w:rPr>
        <w:lastRenderedPageBreak/>
        <w:t>Теоретические основы финансового стимулирования предприятий IT-сектора.</w:t>
      </w:r>
      <w:bookmarkEnd w:id="1"/>
    </w:p>
    <w:p w14:paraId="667CC734" w14:textId="77777777" w:rsidR="009560D1" w:rsidRPr="009560D1" w:rsidRDefault="009560D1" w:rsidP="009560D1">
      <w:pPr>
        <w:rPr>
          <w:rFonts w:ascii="Times New Roman" w:hAnsi="Times New Roman" w:cs="Times New Roman"/>
          <w:sz w:val="28"/>
          <w:szCs w:val="28"/>
          <w:lang w:val="ru-RU"/>
        </w:rPr>
      </w:pPr>
    </w:p>
    <w:p w14:paraId="3A694AB9" w14:textId="7278816C" w:rsidR="005E4DFD" w:rsidRPr="009560D1" w:rsidRDefault="005E4DFD" w:rsidP="009560D1">
      <w:pPr>
        <w:pStyle w:val="2"/>
        <w:numPr>
          <w:ilvl w:val="1"/>
          <w:numId w:val="14"/>
        </w:numPr>
        <w:spacing w:before="0" w:line="360" w:lineRule="auto"/>
        <w:ind w:left="0" w:firstLine="851"/>
        <w:jc w:val="both"/>
        <w:rPr>
          <w:rFonts w:cs="Times New Roman"/>
          <w:szCs w:val="28"/>
          <w:lang w:val="ru-RU"/>
        </w:rPr>
      </w:pPr>
      <w:bookmarkStart w:id="2" w:name="_Toc138357326"/>
      <w:r w:rsidRPr="009560D1">
        <w:rPr>
          <w:rFonts w:cs="Times New Roman"/>
          <w:szCs w:val="28"/>
          <w:lang w:val="ru-RU"/>
        </w:rPr>
        <w:t>Понятие финансового стимулирования и его роль в развитии IT-сектора.</w:t>
      </w:r>
      <w:bookmarkEnd w:id="2"/>
    </w:p>
    <w:p w14:paraId="15A0DF8B" w14:textId="77777777" w:rsidR="009560D1" w:rsidRPr="009560D1" w:rsidRDefault="009560D1" w:rsidP="009560D1">
      <w:pPr>
        <w:rPr>
          <w:rFonts w:ascii="Times New Roman" w:hAnsi="Times New Roman" w:cs="Times New Roman"/>
          <w:sz w:val="28"/>
          <w:szCs w:val="28"/>
          <w:lang w:val="ru-RU"/>
        </w:rPr>
      </w:pPr>
    </w:p>
    <w:p w14:paraId="03DA3116" w14:textId="3652ECF5" w:rsidR="005E4DFD" w:rsidRPr="009560D1" w:rsidRDefault="00704E6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Финансовое стимулирование представляет собой систему мер и инструментов, применяемых с целью активизации экономической деятельности и достижения определенных целей. В рамках данного исследования рассматривается финансовое стимулирование предприятий IT-сектора, которое основывается на использовании финансовых механизмов, таких как налоговые льготы, субсидии, гранты, инвестиции и другие инструменты, направленные на стимулирование развития данной отрасли.</w:t>
      </w:r>
    </w:p>
    <w:p w14:paraId="2371BBF8" w14:textId="72A5FAA2"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Предприятия IT-сектора являются особенно инновационными и </w:t>
      </w:r>
      <w:proofErr w:type="gramStart"/>
      <w:r w:rsidRPr="009560D1">
        <w:rPr>
          <w:rFonts w:ascii="Times New Roman" w:hAnsi="Times New Roman" w:cs="Times New Roman"/>
          <w:sz w:val="28"/>
          <w:szCs w:val="28"/>
          <w:lang w:val="ru-RU"/>
        </w:rPr>
        <w:t>динамично развивающимися</w:t>
      </w:r>
      <w:proofErr w:type="gramEnd"/>
      <w:r w:rsidRPr="009560D1">
        <w:rPr>
          <w:rFonts w:ascii="Times New Roman" w:hAnsi="Times New Roman" w:cs="Times New Roman"/>
          <w:sz w:val="28"/>
          <w:szCs w:val="28"/>
          <w:lang w:val="ru-RU"/>
        </w:rPr>
        <w:t>. В свете этого финансовое стимулирование играет важную роль в поддержке их развития. Это направлено на стимулирование инноваций, привлечение высококвалифицированных специалистов, создание новых рабочих мест, а также на поощрение исследований и технологического прогресса в IT-секторе</w:t>
      </w:r>
      <w:r w:rsidR="007D6F03" w:rsidRPr="009560D1">
        <w:rPr>
          <w:rStyle w:val="a6"/>
          <w:rFonts w:ascii="Times New Roman" w:hAnsi="Times New Roman" w:cs="Times New Roman"/>
          <w:sz w:val="28"/>
          <w:szCs w:val="28"/>
          <w:lang w:val="ru-RU"/>
        </w:rPr>
        <w:footnoteReference w:id="1"/>
      </w:r>
      <w:r w:rsidRPr="009560D1">
        <w:rPr>
          <w:rFonts w:ascii="Times New Roman" w:hAnsi="Times New Roman" w:cs="Times New Roman"/>
          <w:sz w:val="28"/>
          <w:szCs w:val="28"/>
          <w:lang w:val="ru-RU"/>
        </w:rPr>
        <w:t>.</w:t>
      </w:r>
    </w:p>
    <w:p w14:paraId="7A1E0D3F" w14:textId="5D44D050"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Введение в понятие финансового стимулирования предприятий IT-сектора не только позволяет установить основные концепции и принципы, на которых будет базироваться дальнейшее исследование, но и предоставляет научному сообществу и практикам ценную информацию о роли и значимости финансового стимулирования в современном IT-секторе. Такое введение предоставляет читателям общую основу и контекст для последующего углубленного рассмотрения инструментов финансового стимулирования </w:t>
      </w:r>
      <w:r w:rsidRPr="009560D1">
        <w:rPr>
          <w:rFonts w:ascii="Times New Roman" w:hAnsi="Times New Roman" w:cs="Times New Roman"/>
          <w:sz w:val="28"/>
          <w:szCs w:val="28"/>
          <w:lang w:val="ru-RU"/>
        </w:rPr>
        <w:lastRenderedPageBreak/>
        <w:t>предприятий IT-сектора, что способствует более глубокому пониманию и дальнейшему развитию данной темы.</w:t>
      </w:r>
    </w:p>
    <w:p w14:paraId="052C1E8A" w14:textId="6265788E"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Финансовое стимулирование играет важную роль в достижении целей развития предприятий и отраслей, в том числе в контексте IT-сектора. В данном разделе рассматриваются основные принципы финансового стимулирования, которые служат руководством для эффективного применения соответствующих инструментов. Соблюдение данных принципов способствует созданию благоприятной среды для развития предприятий IT-сектора и стимулирует их инновационную активность.</w:t>
      </w:r>
    </w:p>
    <w:p w14:paraId="58F95791" w14:textId="4A29D8F5"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целенаправленности и стратегической ориентации. Финансовое стимулирование должно быть четко ориентировано на достижение определенных стратегических целей и задач. Это подразумевает разработку и реализацию целенаправленных мер и инструментов, способствующих развитию конкретных аспектов IT-сектора, таких как инновации, научные исследования, разработка новых продуктов и услуг.</w:t>
      </w:r>
    </w:p>
    <w:p w14:paraId="55F23869" w14:textId="63C807EB"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гибкости и адаптивности. Финансовое стимулирование должно быть гибким и способным адаптироваться к изменяющимся условиям и потребностям IT-сектора. Гибкость предполагает возможность быстрого реагирования на изменения в экономической и технологической среде, а также на появление новых вызовов и возможностей. Адаптивность включает в себя готовность к внесению изменений в механизмы финансового стимулирования с целью обеспечения их эффективности и соответствия требованиям рынка и предприятий IT-сектора.</w:t>
      </w:r>
    </w:p>
    <w:p w14:paraId="261C03FE" w14:textId="6010261C"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справедливости и прозрачности. Финансовое стимулирование должно быть основано на принципах справедливости и прозрачности. Это означает, что процессы распределения финансовых ресурсов и принятия решений должны быть четко описаны и доступны для всех участников. Критерии оценки и выбора получателей стимулов должны быть объективными и основываться на установленных правилах и критериях.</w:t>
      </w:r>
    </w:p>
    <w:p w14:paraId="20518865" w14:textId="77777777"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Принцип эффективности и результативности. Финансовое стимулирование должно быть эффективным и способствовать достижению конкретных результатов и целей. Это предполагает установление механизмов контроля и оценки эффективности использования финансовых ресурсов, а также определение ясных показателей успеха и ожидаемых результатов.</w:t>
      </w:r>
    </w:p>
    <w:p w14:paraId="26F452CC" w14:textId="2A335875"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устойчивости и долгосрочности. Финансовое стимулирование должно быть ориентировано на достижение устойчивого и долгосрочного развития предприятий IT-сектора. Это включает в себя поддержку долгосрочных проектов, инвестиций в исследования и разработки, а также создание условий для стабильного функционирования предприятий в долгосрочной перспективе.</w:t>
      </w:r>
    </w:p>
    <w:p w14:paraId="503D5907" w14:textId="06192D30"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Соблюдение данных принципов позволяет создать эффективную и целенаправленную систему финансового стимулирования предприятий IT-сектора. Они служат ориентиром для разработки и применения соответствующих инструментов и мер, способствующих достижению поставленных целей и обеспечению устойчивого развития IT-сектора в целом.</w:t>
      </w:r>
    </w:p>
    <w:p w14:paraId="5E48C96D" w14:textId="7CDA1BED"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ИТ-сектор является одной из наиболее </w:t>
      </w:r>
      <w:proofErr w:type="gramStart"/>
      <w:r w:rsidRPr="009560D1">
        <w:rPr>
          <w:rFonts w:ascii="Times New Roman" w:hAnsi="Times New Roman" w:cs="Times New Roman"/>
          <w:sz w:val="28"/>
          <w:szCs w:val="28"/>
          <w:lang w:val="ru-RU"/>
        </w:rPr>
        <w:t>динамично развивающихся</w:t>
      </w:r>
      <w:proofErr w:type="gramEnd"/>
      <w:r w:rsidRPr="009560D1">
        <w:rPr>
          <w:rFonts w:ascii="Times New Roman" w:hAnsi="Times New Roman" w:cs="Times New Roman"/>
          <w:sz w:val="28"/>
          <w:szCs w:val="28"/>
          <w:lang w:val="ru-RU"/>
        </w:rPr>
        <w:t xml:space="preserve"> отраслей современной экономики. Для поддержки и стимулирования роста предприятий в данной отрасли применяются различные инструменты финансового стимулирования. В данном разделе рассматриваются основные инструменты, используемые для финансового стимулирования в IT-секторе, их особенности и эффективность в достижении поставленных целей.</w:t>
      </w:r>
    </w:p>
    <w:p w14:paraId="06E296DE" w14:textId="77777777"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Налоговые льготы являются одним из наиболее распространенных инструментов финансового стимулирования в IT-секторе. Они включают снижение налоговой нагрузки на предприятия, освобождение от определенных налоговых обязательств или установление более благоприятных налоговых ставок. Налоговые льготы позволяют предприятиям снизить издержки и инвестировать освобожденные средства в исследования, разработку и инновации.</w:t>
      </w:r>
    </w:p>
    <w:p w14:paraId="4E780763" w14:textId="2B2F63E9"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Налоговые льготы представляют собой особые условия, при которых предприятия IT-сектора освобождаются от уплаты определенных налогов или получают существенное снижение налоговой ставки. Такие льготы позволяют снизить финансовую нагрузку на предприятия и направить эти средства на инновационные проекты, исследования и разработки. Налоговые льготы могут включать:</w:t>
      </w:r>
    </w:p>
    <w:p w14:paraId="03C4D531" w14:textId="71FE47DC"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Снижение налоговой ставки по налогу на прибыль: государство может устанавливать специальные налоговые ставки для предприятий IT-сектора, которые ниже общих налоговых ставок. Это стимулирует инвестиции и создание новых рабочих мест в отрасли.</w:t>
      </w:r>
    </w:p>
    <w:p w14:paraId="1C607662" w14:textId="4317B689"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Освобождение от уплаты определенных налогов: предприятия IT-сектора могут быть освобождены от уплаты определенных налогов, таких как налог на имущество или налог на землю. Это снижает операционные расходы и позволяет предприятиям распределить финансовые ресурсы на другие важные цели.</w:t>
      </w:r>
    </w:p>
    <w:p w14:paraId="349F728A" w14:textId="58668EF2"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Установление специальных налоговых режимов: государство может вводить специальные налоговые режимы для предприятий IT-сектора, которые предусматривают более гибкие условия уплаты налогов. Например, может быть установлен упрощенный порядок бухгалтерского учета или специальные правила по расчету налогов</w:t>
      </w:r>
      <w:r w:rsidR="007D6F03" w:rsidRPr="009560D1">
        <w:rPr>
          <w:rStyle w:val="a6"/>
          <w:rFonts w:ascii="Times New Roman" w:hAnsi="Times New Roman" w:cs="Times New Roman"/>
          <w:sz w:val="28"/>
          <w:szCs w:val="28"/>
          <w:lang w:val="ru-RU"/>
        </w:rPr>
        <w:footnoteReference w:id="2"/>
      </w:r>
      <w:r w:rsidRPr="009560D1">
        <w:rPr>
          <w:rFonts w:ascii="Times New Roman" w:hAnsi="Times New Roman" w:cs="Times New Roman"/>
          <w:sz w:val="28"/>
          <w:szCs w:val="28"/>
          <w:lang w:val="ru-RU"/>
        </w:rPr>
        <w:t>.</w:t>
      </w:r>
    </w:p>
    <w:p w14:paraId="32816926" w14:textId="404A293B"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Гранты и субсидии являются важными инструментами финансового стимулирования в IT-секторе. Они предоставляются предприятиям для поддержки конкретных проектов, исследований, инноваций или разработок. </w:t>
      </w:r>
      <w:r w:rsidR="00613546" w:rsidRPr="009560D1">
        <w:rPr>
          <w:rFonts w:ascii="Times New Roman" w:hAnsi="Times New Roman" w:cs="Times New Roman"/>
          <w:sz w:val="28"/>
          <w:szCs w:val="28"/>
          <w:lang w:val="ru-RU"/>
        </w:rPr>
        <w:t xml:space="preserve">Они могут быть направлены на финансирование исследований, разработку новых продуктов или услуг, обучение персонала, создание инновационных центров и технологических парков. Субсидии могут предоставляться как государственными органами, так и частными фондами и организациями, </w:t>
      </w:r>
      <w:r w:rsidR="00613546" w:rsidRPr="009560D1">
        <w:rPr>
          <w:rFonts w:ascii="Times New Roman" w:hAnsi="Times New Roman" w:cs="Times New Roman"/>
          <w:sz w:val="28"/>
          <w:szCs w:val="28"/>
          <w:lang w:val="ru-RU"/>
        </w:rPr>
        <w:lastRenderedPageBreak/>
        <w:t xml:space="preserve">заинтересованными в развитии IT-сектора. </w:t>
      </w:r>
      <w:r w:rsidRPr="009560D1">
        <w:rPr>
          <w:rFonts w:ascii="Times New Roman" w:hAnsi="Times New Roman" w:cs="Times New Roman"/>
          <w:sz w:val="28"/>
          <w:szCs w:val="28"/>
          <w:lang w:val="ru-RU"/>
        </w:rPr>
        <w:t>Гранты и субсидии позволяют предприятиям получить дополнительные финансовые ресурсы для реализации своих идей и повышения конкурентоспособности на рынке.</w:t>
      </w:r>
    </w:p>
    <w:p w14:paraId="75823F94" w14:textId="5418A1EF" w:rsidR="0061571C" w:rsidRPr="009560D1" w:rsidRDefault="0061571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Инвестиции и венчурный капитал играют значительную роль в финансовом стимулировании предприятий IT-сектора. Инвесторы, в том числе венчурные фонды, вкладывают средства в перспективные проекты и стартапы, предоставляя финансовую поддержку на ранних стадиях развития предприятий. Это способствует стимулированию инноваций, развитию новых технологий и созданию новых рабочих мест</w:t>
      </w:r>
      <w:r w:rsidR="007D6F03" w:rsidRPr="009560D1">
        <w:rPr>
          <w:rStyle w:val="a6"/>
          <w:rFonts w:ascii="Times New Roman" w:hAnsi="Times New Roman" w:cs="Times New Roman"/>
          <w:sz w:val="28"/>
          <w:szCs w:val="28"/>
          <w:lang w:val="ru-RU"/>
        </w:rPr>
        <w:footnoteReference w:id="3"/>
      </w:r>
      <w:r w:rsidRPr="009560D1">
        <w:rPr>
          <w:rFonts w:ascii="Times New Roman" w:hAnsi="Times New Roman" w:cs="Times New Roman"/>
          <w:sz w:val="28"/>
          <w:szCs w:val="28"/>
          <w:lang w:val="ru-RU"/>
        </w:rPr>
        <w:t>.</w:t>
      </w:r>
    </w:p>
    <w:p w14:paraId="78CF8EDA" w14:textId="3745D46A"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Применение инструментов финансового стимулирования в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секторе или в любом другом имеет свои преимущества и недостатки. Среди преимуществ нужно отметить следующее:</w:t>
      </w:r>
    </w:p>
    <w:p w14:paraId="57318EDB" w14:textId="4EFF3D17"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Поддержка инноваций: Финансовое стимулирование способствует стимулированию инноваций в IT-секторе. Предоставление налоговых льгот, субсидий и грантов позволяет предприятиям вкладывать средства в исследования и разработки новых технологий, что способствует технологическому прогрессу и усилению конкурентоспособности отрасли.</w:t>
      </w:r>
    </w:p>
    <w:p w14:paraId="54BAB0B5" w14:textId="6ABCCBC1"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Привлечение инвестиций: Использование инструментов финансового стимулирования помогает привлечь инвестиции в IT-сектор. Налоговые льготы и инвестиционные программы способствуют привлечению как внутренних, так и иностранных инвесторов, что способствует развитию предприятий и созданию новых рабочих мест.</w:t>
      </w:r>
    </w:p>
    <w:p w14:paraId="54CFB29E" w14:textId="2995447B"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Развитие экосистемы: Финансовое стимулирование в IT-секторе способствует развитию экосистемы, включающей предприятия, стартапы, инвесторов, акселераторы и инкубаторы. Это создает благоприятную среду для обмена знаниями, опытом и ресурсами, что способствует развитию инноваций и коллаборации между участниками отрасли.</w:t>
      </w:r>
    </w:p>
    <w:p w14:paraId="2F833321" w14:textId="270CD9A2"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Устойчивый рост: Инструменты финансового стимулирования позволяют обеспечить устойчивый рост предприятий в IT-секторе. Субсидии, гранты и налоговые льготы помогают предприятиям преодолеть финансовые ограничения, снизить риски и обеспечить долгосрочное развитие отрасли.</w:t>
      </w:r>
    </w:p>
    <w:p w14:paraId="047072D7" w14:textId="1E5FD0BB"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Стоит отметить также и недостатки, возникающий в процессе использования инструментов финансового стимулирования в конкретной отрасли. Среди недостатков можно отметить:</w:t>
      </w:r>
    </w:p>
    <w:p w14:paraId="34F9915D" w14:textId="77777777" w:rsidR="00613546" w:rsidRPr="009560D1" w:rsidRDefault="0061354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Применение инструментов стимулирования может сопровождаться долгими и сложными бюрократическими процессами, особенно это болезненно для небольших компаний или стартапов, которые физически не могут привлечь лишние средства для получения льгот.</w:t>
      </w:r>
    </w:p>
    <w:p w14:paraId="4BC04074" w14:textId="0CF4ED64" w:rsidR="00613546" w:rsidRPr="009560D1" w:rsidRDefault="007B400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Применение инструментов финансового стимулирования может привести к неравномерному распределению ресурсов и возникновению разрывов между крупными и малыми предприятиями. Более крупные и устоявшиеся предприятия могут иметь больше возможностей получить финансовую поддержку, в то время как малые стартапы и молодые компании могут оказаться в невыгодном положении.</w:t>
      </w:r>
    </w:p>
    <w:p w14:paraId="6438E476" w14:textId="2687D570" w:rsidR="007B400F" w:rsidRPr="009560D1" w:rsidRDefault="007B400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Использование финансового стимулирования может создать зависимость предприятий от государственной или внешней финансовой поддержки. Это может ослабить самостоятельность и финансовую устойчивость предприятий, особенно если поддержка отзывается или ограничивается в будущем.</w:t>
      </w:r>
    </w:p>
    <w:p w14:paraId="4B5A2BEF" w14:textId="5A94F4B8" w:rsidR="007B400F" w:rsidRPr="009560D1" w:rsidRDefault="007B400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целом можно отметить, что применение инструментов финансового стимулирования все же имеет более весомые преимущества, чем недостатки. В итоге, целью является развитие отрасли, что и достигается путем применения данных инструментов.</w:t>
      </w:r>
    </w:p>
    <w:p w14:paraId="4A9EB0F4" w14:textId="070FE0FD" w:rsidR="007B400F" w:rsidRPr="009560D1" w:rsidRDefault="007B400F" w:rsidP="009560D1">
      <w:pPr>
        <w:spacing w:line="360" w:lineRule="auto"/>
        <w:ind w:firstLine="851"/>
        <w:jc w:val="both"/>
        <w:rPr>
          <w:rFonts w:ascii="Times New Roman" w:hAnsi="Times New Roman" w:cs="Times New Roman"/>
          <w:sz w:val="28"/>
          <w:szCs w:val="28"/>
          <w:lang w:val="en-US"/>
        </w:rPr>
      </w:pPr>
      <w:r w:rsidRPr="009560D1">
        <w:rPr>
          <w:rFonts w:ascii="Times New Roman" w:hAnsi="Times New Roman" w:cs="Times New Roman"/>
          <w:sz w:val="28"/>
          <w:szCs w:val="28"/>
          <w:lang w:val="ru-RU"/>
        </w:rPr>
        <w:t xml:space="preserve">В заключение, инструменты финансового стимулирования, такие как налоговые льготы и субсидии, играют важную роль в развитии IT-сектора. Они способствуют привлечению инвестиций, поддержке инноваций, созданию благоприятной экосистемы и обеспечению устойчивого роста </w:t>
      </w:r>
      <w:r w:rsidRPr="009560D1">
        <w:rPr>
          <w:rFonts w:ascii="Times New Roman" w:hAnsi="Times New Roman" w:cs="Times New Roman"/>
          <w:sz w:val="28"/>
          <w:szCs w:val="28"/>
          <w:lang w:val="ru-RU"/>
        </w:rPr>
        <w:lastRenderedPageBreak/>
        <w:t>предприятий. Налоговые льготы снижают налоговую нагрузку на предприятия и позволяют им направить средства на исследования и разработки. Субсидии предоставляют финансовую поддержку для реализации конкретных проектов и стимулируют инновационную деятельность. Однако, необходимо учитывать и некоторые недостатки, такие как бюрократические процессы, риски злоупотребления, неравномерное распределение и финансовая зависимость.</w:t>
      </w:r>
    </w:p>
    <w:p w14:paraId="6F7164E3" w14:textId="2E5DB694" w:rsidR="00FC6A34" w:rsidRPr="009560D1" w:rsidRDefault="007B400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целом, эти инструменты являются эффективным средством поддержки предприятий IT-сектора, способствующим их росту и развитию. Однако, необходимо стремиться к сбалансированному подходу, который учитывает интересы различных участников отрасли и обеспечивает эффективное использование финансовых ресурсов. Правильное применение инструментов финансового стимулирования позволит создать благоприятную среду для инноваций, конкурентоспособности и устойчивого роста IT-предприятий.</w:t>
      </w:r>
    </w:p>
    <w:p w14:paraId="129B55C7" w14:textId="77777777" w:rsidR="009560D1" w:rsidRPr="009560D1" w:rsidRDefault="009560D1" w:rsidP="009560D1">
      <w:pPr>
        <w:spacing w:line="360" w:lineRule="auto"/>
        <w:ind w:firstLine="851"/>
        <w:jc w:val="both"/>
        <w:rPr>
          <w:rFonts w:ascii="Times New Roman" w:hAnsi="Times New Roman" w:cs="Times New Roman"/>
          <w:sz w:val="28"/>
          <w:szCs w:val="28"/>
          <w:lang w:val="ru-RU"/>
        </w:rPr>
      </w:pPr>
    </w:p>
    <w:p w14:paraId="0A218543" w14:textId="5EFF946A" w:rsidR="00FC6A34" w:rsidRPr="009560D1" w:rsidRDefault="009560D1" w:rsidP="009560D1">
      <w:pPr>
        <w:pStyle w:val="2"/>
        <w:numPr>
          <w:ilvl w:val="1"/>
          <w:numId w:val="14"/>
        </w:numPr>
        <w:spacing w:before="0"/>
        <w:jc w:val="both"/>
        <w:rPr>
          <w:rFonts w:cs="Times New Roman"/>
          <w:szCs w:val="28"/>
          <w:lang w:val="ru-RU"/>
        </w:rPr>
      </w:pPr>
      <w:r w:rsidRPr="009560D1">
        <w:rPr>
          <w:rFonts w:cs="Times New Roman"/>
          <w:szCs w:val="28"/>
          <w:lang w:val="en-US"/>
        </w:rPr>
        <w:t xml:space="preserve"> </w:t>
      </w:r>
      <w:bookmarkStart w:id="4" w:name="_Toc138357327"/>
      <w:r w:rsidR="00FC6A34" w:rsidRPr="009560D1">
        <w:rPr>
          <w:rFonts w:cs="Times New Roman"/>
          <w:szCs w:val="28"/>
          <w:lang w:val="ru-RU"/>
        </w:rPr>
        <w:t>Инструменты финансового стимулирования предприятий IT-сектора.</w:t>
      </w:r>
      <w:bookmarkEnd w:id="4"/>
    </w:p>
    <w:p w14:paraId="7E7040F8" w14:textId="77777777" w:rsidR="009560D1" w:rsidRPr="009560D1" w:rsidRDefault="009560D1" w:rsidP="009560D1">
      <w:pPr>
        <w:rPr>
          <w:rFonts w:ascii="Times New Roman" w:hAnsi="Times New Roman" w:cs="Times New Roman"/>
          <w:sz w:val="28"/>
          <w:szCs w:val="28"/>
          <w:lang w:val="ru-RU"/>
        </w:rPr>
      </w:pPr>
    </w:p>
    <w:p w14:paraId="083F2FF1" w14:textId="66879630"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Инструменты финансового стимулирования предприятий IT-сектора являются эффективным средством, способствующим развитию и росту компаний в данной отрасли. В условиях быстрого технологического развития и постоянных инноваций, финансовая поддержка играет важную роль в повышении конкурентоспособности и стимулировании инвестиций в IT-предприятия.</w:t>
      </w:r>
    </w:p>
    <w:p w14:paraId="6E2C8F09" w14:textId="4E86E63E"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Одним из основных инструментов финансового стимулирования являются налоговые льготы. Этот инструмент предоставляет IT-предприятиям возможность снизить налоговую нагрузку и направить освободившиеся средства на инновационные проекты, исследования и разработки новых технологий. Налоговые льготы могут включать освобождение от уплаты налога на прибыль, снижение ставки налога или установление особых налоговых режимов для IT-предприятий. Такие меры способствуют </w:t>
      </w:r>
      <w:r w:rsidRPr="009560D1">
        <w:rPr>
          <w:rFonts w:ascii="Times New Roman" w:hAnsi="Times New Roman" w:cs="Times New Roman"/>
          <w:sz w:val="28"/>
          <w:szCs w:val="28"/>
          <w:lang w:val="ru-RU"/>
        </w:rPr>
        <w:lastRenderedPageBreak/>
        <w:t>привлечению инвесторов, стимулируют инновационную активность и способствуют созданию благоприятной экосистемы для развития IT-сектора</w:t>
      </w:r>
      <w:r w:rsidR="00576148" w:rsidRPr="009560D1">
        <w:rPr>
          <w:rStyle w:val="a6"/>
          <w:rFonts w:ascii="Times New Roman" w:hAnsi="Times New Roman" w:cs="Times New Roman"/>
          <w:sz w:val="28"/>
          <w:szCs w:val="28"/>
          <w:lang w:val="ru-RU"/>
        </w:rPr>
        <w:footnoteReference w:id="4"/>
      </w:r>
      <w:r w:rsidRPr="009560D1">
        <w:rPr>
          <w:rFonts w:ascii="Times New Roman" w:hAnsi="Times New Roman" w:cs="Times New Roman"/>
          <w:sz w:val="28"/>
          <w:szCs w:val="28"/>
          <w:lang w:val="ru-RU"/>
        </w:rPr>
        <w:t>.</w:t>
      </w:r>
    </w:p>
    <w:p w14:paraId="2F02F1E8" w14:textId="2F5392D0"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Среди налоговых послаблений в мировой практике используются методы, позволяющий снизить налоговую нагрузку на компанию и обеспечить условия для стабильного роста. Одним из вариантов может быть освобождение от уплаты налога на добавленную стоимость или снижение его ставки. Это предполагает уменьшения налога на проданную продукцию, в результате чего появляются свободные денежные средства, которые могут пойти на развитие новых отраслей или может привести к снижению стоимости конечной продукции, что благоприятно влияет на конкурентоспособность предприятия.</w:t>
      </w:r>
    </w:p>
    <w:p w14:paraId="48F859DA" w14:textId="404D9872"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Еще одним возможным вариантом, является снижения налога на прибыль. В конечном результате все налоговые меры предполагают снижение дополнительных отчислений и высвобождению средств, что, как упоминалось ранее может привести к развитию новых направлений, ускорений в инновации существующих проектов или просто повышению конкурентоспособности предприятия.</w:t>
      </w:r>
    </w:p>
    <w:p w14:paraId="0764BF21" w14:textId="1D0A2D36"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итоге можно сказать, что все налоговые меры призваны освободить дополнительные деньги для предприятия, повысить рентабельность бизнеса, что является важнейшим показателем, особенно на начальных этапах развития. Снижение налогового бремени позволяет инвестировать свободные средства в разработку, маркетинг или другие направления, которые способны принести прибыль в дальнейшем.</w:t>
      </w:r>
    </w:p>
    <w:p w14:paraId="26CD1EB5" w14:textId="71F47AC7"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Еще одним важным инструментом финансового стимулирования являются субсидии. Субсидии представляют собой финансовую поддержку, которая предоставляется IT-предприятиям для реализации конкретных проектов или программ. Эти средства могут использоваться на финансирование исследований и разработок, обучение персонала, создание </w:t>
      </w:r>
      <w:r w:rsidRPr="009560D1">
        <w:rPr>
          <w:rFonts w:ascii="Times New Roman" w:hAnsi="Times New Roman" w:cs="Times New Roman"/>
          <w:sz w:val="28"/>
          <w:szCs w:val="28"/>
          <w:lang w:val="ru-RU"/>
        </w:rPr>
        <w:lastRenderedPageBreak/>
        <w:t>инновационных центров или технологических парков. Субсидии могут быть предоставлены как государственными органами, так и частными фондами и организациями, заинтересованными в развитии IT-сектора. Такие субсидии способствуют ускоренному внедрению инноваций, развитию новых продуктов и услуг, а также повышению квалификации персонала.</w:t>
      </w:r>
    </w:p>
    <w:p w14:paraId="131BBD18" w14:textId="16399464"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Разработка нового продукта или освоение новой технологии — это всегда затратный процесс с финансовой точки зрения. Субсидии или льготные кредиты на научно-исследовательскую или инновационную деятельность призваны решить эту проблему. Такой подход помогает развивать новые технологии и продукты, требующих высоких затрат на конструкторском уровне.</w:t>
      </w:r>
    </w:p>
    <w:p w14:paraId="2EE22F8F" w14:textId="39FE6C29" w:rsidR="003D3802" w:rsidRPr="009560D1" w:rsidRDefault="003D380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Еще одним инструментом финансового стимулирования являются гранты. Гранты представляют собой финансовую поддержку, предоставляемую IT-предприятиям для проведения исследований, разработок и инновационных проектов. Гранты могут быть предоставлены как государственными органами, так и частными фондами или программами. Получение гранта позволяет предприятию получить значительные средства для реализации своих идей и инноваций, а также повысить свою видимость и привлекательность для потенциальных инвесторов.</w:t>
      </w:r>
    </w:p>
    <w:p w14:paraId="10B4394E" w14:textId="78E39306"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Гранты являются одним из важных инструментов финансового стимулирования в области IT-технологий. Они представляют собой финансовую поддержку, предоставляемую государством, частными фондами или организациями для развития исследовательских проектов, инноваций, создания новых продуктов или услуг в сфере информационных технологий.</w:t>
      </w:r>
    </w:p>
    <w:p w14:paraId="42DA060C" w14:textId="7A1631DB"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Гранты в области IT-технологий могут быть предоставлены как индивидуальным исследователям, так и предприятиям, которые занимаются разработкой и внедрением новых технологий. Эти гранты могут быть конкурсными, где предприятия или исследователи представляют свои проекты и конкурируют за получение финансирования, или могут быть </w:t>
      </w:r>
      <w:r w:rsidRPr="009560D1">
        <w:rPr>
          <w:rFonts w:ascii="Times New Roman" w:hAnsi="Times New Roman" w:cs="Times New Roman"/>
          <w:sz w:val="28"/>
          <w:szCs w:val="28"/>
          <w:lang w:val="ru-RU"/>
        </w:rPr>
        <w:lastRenderedPageBreak/>
        <w:t>предоставлены на основе приоритетных направлений развития IT-отрасли, определенных государственными или частными организациями.</w:t>
      </w:r>
    </w:p>
    <w:p w14:paraId="09627D4F" w14:textId="40839B04"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Одним из главных преимуществ грантов в области IT-технологий является их финансовая поддержка для исследований и разработок. Гранты позволяют предприятиям и исследователям финансировать свои проекты, проводить научные исследования, привлекать специалистов и обеспечивать необходимые ресурсы для достижения инноваций в IT-секторе.</w:t>
      </w:r>
    </w:p>
    <w:p w14:paraId="6C98B3BA" w14:textId="13DEB70E"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Кроме того, гранты могут способствовать созданию благоприятной среды для сотрудничества и обмена знаниями в IT-отрасли. Часто гранты предоставляются с условием сотрудничества между предприятиями, академическими учреждениями и другими организациями, что способствует развитию совместных исследований и инноваций.</w:t>
      </w:r>
    </w:p>
    <w:p w14:paraId="1637968B" w14:textId="585AF0C6"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Однако получение грантов в области IT-технологий также имеет свои недостатки и сложности. </w:t>
      </w:r>
      <w:proofErr w:type="spellStart"/>
      <w:r w:rsidRPr="009560D1">
        <w:rPr>
          <w:rFonts w:ascii="Times New Roman" w:hAnsi="Times New Roman" w:cs="Times New Roman"/>
          <w:sz w:val="28"/>
          <w:szCs w:val="28"/>
          <w:lang w:val="ru-RU"/>
        </w:rPr>
        <w:t>Конкурсность</w:t>
      </w:r>
      <w:proofErr w:type="spellEnd"/>
      <w:r w:rsidRPr="009560D1">
        <w:rPr>
          <w:rFonts w:ascii="Times New Roman" w:hAnsi="Times New Roman" w:cs="Times New Roman"/>
          <w:sz w:val="28"/>
          <w:szCs w:val="28"/>
          <w:lang w:val="ru-RU"/>
        </w:rPr>
        <w:t xml:space="preserve"> процесса может привести к высокой степени конкуренции и ограниченности доступных финансовых ресурсов. Кроме того, процедура подачи заявок на гранты может быть сложной и требовать значительных временных и административных усилий.</w:t>
      </w:r>
    </w:p>
    <w:p w14:paraId="36C05EC5" w14:textId="6D970D63"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целом, гранты в области IT-технологий являются важным инструментом финансового стимулирования, который способствует инновационному развитию и росту IT-сектора. Они обеспечивают финансовую поддержку для исследований и разработок, создают условия для сотрудничества и способствуют привлечению талантливых специалистов. Однако, необходимо учитывать сложности и ограничения, связанные с процессом получения грантов, и разрабатывать эффективные механизмы для распределения ресурсов и поддержки инноваций в IT-секторе.</w:t>
      </w:r>
    </w:p>
    <w:p w14:paraId="3816166E" w14:textId="3B1882F2"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Важнейшим источником привлечения средств в предприятия являются кредиты. В области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компаний существует ряд специфических моментов, которые характеризуют привлечение заемных средств.</w:t>
      </w:r>
    </w:p>
    <w:p w14:paraId="2B9BA564" w14:textId="66CFEFB1"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Одним из основных инструментов кредитования в IT-секторе является предоставление корпоративных кредитов. Предприятиям IT-сектора могут </w:t>
      </w:r>
      <w:r w:rsidRPr="009560D1">
        <w:rPr>
          <w:rFonts w:ascii="Times New Roman" w:hAnsi="Times New Roman" w:cs="Times New Roman"/>
          <w:sz w:val="28"/>
          <w:szCs w:val="28"/>
          <w:lang w:val="ru-RU"/>
        </w:rPr>
        <w:lastRenderedPageBreak/>
        <w:t>быть предложены кредиты с целью финансирования проектов, приобретения оборудования и программного обеспечения, расширения производственных мощностей или проведения исследований и разработок. Корпоративные кредиты предоставляются финансовыми учреждениями на основе оценки кредитоспособности предприятия и согласованных условий займа, таких как сумма, процентная ставка, срок погашения и гарантии.</w:t>
      </w:r>
    </w:p>
    <w:p w14:paraId="52EBDCFB" w14:textId="607ADC0D"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Кредиты могут иметь ряд преимуществ для предприятий IT-сектора. Во-первых, они позволяют предприятиям получить необходимые средства без необходимости привлечения дополнительных инвесторов или продажи акций. Это помогает предприятиям сохранить контроль над своей долей в бизнесе. Во-вторых, кредиты предоставляют гибкость в использовании средств и позволяют предприятиям реализовывать свои планы развития без ограничений, которые могут сопутствовать другим формам финансирования. Кроме того, процентные платежи по кредитам обычно могут быть учтены в налоговом учете как расходы, что снижает налоговую нагрузку предприятий.</w:t>
      </w:r>
    </w:p>
    <w:p w14:paraId="59529E3D" w14:textId="522B4174"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Однако, кредитование в IT-секторе также сопряжено с определенными рисками и ограничениями. Предприятиям может быть сложно получить кредиты, особенно если они являются стартапами или малыми компаниями без устоявшейся финансовой истории. Банки и финансовые учреждения могут требовать обеспечение, такое как залоги или гарантии, что также может быть вызовом для предприятий IT-сектора. Кроме того, высокие процентные ставки и платежи по кредитам могут оказать негативное воздействие на финансовое положение предприятий.</w:t>
      </w:r>
    </w:p>
    <w:p w14:paraId="3CB19297" w14:textId="6458C18D"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Помимо корпоративных кредитов, в области IT-технологий применяются и другие заемные инструменты, такие как облигации, венчурное капиталовложение и кредиты на исследования и разработки. Облигации представляют собой ценные бумаги, которые компании IT-сектора могут выпускать для привлечения долгосрочного финансирования. Венчурное капиталовложение, в свою очередь, предоставляет финансирование от инвесторов, которые вкладывают свои средства в перспективные проекты в </w:t>
      </w:r>
      <w:r w:rsidRPr="009560D1">
        <w:rPr>
          <w:rFonts w:ascii="Times New Roman" w:hAnsi="Times New Roman" w:cs="Times New Roman"/>
          <w:sz w:val="28"/>
          <w:szCs w:val="28"/>
          <w:lang w:val="ru-RU"/>
        </w:rPr>
        <w:lastRenderedPageBreak/>
        <w:t>обмен на долю в компании. Кредиты на исследования и разработки предоставляются для финансирования инновационных исследовательских проектов в IT-секторе.</w:t>
      </w:r>
    </w:p>
    <w:p w14:paraId="34DF6D29" w14:textId="035173B1"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Каждый из этих заемных инструментов имеет свои особенности, преимущества и недостатки. Облигации и венчурное капиталовложение, например, могут быть более сложными и требовать большего участия инвесторов, однако они могут предоставить более крупные суммы финансирования для предприятий. Кредиты на исследования и разработки, с другой стороны, могут быть более специализированными и доступными для компаний, занимающихся инновационными проектами.</w:t>
      </w:r>
    </w:p>
    <w:p w14:paraId="3469E08A" w14:textId="77777777"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целом, инструменты финансового стимулирования являются важным элементом поддержки и развития IT-сектора. Налоговые льготы, субсидии и гранты предоставляют предприятиям дополнительные ресурсы и возможности для инноваций и роста. Однако, эти инструменты должны использоваться со сбалансированным подходом и учитывать интересы всех участников отрасли, чтобы обеспечить устойчивое развитие и процветание IT-предприятий.</w:t>
      </w:r>
    </w:p>
    <w:p w14:paraId="419023E8" w14:textId="4EF47C0C" w:rsidR="008E2091" w:rsidRPr="009560D1" w:rsidRDefault="008E209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Подводя итог, можно сказать, что существует множество финансовых инструментов, которые позволяют получать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компаниям большие преимущества.</w:t>
      </w:r>
      <w:r w:rsidR="00FF11DC" w:rsidRPr="009560D1">
        <w:rPr>
          <w:rFonts w:ascii="Times New Roman" w:hAnsi="Times New Roman" w:cs="Times New Roman"/>
          <w:sz w:val="28"/>
          <w:szCs w:val="28"/>
          <w:lang w:val="ru-RU"/>
        </w:rPr>
        <w:t xml:space="preserve"> Основными инструментами, способными повысить возможность </w:t>
      </w:r>
      <w:r w:rsidR="00FF11DC" w:rsidRPr="009560D1">
        <w:rPr>
          <w:rFonts w:ascii="Times New Roman" w:hAnsi="Times New Roman" w:cs="Times New Roman"/>
          <w:sz w:val="28"/>
          <w:szCs w:val="28"/>
          <w:lang w:val="en-US"/>
        </w:rPr>
        <w:t>IT-</w:t>
      </w:r>
      <w:r w:rsidR="00FF11DC" w:rsidRPr="009560D1">
        <w:rPr>
          <w:rFonts w:ascii="Times New Roman" w:hAnsi="Times New Roman" w:cs="Times New Roman"/>
          <w:sz w:val="28"/>
          <w:szCs w:val="28"/>
          <w:lang w:val="ru-RU"/>
        </w:rPr>
        <w:t>компаний к росту и развитию, являются налоговые льготы, субсидии и гранты, которые могут обеспечиваться как государством, так и другими заинтересованными лицами.</w:t>
      </w:r>
    </w:p>
    <w:p w14:paraId="068EEEC0" w14:textId="3A8A2CA2" w:rsidR="008E2091" w:rsidRPr="009560D1" w:rsidRDefault="00FF11D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Льготное кредитование и субсидирование научно-инновационной деятельности является также важнейшим источников финансирования и развития технологий. Кредитование имеет ряд преимуществ для предприятий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сектора. Они позволяют получить дополнительное финансирование без необходимости привлечения дополнительных инвесторов или продажи акций. Также они позволяют гибко использовать полученные денежные средства.</w:t>
      </w:r>
    </w:p>
    <w:p w14:paraId="454E7BA4" w14:textId="1F79229F" w:rsidR="00FF11DC" w:rsidRPr="009560D1" w:rsidRDefault="00FF11D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Однако существуют определенные риски и ограничения. Так, например, достаточно сложно получить кредит, если компания является стартапом или малым предприятием. Банки и финансовые учреждения могут требовать обеспечение, такое как залоги или гарантии, что также может быть вызовом для предприятий IT-сектора.</w:t>
      </w:r>
    </w:p>
    <w:p w14:paraId="4FF79D8E" w14:textId="1D0BF447" w:rsidR="00FF11DC" w:rsidRPr="009560D1" w:rsidRDefault="00FF11D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Помимо корпоративных кредитов, в области IT-технологий применяются и другие заемные инструменты, такие как облигации, венчурное капиталовложение и кредиты на исследования и разработки. Каждый из этих заемных инструментов имеет свои особенности, преимущества и недостатки. Облигации и венчурное капиталовложение, например, могут быть более сложными и требовать большего участия инвесторов, однако они могут предоставить более крупные суммы финансирования для предприятий. Кредиты на исследования и разработки, с другой стороны, могут быть более специализированными и доступными для компаний, занимающихся инновационными проектами.</w:t>
      </w:r>
    </w:p>
    <w:p w14:paraId="192D1EC8" w14:textId="11DD4E5A" w:rsidR="006D52D5" w:rsidRPr="009560D1" w:rsidRDefault="00FF11DC"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общем и целом, простор для развития инструментов финансирования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проектов, от больших корпораций до крошечных стартапов достаточно большой.</w:t>
      </w:r>
      <w:r w:rsidR="00940DA3" w:rsidRPr="009560D1">
        <w:rPr>
          <w:rFonts w:ascii="Times New Roman" w:hAnsi="Times New Roman" w:cs="Times New Roman"/>
          <w:sz w:val="28"/>
          <w:szCs w:val="28"/>
          <w:lang w:val="ru-RU"/>
        </w:rPr>
        <w:t xml:space="preserve"> В таком случае возникает вопрос, как повысить эффективность вложенного капитала, увеличить возможности его привлечения и обеспечить широкий простор для развития </w:t>
      </w:r>
      <w:r w:rsidR="00940DA3" w:rsidRPr="009560D1">
        <w:rPr>
          <w:rFonts w:ascii="Times New Roman" w:hAnsi="Times New Roman" w:cs="Times New Roman"/>
          <w:sz w:val="28"/>
          <w:szCs w:val="28"/>
          <w:lang w:val="en-US"/>
        </w:rPr>
        <w:t>IT-</w:t>
      </w:r>
      <w:r w:rsidR="00940DA3" w:rsidRPr="009560D1">
        <w:rPr>
          <w:rFonts w:ascii="Times New Roman" w:hAnsi="Times New Roman" w:cs="Times New Roman"/>
          <w:sz w:val="28"/>
          <w:szCs w:val="28"/>
          <w:lang w:val="ru-RU"/>
        </w:rPr>
        <w:t>компаний в России. Некоторые практики, примененные в последнее время в этой области, будут рассмотрены во второй главе.</w:t>
      </w:r>
    </w:p>
    <w:p w14:paraId="72139CB9" w14:textId="77777777"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br w:type="page"/>
      </w:r>
    </w:p>
    <w:p w14:paraId="4452F8E0" w14:textId="4B514661" w:rsidR="006D52D5" w:rsidRPr="009560D1" w:rsidRDefault="006D52D5" w:rsidP="009560D1">
      <w:pPr>
        <w:pStyle w:val="1"/>
        <w:numPr>
          <w:ilvl w:val="0"/>
          <w:numId w:val="14"/>
        </w:numPr>
        <w:spacing w:before="0" w:line="360" w:lineRule="auto"/>
        <w:ind w:left="0" w:firstLine="851"/>
        <w:jc w:val="both"/>
        <w:rPr>
          <w:rFonts w:cs="Times New Roman"/>
          <w:szCs w:val="28"/>
          <w:lang w:val="ru-RU"/>
        </w:rPr>
      </w:pPr>
      <w:bookmarkStart w:id="5" w:name="_Toc138357328"/>
      <w:r w:rsidRPr="009560D1">
        <w:rPr>
          <w:rFonts w:cs="Times New Roman"/>
          <w:szCs w:val="28"/>
          <w:lang w:val="ru-RU"/>
        </w:rPr>
        <w:lastRenderedPageBreak/>
        <w:t>Опыт применения инструментов финансового стимулирования в IT-секторе.</w:t>
      </w:r>
      <w:bookmarkEnd w:id="5"/>
    </w:p>
    <w:p w14:paraId="6DBA6CF9" w14:textId="77777777" w:rsidR="009560D1" w:rsidRPr="009560D1" w:rsidRDefault="009560D1" w:rsidP="009560D1">
      <w:pPr>
        <w:rPr>
          <w:rFonts w:ascii="Times New Roman" w:hAnsi="Times New Roman" w:cs="Times New Roman"/>
          <w:sz w:val="28"/>
          <w:szCs w:val="28"/>
          <w:lang w:val="ru-RU"/>
        </w:rPr>
      </w:pPr>
    </w:p>
    <w:p w14:paraId="07819928" w14:textId="6F1E26B3" w:rsidR="00FF11DC" w:rsidRPr="009560D1" w:rsidRDefault="006D52D5" w:rsidP="009560D1">
      <w:pPr>
        <w:pStyle w:val="2"/>
        <w:numPr>
          <w:ilvl w:val="1"/>
          <w:numId w:val="14"/>
        </w:numPr>
        <w:spacing w:before="0" w:line="360" w:lineRule="auto"/>
        <w:ind w:left="0" w:firstLine="851"/>
        <w:jc w:val="both"/>
        <w:rPr>
          <w:rFonts w:cs="Times New Roman"/>
          <w:szCs w:val="28"/>
          <w:lang w:val="ru-RU"/>
        </w:rPr>
      </w:pPr>
      <w:bookmarkStart w:id="6" w:name="_Toc138357329"/>
      <w:r w:rsidRPr="009560D1">
        <w:rPr>
          <w:rFonts w:cs="Times New Roman"/>
          <w:szCs w:val="28"/>
          <w:lang w:val="ru-RU"/>
        </w:rPr>
        <w:t>Анализ и оценка эффективности использования налоговых льгот и преференций в IT-секторе.</w:t>
      </w:r>
      <w:bookmarkEnd w:id="6"/>
    </w:p>
    <w:p w14:paraId="4EBEBFDE" w14:textId="77777777" w:rsidR="009560D1" w:rsidRPr="009560D1" w:rsidRDefault="009560D1" w:rsidP="009560D1">
      <w:pPr>
        <w:rPr>
          <w:rFonts w:ascii="Times New Roman" w:hAnsi="Times New Roman" w:cs="Times New Roman"/>
          <w:sz w:val="28"/>
          <w:szCs w:val="28"/>
          <w:lang w:val="ru-RU"/>
        </w:rPr>
      </w:pPr>
    </w:p>
    <w:p w14:paraId="250C9D4B" w14:textId="11B2CFFE"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современном информационном обществе IT-сектор занимает особое место, став привлекательным и динамичным сектором экономики. Он играет ключевую роль в развитии инноваций, цифровой трансформации и создании новых технологий. Вместе с тем интенсивное развитие IT-сектора требует дополнительных финансовых ресурсов для поддержки роста и инноваций предприятий.</w:t>
      </w:r>
    </w:p>
    <w:p w14:paraId="0AF4AF41" w14:textId="13E20C08"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этом контексте финансовое стимулирование предприятий IT-сектора становится важным инструментом, способствующим развитию отрасли и укреплению ее конкурентоспособности. Среди различных инструментов финансового стимулирования, налоговые льготы и преференции являются одними из самых широко используемых.</w:t>
      </w:r>
    </w:p>
    <w:p w14:paraId="19AF1C9D" w14:textId="61F450B1"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Целью данной главы является анализ и оценка эффективности использования налоговых льгот и преференций в IT-секторе. Это позволит выявить преимущества и недостатки данных инструментов финансового стимулирования, а также оценить их влияние на развитие предприятий IT-сектора и экономику в целом.</w:t>
      </w:r>
    </w:p>
    <w:p w14:paraId="2F4AB30A" w14:textId="74C88292"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Для достижения поставленной цели, в главе будет проведен обзор налоговых льгот и преференций, предоставляемых предприятиям IT-сектора, а также проанализированы результаты исследований и практический опыт их использования. Кроме того, будет разработана методология оценки эффективности налоговых льгот и преференций и проведено сравнительное исследование различных предприятий в отношении использования данных инструментов.</w:t>
      </w:r>
    </w:p>
    <w:p w14:paraId="228F9A09" w14:textId="5FC340B3" w:rsidR="006D52D5" w:rsidRPr="009560D1" w:rsidRDefault="006D52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Полученные результаты и выводы из данного исследования могут служить основой для оптимизации и дальнейшего совершенствования механизма налогового стимулирования в IT-секторе, а также помочь предприятиям и правительственным органам принимать обоснованные решения по использованию налоговых льгот и преференций для стимулирования развития IT-индустрии.</w:t>
      </w:r>
    </w:p>
    <w:p w14:paraId="1BA29EC5" w14:textId="239119AF" w:rsidR="00C3199D" w:rsidRPr="009560D1" w:rsidRDefault="00C3199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современной России уделяется особое внимание к передовым отраслям, связанных с трансформацией экономической деятельности от сырьевого производства к информационным технологиям. В том числе выделение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отрасли особой роли связано с геополитическими рисками и необходимостью выстраивания технологического суверенитета. Роль цифровых технологий растет не только в потребительском секторе, но и в области обеспечения бизнеса, безопасности данных и т. п.</w:t>
      </w:r>
    </w:p>
    <w:p w14:paraId="73CDD25D" w14:textId="73A93B67" w:rsidR="00C3199D" w:rsidRPr="009560D1" w:rsidRDefault="00C3199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На данный момент на практике применяется множество различных инструментов, позволяющих ускорить развитие технологических компаний. Одним из этих инструментов является налоговые льготы и преференции.</w:t>
      </w:r>
    </w:p>
    <w:p w14:paraId="73A61CD1" w14:textId="00B64979" w:rsidR="00C3199D" w:rsidRPr="009560D1" w:rsidRDefault="00C3199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2023 году налоговое законодательство устанавливает следующие налоговые льготы:</w:t>
      </w:r>
    </w:p>
    <w:p w14:paraId="2007C7A0" w14:textId="19112975" w:rsidR="00C3199D" w:rsidRPr="009560D1" w:rsidRDefault="00C3199D" w:rsidP="009560D1">
      <w:pPr>
        <w:pStyle w:val="a3"/>
        <w:numPr>
          <w:ilvl w:val="0"/>
          <w:numId w:val="12"/>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применение налоговой ставки 0% по налогу на прибыль</w:t>
      </w:r>
      <w:r w:rsidRPr="009560D1">
        <w:rPr>
          <w:rStyle w:val="a6"/>
          <w:rFonts w:ascii="Times New Roman" w:hAnsi="Times New Roman" w:cs="Times New Roman"/>
          <w:sz w:val="28"/>
          <w:szCs w:val="28"/>
          <w:lang w:val="ru-RU"/>
        </w:rPr>
        <w:footnoteReference w:id="5"/>
      </w:r>
      <w:r w:rsidRPr="009560D1">
        <w:rPr>
          <w:rFonts w:ascii="Times New Roman" w:hAnsi="Times New Roman" w:cs="Times New Roman"/>
          <w:sz w:val="28"/>
          <w:szCs w:val="28"/>
          <w:lang w:val="ru-RU"/>
        </w:rPr>
        <w:t>;</w:t>
      </w:r>
    </w:p>
    <w:p w14:paraId="5DE72FBD" w14:textId="02AC6064" w:rsidR="00C3199D" w:rsidRPr="009560D1" w:rsidRDefault="00C3199D" w:rsidP="009560D1">
      <w:pPr>
        <w:pStyle w:val="a3"/>
        <w:numPr>
          <w:ilvl w:val="0"/>
          <w:numId w:val="12"/>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пониженные тарифы по страховым взносам</w:t>
      </w:r>
      <w:r w:rsidRPr="009560D1">
        <w:rPr>
          <w:rStyle w:val="a6"/>
          <w:rFonts w:ascii="Times New Roman" w:hAnsi="Times New Roman" w:cs="Times New Roman"/>
          <w:sz w:val="28"/>
          <w:szCs w:val="28"/>
          <w:lang w:val="ru-RU"/>
        </w:rPr>
        <w:footnoteReference w:id="6"/>
      </w:r>
      <w:r w:rsidRPr="009560D1">
        <w:rPr>
          <w:rFonts w:ascii="Times New Roman" w:hAnsi="Times New Roman" w:cs="Times New Roman"/>
          <w:sz w:val="28"/>
          <w:szCs w:val="28"/>
          <w:lang w:val="ru-RU"/>
        </w:rPr>
        <w:t>;</w:t>
      </w:r>
    </w:p>
    <w:p w14:paraId="0073EF80" w14:textId="7DB228D2" w:rsidR="00C3199D" w:rsidRPr="009560D1" w:rsidRDefault="00C3199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Единый пониженный тариф страховых взносов в 2023–</w:t>
      </w:r>
      <w:r w:rsidR="00ED6261" w:rsidRPr="009560D1">
        <w:rPr>
          <w:rFonts w:ascii="Times New Roman" w:hAnsi="Times New Roman" w:cs="Times New Roman"/>
          <w:sz w:val="28"/>
          <w:szCs w:val="28"/>
          <w:lang w:val="ru-RU"/>
        </w:rPr>
        <w:t>2024 годах</w:t>
      </w:r>
      <w:r w:rsidRPr="009560D1">
        <w:rPr>
          <w:rFonts w:ascii="Times New Roman" w:hAnsi="Times New Roman" w:cs="Times New Roman"/>
          <w:sz w:val="28"/>
          <w:szCs w:val="28"/>
          <w:lang w:val="ru-RU"/>
        </w:rPr>
        <w:t xml:space="preserve"> установлен в размере 7,6% для выплат в пределах установленной предельной величины для исчисления страховых взносов, что с 1 января 2023 года составляется 1 917 000 руб.</w:t>
      </w:r>
      <w:r w:rsidRPr="009560D1">
        <w:rPr>
          <w:rStyle w:val="a6"/>
          <w:rFonts w:ascii="Times New Roman" w:hAnsi="Times New Roman" w:cs="Times New Roman"/>
          <w:sz w:val="28"/>
          <w:szCs w:val="28"/>
          <w:lang w:val="ru-RU"/>
        </w:rPr>
        <w:footnoteReference w:id="7"/>
      </w:r>
    </w:p>
    <w:p w14:paraId="5884EE3E" w14:textId="12968C95" w:rsidR="006D52D5" w:rsidRPr="009560D1" w:rsidRDefault="0041133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 xml:space="preserve">Однако существует ряд ограничений для получения налоговых льгот. Компания должна быть аккредитована в </w:t>
      </w:r>
      <w:proofErr w:type="spellStart"/>
      <w:r w:rsidRPr="009560D1">
        <w:rPr>
          <w:rFonts w:ascii="Times New Roman" w:hAnsi="Times New Roman" w:cs="Times New Roman"/>
          <w:sz w:val="28"/>
          <w:szCs w:val="28"/>
          <w:lang w:val="ru-RU"/>
        </w:rPr>
        <w:t>Минцифры</w:t>
      </w:r>
      <w:proofErr w:type="spellEnd"/>
      <w:r w:rsidRPr="009560D1">
        <w:rPr>
          <w:rFonts w:ascii="Times New Roman" w:hAnsi="Times New Roman" w:cs="Times New Roman"/>
          <w:sz w:val="28"/>
          <w:szCs w:val="28"/>
          <w:lang w:val="ru-RU"/>
        </w:rPr>
        <w:t xml:space="preserve"> России как </w:t>
      </w:r>
      <w:r w:rsidRPr="009560D1">
        <w:rPr>
          <w:rFonts w:ascii="Times New Roman" w:hAnsi="Times New Roman" w:cs="Times New Roman"/>
          <w:sz w:val="28"/>
          <w:szCs w:val="28"/>
          <w:lang w:val="en-US"/>
        </w:rPr>
        <w:t xml:space="preserve">IT – </w:t>
      </w:r>
      <w:r w:rsidRPr="009560D1">
        <w:rPr>
          <w:rFonts w:ascii="Times New Roman" w:hAnsi="Times New Roman" w:cs="Times New Roman"/>
          <w:sz w:val="28"/>
          <w:szCs w:val="28"/>
          <w:lang w:val="ru-RU"/>
        </w:rPr>
        <w:t>компания. Порядок государственной аккредитации установлен Постановлением правительства РФ от 30.09.2022 № 1729.</w:t>
      </w:r>
    </w:p>
    <w:p w14:paraId="5AFBE88A" w14:textId="3454D82C" w:rsidR="0041133F" w:rsidRPr="009560D1" w:rsidRDefault="0041133F"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Также, доля доходов, получаемых от продажи технологичной продукции, должна составлять не менее 70% от общей суммы доходов. В перечень таких доходов входят:</w:t>
      </w:r>
    </w:p>
    <w:p w14:paraId="36D2ECEB" w14:textId="370E2485" w:rsidR="0041133F" w:rsidRPr="009560D1" w:rsidRDefault="0041133F" w:rsidP="009560D1">
      <w:pPr>
        <w:pStyle w:val="a3"/>
        <w:numPr>
          <w:ilvl w:val="0"/>
          <w:numId w:val="13"/>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Доходы от реализации экземпляров разработанных, адаптированных и(или) модифицированных данной организацией, программ для ЭВМ, баз данных;</w:t>
      </w:r>
    </w:p>
    <w:p w14:paraId="5A7C3AA6" w14:textId="0A78F217" w:rsidR="0041133F" w:rsidRPr="009560D1" w:rsidRDefault="0041133F" w:rsidP="009560D1">
      <w:pPr>
        <w:pStyle w:val="a3"/>
        <w:numPr>
          <w:ilvl w:val="0"/>
          <w:numId w:val="13"/>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доход от передачи исключительных прав на собственные программы для ЭВМ, баз данных; </w:t>
      </w:r>
    </w:p>
    <w:p w14:paraId="652B66F1" w14:textId="6E695552" w:rsidR="0041133F" w:rsidRPr="009560D1" w:rsidRDefault="0041133F" w:rsidP="009560D1">
      <w:pPr>
        <w:pStyle w:val="a3"/>
        <w:numPr>
          <w:ilvl w:val="0"/>
          <w:numId w:val="13"/>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доход от оказания услуг (выполнения работ) по разработке, адаптации и модификации программ для ЭВМ, баз данных;</w:t>
      </w:r>
    </w:p>
    <w:p w14:paraId="127991C9" w14:textId="7611C4BE" w:rsidR="0041133F" w:rsidRPr="009560D1" w:rsidRDefault="0041133F" w:rsidP="009560D1">
      <w:pPr>
        <w:pStyle w:val="a3"/>
        <w:numPr>
          <w:ilvl w:val="0"/>
          <w:numId w:val="13"/>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других доходов, связанных с разработкой, реализацией или использованием собственных программ или баз данных в целях оказания услуг третьим лицам, включающих также тестирование</w:t>
      </w:r>
      <w:r w:rsidR="001B4020" w:rsidRPr="009560D1">
        <w:rPr>
          <w:rFonts w:ascii="Times New Roman" w:hAnsi="Times New Roman" w:cs="Times New Roman"/>
          <w:sz w:val="28"/>
          <w:szCs w:val="28"/>
          <w:lang w:val="ru-RU"/>
        </w:rPr>
        <w:t>, установку и сопровождение.</w:t>
      </w:r>
      <w:r w:rsidR="001B4020" w:rsidRPr="009560D1">
        <w:rPr>
          <w:rStyle w:val="a6"/>
          <w:rFonts w:ascii="Times New Roman" w:hAnsi="Times New Roman" w:cs="Times New Roman"/>
          <w:sz w:val="28"/>
          <w:szCs w:val="28"/>
          <w:lang w:val="ru-RU"/>
        </w:rPr>
        <w:footnoteReference w:id="8"/>
      </w:r>
    </w:p>
    <w:p w14:paraId="1DC56E70" w14:textId="77777777" w:rsidR="00FA7AF4" w:rsidRPr="009560D1" w:rsidRDefault="00DA0BD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Такие ограничения расширяются применением правила среднесписочного числа сотрудников, которые должны работать в компании, для возможного получения льгот, что особенно трудно для малых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компаний. Бенефициарами от снижения налога на прибыль, также являются крупные компании, которые прошли точку безубыточности. Несмотря на повышение привлекательности для инвестора, который ожидает отдачи от вложений, малые компании, которые зачастую убыточны, особенно на ранних этапах </w:t>
      </w:r>
      <w:r w:rsidR="00FA7AF4" w:rsidRPr="009560D1">
        <w:rPr>
          <w:rFonts w:ascii="Times New Roman" w:hAnsi="Times New Roman" w:cs="Times New Roman"/>
          <w:sz w:val="28"/>
          <w:szCs w:val="28"/>
          <w:lang w:val="ru-RU"/>
        </w:rPr>
        <w:t>развития</w:t>
      </w:r>
      <w:r w:rsidRPr="009560D1">
        <w:rPr>
          <w:rFonts w:ascii="Times New Roman" w:hAnsi="Times New Roman" w:cs="Times New Roman"/>
          <w:sz w:val="28"/>
          <w:szCs w:val="28"/>
          <w:lang w:val="ru-RU"/>
        </w:rPr>
        <w:t xml:space="preserve"> предприят</w:t>
      </w:r>
      <w:r w:rsidR="00FA7AF4" w:rsidRPr="009560D1">
        <w:rPr>
          <w:rFonts w:ascii="Times New Roman" w:hAnsi="Times New Roman" w:cs="Times New Roman"/>
          <w:sz w:val="28"/>
          <w:szCs w:val="28"/>
          <w:lang w:val="ru-RU"/>
        </w:rPr>
        <w:t>ия, получение такого рода льгот может быть выгодно только при моментном коммерческом успехе.</w:t>
      </w:r>
    </w:p>
    <w:p w14:paraId="0CE0B013" w14:textId="0535B3C6" w:rsidR="00DA0BD5" w:rsidRPr="009560D1" w:rsidRDefault="00FA7AF4"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 xml:space="preserve">В результате складывается ситуация, в которой налоговые преференции являются более выгодным для крупных и средних компаний, которые уже заняли свое место на рынке. Нарушается принцип справедливости распределения финансовых выгод, что ведет к уменьшению появления отдельных стартапов или малых </w:t>
      </w:r>
      <w:r w:rsidRPr="009560D1">
        <w:rPr>
          <w:rFonts w:ascii="Times New Roman" w:hAnsi="Times New Roman" w:cs="Times New Roman"/>
          <w:sz w:val="28"/>
          <w:szCs w:val="28"/>
          <w:lang w:val="en-US"/>
        </w:rPr>
        <w:t>IT-</w:t>
      </w:r>
      <w:r w:rsidR="00ED6261" w:rsidRPr="009560D1">
        <w:rPr>
          <w:rFonts w:ascii="Times New Roman" w:hAnsi="Times New Roman" w:cs="Times New Roman"/>
          <w:sz w:val="28"/>
          <w:szCs w:val="28"/>
          <w:lang w:val="ru-RU"/>
        </w:rPr>
        <w:t>предприятий, снижает</w:t>
      </w:r>
      <w:r w:rsidRPr="009560D1">
        <w:rPr>
          <w:rFonts w:ascii="Times New Roman" w:hAnsi="Times New Roman" w:cs="Times New Roman"/>
          <w:sz w:val="28"/>
          <w:szCs w:val="28"/>
          <w:lang w:val="ru-RU"/>
        </w:rPr>
        <w:t xml:space="preserve"> их возможности к росту, формированию новых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гигантов на российском рынке.</w:t>
      </w:r>
    </w:p>
    <w:p w14:paraId="7F18878F" w14:textId="6A177216" w:rsidR="00FA7AF4" w:rsidRPr="009560D1" w:rsidRDefault="00FA7AF4"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Более того, налоговые льготы, связанные </w:t>
      </w:r>
      <w:r w:rsidR="00ED6261" w:rsidRPr="009560D1">
        <w:rPr>
          <w:rFonts w:ascii="Times New Roman" w:hAnsi="Times New Roman" w:cs="Times New Roman"/>
          <w:sz w:val="28"/>
          <w:szCs w:val="28"/>
          <w:lang w:val="ru-RU"/>
        </w:rPr>
        <w:t>с цифровой деятельностью,</w:t>
      </w:r>
      <w:r w:rsidRPr="009560D1">
        <w:rPr>
          <w:rFonts w:ascii="Times New Roman" w:hAnsi="Times New Roman" w:cs="Times New Roman"/>
          <w:sz w:val="28"/>
          <w:szCs w:val="28"/>
          <w:lang w:val="ru-RU"/>
        </w:rPr>
        <w:t xml:space="preserve"> конкурируют с упрощенной налоговой системой, выгода от которой для малых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предприятий больше, поскольку она не требует таких ограничений, как налоговый режим для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компаний. Переход на УСН переводит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компанию в разряд субъектов МСП одновременно лишая ее отраслевых преимуществ при налогообложении финансового результата.</w:t>
      </w:r>
      <w:r w:rsidRPr="009560D1">
        <w:rPr>
          <w:rStyle w:val="a6"/>
          <w:rFonts w:ascii="Times New Roman" w:hAnsi="Times New Roman" w:cs="Times New Roman"/>
          <w:sz w:val="28"/>
          <w:szCs w:val="28"/>
          <w:lang w:val="ru-RU"/>
        </w:rPr>
        <w:footnoteReference w:id="9"/>
      </w:r>
    </w:p>
    <w:p w14:paraId="3E694BDB" w14:textId="38EE4CA4" w:rsidR="001B4020" w:rsidRPr="009560D1" w:rsidRDefault="001B4020"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Стоит отметить также региональные налоговые льготы, устанавливаемые </w:t>
      </w:r>
      <w:r w:rsidR="00DA0BD5" w:rsidRPr="009560D1">
        <w:rPr>
          <w:rFonts w:ascii="Times New Roman" w:hAnsi="Times New Roman" w:cs="Times New Roman"/>
          <w:sz w:val="28"/>
          <w:szCs w:val="28"/>
          <w:lang w:val="ru-RU"/>
        </w:rPr>
        <w:t>местным</w:t>
      </w:r>
      <w:r w:rsidRPr="009560D1">
        <w:rPr>
          <w:rFonts w:ascii="Times New Roman" w:hAnsi="Times New Roman" w:cs="Times New Roman"/>
          <w:sz w:val="28"/>
          <w:szCs w:val="28"/>
          <w:lang w:val="ru-RU"/>
        </w:rPr>
        <w:t xml:space="preserve"> правительством. </w:t>
      </w:r>
      <w:r w:rsidR="00DA0BD5" w:rsidRPr="009560D1">
        <w:rPr>
          <w:rFonts w:ascii="Times New Roman" w:hAnsi="Times New Roman" w:cs="Times New Roman"/>
          <w:sz w:val="28"/>
          <w:szCs w:val="28"/>
          <w:lang w:val="ru-RU"/>
        </w:rPr>
        <w:t>В зависимости от региона</w:t>
      </w:r>
      <w:r w:rsidRPr="009560D1">
        <w:rPr>
          <w:rFonts w:ascii="Times New Roman" w:hAnsi="Times New Roman" w:cs="Times New Roman"/>
          <w:sz w:val="28"/>
          <w:szCs w:val="28"/>
          <w:lang w:val="ru-RU"/>
        </w:rPr>
        <w:t xml:space="preserve"> формирование налоговых льгот может меняться, соответственно эффективность использования ресурсов может </w:t>
      </w:r>
      <w:r w:rsidR="00DA0BD5" w:rsidRPr="009560D1">
        <w:rPr>
          <w:rFonts w:ascii="Times New Roman" w:hAnsi="Times New Roman" w:cs="Times New Roman"/>
          <w:sz w:val="28"/>
          <w:szCs w:val="28"/>
          <w:lang w:val="ru-RU"/>
        </w:rPr>
        <w:t>варьироваться</w:t>
      </w:r>
      <w:r w:rsidRPr="009560D1">
        <w:rPr>
          <w:rFonts w:ascii="Times New Roman" w:hAnsi="Times New Roman" w:cs="Times New Roman"/>
          <w:sz w:val="28"/>
          <w:szCs w:val="28"/>
          <w:lang w:val="ru-RU"/>
        </w:rPr>
        <w:t xml:space="preserve"> в зависимости от </w:t>
      </w:r>
      <w:r w:rsidR="00DA0BD5" w:rsidRPr="009560D1">
        <w:rPr>
          <w:rFonts w:ascii="Times New Roman" w:hAnsi="Times New Roman" w:cs="Times New Roman"/>
          <w:sz w:val="28"/>
          <w:szCs w:val="28"/>
          <w:lang w:val="ru-RU"/>
        </w:rPr>
        <w:t>места регистрации</w:t>
      </w:r>
      <w:r w:rsidRPr="009560D1">
        <w:rPr>
          <w:rFonts w:ascii="Times New Roman" w:hAnsi="Times New Roman" w:cs="Times New Roman"/>
          <w:sz w:val="28"/>
          <w:szCs w:val="28"/>
          <w:lang w:val="ru-RU"/>
        </w:rPr>
        <w:t xml:space="preserve"> компании.</w:t>
      </w:r>
    </w:p>
    <w:p w14:paraId="446D7DC9" w14:textId="6FECDD5F" w:rsidR="0041133F" w:rsidRPr="009560D1" w:rsidRDefault="001B4020"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Так, в исследовании, проведенным Казариным С. В. и Свечниковой Н. Ю. составляется модель, по которой рассматривается эффективность деятельности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компаний в различных регионах России, применяется рейтинговая система, которая позволяет понять эффективность применения региональных мер поддержки для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компаний.</w:t>
      </w:r>
    </w:p>
    <w:p w14:paraId="20F53C5E" w14:textId="7051CAA6" w:rsidR="001B4020" w:rsidRPr="009560D1" w:rsidRDefault="001B4020" w:rsidP="005C0478">
      <w:pPr>
        <w:spacing w:line="24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Так, согласно исследованию, </w:t>
      </w:r>
      <w:r w:rsidR="00B545C1" w:rsidRPr="009560D1">
        <w:rPr>
          <w:rFonts w:ascii="Times New Roman" w:hAnsi="Times New Roman" w:cs="Times New Roman"/>
          <w:sz w:val="28"/>
          <w:szCs w:val="28"/>
          <w:lang w:val="ru-RU"/>
        </w:rPr>
        <w:t xml:space="preserve">наиболее высокая поддержка, выраженная в эффективности работы </w:t>
      </w:r>
      <w:r w:rsidR="00B545C1" w:rsidRPr="009560D1">
        <w:rPr>
          <w:rFonts w:ascii="Times New Roman" w:hAnsi="Times New Roman" w:cs="Times New Roman"/>
          <w:sz w:val="28"/>
          <w:szCs w:val="28"/>
          <w:lang w:val="en-US"/>
        </w:rPr>
        <w:t>IT-</w:t>
      </w:r>
      <w:r w:rsidR="00B545C1" w:rsidRPr="009560D1">
        <w:rPr>
          <w:rFonts w:ascii="Times New Roman" w:hAnsi="Times New Roman" w:cs="Times New Roman"/>
          <w:sz w:val="28"/>
          <w:szCs w:val="28"/>
          <w:lang w:val="ru-RU"/>
        </w:rPr>
        <w:t>предприятий,</w:t>
      </w:r>
      <w:r w:rsidRPr="009560D1">
        <w:rPr>
          <w:rFonts w:ascii="Times New Roman" w:hAnsi="Times New Roman" w:cs="Times New Roman"/>
          <w:sz w:val="28"/>
          <w:szCs w:val="28"/>
          <w:lang w:val="ru-RU"/>
        </w:rPr>
        <w:t xml:space="preserve"> стали г. Москва, Пермский край, Республика </w:t>
      </w:r>
      <w:r w:rsidR="00B545C1" w:rsidRPr="009560D1">
        <w:rPr>
          <w:rFonts w:ascii="Times New Roman" w:hAnsi="Times New Roman" w:cs="Times New Roman"/>
          <w:sz w:val="28"/>
          <w:szCs w:val="28"/>
          <w:lang w:val="ru-RU"/>
        </w:rPr>
        <w:t>Башкортостан, Самарская область и Республика Татарстан.</w:t>
      </w:r>
      <w:r w:rsidR="00B545C1" w:rsidRPr="009560D1">
        <w:rPr>
          <w:rStyle w:val="a6"/>
          <w:rFonts w:ascii="Times New Roman" w:hAnsi="Times New Roman" w:cs="Times New Roman"/>
          <w:sz w:val="28"/>
          <w:szCs w:val="28"/>
          <w:lang w:val="ru-RU"/>
        </w:rPr>
        <w:footnoteReference w:id="10"/>
      </w:r>
    </w:p>
    <w:p w14:paraId="33A01476" w14:textId="13B250B5" w:rsidR="006D52D5" w:rsidRPr="009560D1" w:rsidRDefault="00B545C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Согласно этому же исследованию, эффективность применения региональных налоговых льгот не всегда является эффективной мерой для повышения уровня их развития, и требуется реализация комплексного подхода к решению данной задачи.</w:t>
      </w:r>
    </w:p>
    <w:p w14:paraId="598F5142" w14:textId="78F5FE30" w:rsidR="00DA0BD5" w:rsidRPr="009560D1" w:rsidRDefault="00ED626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Налоговые льготы широко используются для финансового стимулирования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предприятий. Снижения страховых взносов, снижения НДС и налоговой ставки на прибыль являются основными инструментами налоговой политики, позволяющими снизить нагрузку на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-компании, обеспечить им возможность для роста и развития. Однако существующие ограничения значительно снижают возможности пользования данными льготами, особенно молодыми компаниями, только что начавшими свою деятельность. Преимущественное получения большей выгоды от налоговой политики государства крупными, состоявшимися компаниями нарушает принцип справедливости распределения финансовых выгод. Нельзя не отметить, что именно из стартапов сформировались крупные компании, известные во всем мире.</w:t>
      </w:r>
    </w:p>
    <w:p w14:paraId="524B5B81" w14:textId="3EFED8A8" w:rsidR="00ED6261" w:rsidRPr="009560D1" w:rsidRDefault="00ED626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Конкурентность и упрощенной системой налогообложения и низкой региональной поддержкой также говорят о том, что меры, применяемые в области снижения налоговой нагрузки на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отрасль недостаточно развиты, требуют комплексного решения проблемы, формирования новых подходов, в которых будут учитываться интересы всех субъектов отрасли, на основе справедливости предоставления льгот.</w:t>
      </w:r>
    </w:p>
    <w:p w14:paraId="5E3E9C08" w14:textId="414A4C24" w:rsidR="00ED6261" w:rsidRPr="009560D1" w:rsidRDefault="00ED6261"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Бюрократические сложности также являются фактором, который влияет на доступность налоговых льгот для всех субъектов отрасли. Необходимость государственной аккредитации и высокий порог доли выручки, котор</w:t>
      </w:r>
      <w:r w:rsidR="00810AAD" w:rsidRPr="009560D1">
        <w:rPr>
          <w:rFonts w:ascii="Times New Roman" w:hAnsi="Times New Roman" w:cs="Times New Roman"/>
          <w:sz w:val="28"/>
          <w:szCs w:val="28"/>
          <w:lang w:val="ru-RU"/>
        </w:rPr>
        <w:t xml:space="preserve">ую </w:t>
      </w:r>
      <w:r w:rsidRPr="009560D1">
        <w:rPr>
          <w:rFonts w:ascii="Times New Roman" w:hAnsi="Times New Roman" w:cs="Times New Roman"/>
          <w:sz w:val="28"/>
          <w:szCs w:val="28"/>
          <w:lang w:val="ru-RU"/>
        </w:rPr>
        <w:t>долж</w:t>
      </w:r>
      <w:r w:rsidR="00810AAD" w:rsidRPr="009560D1">
        <w:rPr>
          <w:rFonts w:ascii="Times New Roman" w:hAnsi="Times New Roman" w:cs="Times New Roman"/>
          <w:sz w:val="28"/>
          <w:szCs w:val="28"/>
          <w:lang w:val="ru-RU"/>
        </w:rPr>
        <w:t>ен</w:t>
      </w:r>
      <w:r w:rsidRPr="009560D1">
        <w:rPr>
          <w:rFonts w:ascii="Times New Roman" w:hAnsi="Times New Roman" w:cs="Times New Roman"/>
          <w:sz w:val="28"/>
          <w:szCs w:val="28"/>
          <w:lang w:val="ru-RU"/>
        </w:rPr>
        <w:t xml:space="preserve"> составлять </w:t>
      </w:r>
      <w:r w:rsidR="00810AAD" w:rsidRPr="009560D1">
        <w:rPr>
          <w:rFonts w:ascii="Times New Roman" w:hAnsi="Times New Roman" w:cs="Times New Roman"/>
          <w:sz w:val="28"/>
          <w:szCs w:val="28"/>
          <w:lang w:val="ru-RU"/>
        </w:rPr>
        <w:t>доход от цифровой деятельности, снижает возможности гибкой деятельности компании в управлении собственными денежными потоками.</w:t>
      </w:r>
    </w:p>
    <w:p w14:paraId="79730426" w14:textId="7B4555FB" w:rsidR="00810AAD" w:rsidRPr="009560D1" w:rsidRDefault="00810AA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Существуют и другие инструменты финансового стимулирования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предприятий, наиболее интересный из которых «дорожная карта» развития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lastRenderedPageBreak/>
        <w:t>отрасли и цифровизации экономики, речь о которой пойдет в следующей главе.</w:t>
      </w:r>
    </w:p>
    <w:p w14:paraId="7A0496A0" w14:textId="77777777" w:rsidR="009560D1" w:rsidRPr="009560D1" w:rsidRDefault="009560D1" w:rsidP="009560D1">
      <w:pPr>
        <w:spacing w:line="360" w:lineRule="auto"/>
        <w:ind w:firstLine="851"/>
        <w:jc w:val="both"/>
        <w:rPr>
          <w:rFonts w:ascii="Times New Roman" w:hAnsi="Times New Roman" w:cs="Times New Roman"/>
          <w:sz w:val="28"/>
          <w:szCs w:val="28"/>
          <w:lang w:val="ru-RU"/>
        </w:rPr>
      </w:pPr>
    </w:p>
    <w:p w14:paraId="0B12AFAF" w14:textId="4CB51202" w:rsidR="001E0DD5" w:rsidRPr="009560D1" w:rsidRDefault="009560D1" w:rsidP="009560D1">
      <w:pPr>
        <w:pStyle w:val="2"/>
        <w:numPr>
          <w:ilvl w:val="1"/>
          <w:numId w:val="14"/>
        </w:numPr>
        <w:spacing w:before="0" w:line="360" w:lineRule="auto"/>
        <w:jc w:val="both"/>
        <w:rPr>
          <w:rFonts w:cs="Times New Roman"/>
          <w:szCs w:val="28"/>
          <w:lang w:val="ru-RU"/>
        </w:rPr>
      </w:pPr>
      <w:bookmarkStart w:id="8" w:name="_Toc138357330"/>
      <w:r w:rsidRPr="009560D1">
        <w:rPr>
          <w:rFonts w:cs="Times New Roman"/>
          <w:szCs w:val="28"/>
          <w:lang w:val="en-US"/>
        </w:rPr>
        <w:t xml:space="preserve"> </w:t>
      </w:r>
      <w:r w:rsidR="001E0DD5" w:rsidRPr="009560D1">
        <w:rPr>
          <w:rFonts w:cs="Times New Roman"/>
          <w:szCs w:val="28"/>
          <w:lang w:val="ru-RU"/>
        </w:rPr>
        <w:t xml:space="preserve">Дорожная карта развития </w:t>
      </w:r>
      <w:r w:rsidR="001E0DD5" w:rsidRPr="009560D1">
        <w:rPr>
          <w:rFonts w:cs="Times New Roman"/>
          <w:szCs w:val="28"/>
          <w:lang w:val="en-US"/>
        </w:rPr>
        <w:t xml:space="preserve">IT </w:t>
      </w:r>
      <w:r w:rsidR="001E0DD5" w:rsidRPr="009560D1">
        <w:rPr>
          <w:rFonts w:cs="Times New Roman"/>
          <w:szCs w:val="28"/>
          <w:lang w:val="ru-RU"/>
        </w:rPr>
        <w:t>отрасли как инструмент обеспечения спроса на российское ПО.</w:t>
      </w:r>
      <w:bookmarkEnd w:id="8"/>
    </w:p>
    <w:p w14:paraId="0B950760" w14:textId="77777777" w:rsidR="009560D1" w:rsidRPr="009560D1" w:rsidRDefault="009560D1" w:rsidP="009560D1">
      <w:pPr>
        <w:rPr>
          <w:rFonts w:ascii="Times New Roman" w:hAnsi="Times New Roman" w:cs="Times New Roman"/>
          <w:sz w:val="28"/>
          <w:szCs w:val="28"/>
          <w:lang w:val="ru-RU"/>
        </w:rPr>
      </w:pPr>
    </w:p>
    <w:p w14:paraId="2C63E38B" w14:textId="2C8C31E3" w:rsidR="00810AAD" w:rsidRPr="009560D1" w:rsidRDefault="007B4840"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2013 году правительством РФ был опубликован документ «Стратегия развития отрасли информационных технологий в Российской Федерации на 2014–2020 годы и на перспективу до 2025 года», предусматривающий поэтапные шаги для формирования единого системного подхода государства к развитию информационных технологий.</w:t>
      </w:r>
    </w:p>
    <w:p w14:paraId="6F789913" w14:textId="7A18375B" w:rsidR="007B4840" w:rsidRPr="009560D1" w:rsidRDefault="007B4840"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документе обозначились текущий на начало периода проблемы </w:t>
      </w:r>
      <w:r w:rsidR="0099353B" w:rsidRPr="009560D1">
        <w:rPr>
          <w:rFonts w:ascii="Times New Roman" w:hAnsi="Times New Roman" w:cs="Times New Roman"/>
          <w:sz w:val="28"/>
          <w:szCs w:val="28"/>
          <w:lang w:val="ru-RU"/>
        </w:rPr>
        <w:t xml:space="preserve">в области </w:t>
      </w:r>
      <w:r w:rsidR="0099353B" w:rsidRPr="009560D1">
        <w:rPr>
          <w:rFonts w:ascii="Times New Roman" w:hAnsi="Times New Roman" w:cs="Times New Roman"/>
          <w:sz w:val="28"/>
          <w:szCs w:val="28"/>
          <w:lang w:val="en-US"/>
        </w:rPr>
        <w:t xml:space="preserve">IT, </w:t>
      </w:r>
      <w:r w:rsidR="0099353B" w:rsidRPr="009560D1">
        <w:rPr>
          <w:rFonts w:ascii="Times New Roman" w:hAnsi="Times New Roman" w:cs="Times New Roman"/>
          <w:sz w:val="28"/>
          <w:szCs w:val="28"/>
          <w:lang w:val="ru-RU"/>
        </w:rPr>
        <w:t>выявлен потенциал роста для данной сферы и предложены конкретные шаги для получения качественного роста в данной отрасли.</w:t>
      </w:r>
    </w:p>
    <w:p w14:paraId="2CD3D643" w14:textId="543B3777" w:rsidR="0099353B" w:rsidRPr="009560D1" w:rsidRDefault="0099353B"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Стратегии отмечается, что сфера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имеет большой потенциал участия в совокупной экономике государства, за счет меньшей необходимости вкладываться в основные средства, делается прогноз на ближайшие 10 лет о росте отрасли в 10 раз. Отмечается, что внедрение информационных технологий значительно уменьшает трудоемкость в различных сферах деятельности.</w:t>
      </w:r>
    </w:p>
    <w:p w14:paraId="66F4BE73" w14:textId="497B019F" w:rsidR="0099353B" w:rsidRPr="009560D1" w:rsidRDefault="0099353B"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Основными целями Стратегии, согласно документу, являются:</w:t>
      </w:r>
    </w:p>
    <w:p w14:paraId="7A3631C6" w14:textId="77777777" w:rsidR="0099353B" w:rsidRPr="009560D1" w:rsidRDefault="0099353B"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развитие сферы информационных технологий до полноценной отрасли российской экономики, создающей высокопроизводительные рабочие места и обеспечивающей выпуск высокотехнологичной и конкурентоспособной продукции;</w:t>
      </w:r>
    </w:p>
    <w:p w14:paraId="0C206042" w14:textId="77777777" w:rsidR="0099353B" w:rsidRPr="009560D1" w:rsidRDefault="0099353B"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обеспечение различных сфер экономики качественными информационными технологиями с целью повышения производительности труда;</w:t>
      </w:r>
    </w:p>
    <w:p w14:paraId="119EA057" w14:textId="60D0AB34" w:rsidR="0099353B" w:rsidRPr="009560D1" w:rsidRDefault="0099353B"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обеспечение высокого уровня информационной безопасности государства, индустрии и граждан.</w:t>
      </w:r>
      <w:r w:rsidRPr="009560D1">
        <w:rPr>
          <w:rStyle w:val="a6"/>
          <w:rFonts w:ascii="Times New Roman" w:hAnsi="Times New Roman" w:cs="Times New Roman"/>
          <w:sz w:val="28"/>
          <w:szCs w:val="28"/>
          <w:lang w:val="ru-RU"/>
        </w:rPr>
        <w:footnoteReference w:id="11"/>
      </w:r>
    </w:p>
    <w:p w14:paraId="297A4A15" w14:textId="3F496D1F" w:rsidR="0099353B" w:rsidRPr="009560D1" w:rsidRDefault="0099353B"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Так, согласно программе развития, компаниям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 xml:space="preserve">отрасли был предоставлен доступ к льготным целевым кредитам на проекты по разработке и внедрению российских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 решений. Размер ставки по кредиту составляет от 1 до 5% (до 3% для аккредитованных организаций), а размер кредита на реализацию одного проекта варьируется от 5 млн до 5 млрд рублей.</w:t>
      </w:r>
    </w:p>
    <w:p w14:paraId="18BCB04F" w14:textId="75D3E0D4" w:rsidR="00344BFD" w:rsidRPr="009560D1" w:rsidRDefault="00344B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Противоречивым является лишь тщательный отбор компаний, которые способны получить кредит, необходимость обязательной аккредитации, а также другие требования, представленные в Постановлении.</w:t>
      </w:r>
      <w:r w:rsidRPr="009560D1">
        <w:rPr>
          <w:rStyle w:val="a6"/>
          <w:rFonts w:ascii="Times New Roman" w:hAnsi="Times New Roman" w:cs="Times New Roman"/>
          <w:sz w:val="28"/>
          <w:szCs w:val="28"/>
          <w:lang w:val="ru-RU"/>
        </w:rPr>
        <w:footnoteReference w:id="12"/>
      </w:r>
      <w:r w:rsidRPr="009560D1">
        <w:rPr>
          <w:rFonts w:ascii="Times New Roman" w:hAnsi="Times New Roman" w:cs="Times New Roman"/>
          <w:sz w:val="28"/>
          <w:szCs w:val="28"/>
          <w:lang w:val="ru-RU"/>
        </w:rPr>
        <w:t xml:space="preserve"> </w:t>
      </w:r>
    </w:p>
    <w:p w14:paraId="7A2E4EA7" w14:textId="0B643789" w:rsidR="00344BFD" w:rsidRPr="009560D1" w:rsidRDefault="00344BFD"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Продолжением данной инициативы стала публикация в сентябре 2022 года «дорожной карты», как способа обеспечения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продукцией ведущие компании российской экономики. Необходимость в разработке была вызвана в немалой степени инфраструктурными рисками, вызванными кризом зарубежного программного обеспечения, начавшемся в начале 2022 года. Также стоит отметить, что данная инициатива способна обеспечить заказами российские ИТ предприятия и обеспечить высококачественным российским программным обеспечением предприятия, которые вынуждены искать субституты, в связи с уходом зарубежных компаний с российского рынка.</w:t>
      </w:r>
    </w:p>
    <w:p w14:paraId="59CAAC7D" w14:textId="77777777" w:rsidR="00CE72B2" w:rsidRPr="009560D1" w:rsidRDefault="00CE72B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плане "Дорожная карта" содержит 62 мероприятия, из которых 20 имеют общесистемный характер. Эти мероприятия направлены на уравнивание условий для международных интернет-корпораций и российских ИТ-компаний в России, стимулирование внедрения российских решений в отечественные предприятия, а также на поддержку экспорта и продвижение российских ИТ-решений на зарубежных рынках.</w:t>
      </w:r>
    </w:p>
    <w:p w14:paraId="202C6962" w14:textId="35F50D65" w:rsidR="00A22A31" w:rsidRPr="009560D1" w:rsidRDefault="00CE72B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Дополнительные 42 мероприятия данного плана ориентированы на поощрение развития и внедрения российских разработок в конкретных отраслях. Среди них находятся решения для корпоративного сектора, электронные образовательные сервисы, цифровые медицинские сервисы, программное обеспечение для офисных нужд и операционные системы, обработка данных и облачные сервисы, разработки в области искусственного интеллекта, больших данных и интернета вещей, создание компьютерных игр и профессионального видеоконтента, а также решения в сфере информационной безопасности.</w:t>
      </w:r>
    </w:p>
    <w:p w14:paraId="145E0EFB" w14:textId="1F889DD3" w:rsidR="00CE72B2" w:rsidRPr="009560D1" w:rsidRDefault="00CE72B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Среди предложений, выделяемых в общесистемный характер наиболее интересные предложения состоят в изменении налогового кодекса, путем установления порядка налогообложения доходов иностранных компаний, получаемых в результате взаимодействия с российскими гражданами, разработка нормативных актов, устанавливающих требования по преимущественному использованию отечественного ПО, ограничения на приобретение отдельными видами юридических лиц иностранного программного обеспечения</w:t>
      </w:r>
      <w:r w:rsidRPr="009560D1">
        <w:rPr>
          <w:rStyle w:val="a6"/>
          <w:rFonts w:ascii="Times New Roman" w:hAnsi="Times New Roman" w:cs="Times New Roman"/>
          <w:sz w:val="28"/>
          <w:szCs w:val="28"/>
          <w:lang w:val="ru-RU"/>
        </w:rPr>
        <w:footnoteReference w:id="13"/>
      </w:r>
      <w:r w:rsidRPr="009560D1">
        <w:rPr>
          <w:rFonts w:ascii="Times New Roman" w:hAnsi="Times New Roman" w:cs="Times New Roman"/>
          <w:sz w:val="28"/>
          <w:szCs w:val="28"/>
          <w:lang w:val="ru-RU"/>
        </w:rPr>
        <w:t>.</w:t>
      </w:r>
    </w:p>
    <w:p w14:paraId="500AEC95" w14:textId="6275FAEF" w:rsidR="00CE72B2" w:rsidRPr="009560D1" w:rsidRDefault="00CE72B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Таким образом, наблюдается тенденция к предварительному добровольному сокращению использования иностранных продуктов, переход на отечественные разработки. С одной стороны, такие инициативы предусматривают увеличение спроса на российские разработки, создают условия для внедрения новых технологий и перераспределения денежных потоков от иностранных компаний в российские.</w:t>
      </w:r>
    </w:p>
    <w:p w14:paraId="4BEAD797" w14:textId="4CFD43D8" w:rsidR="00CE2D23" w:rsidRPr="009560D1" w:rsidRDefault="00CE72B2"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С другой же стороны, принудительное создание спроса</w:t>
      </w:r>
      <w:r w:rsidR="00CE2D23" w:rsidRPr="009560D1">
        <w:rPr>
          <w:rFonts w:ascii="Times New Roman" w:hAnsi="Times New Roman" w:cs="Times New Roman"/>
          <w:sz w:val="28"/>
          <w:szCs w:val="28"/>
          <w:lang w:val="ru-RU"/>
        </w:rPr>
        <w:t xml:space="preserve"> на российское программное обеспечение не создает нужных условий для прямой конкуренции, в связи с необходимостью преимущественно пользоваться российскими технологиями может страдать качество выпускаемой продукции.</w:t>
      </w:r>
    </w:p>
    <w:p w14:paraId="1A0B2B2D" w14:textId="30ED7945" w:rsidR="00CE2D23" w:rsidRPr="009560D1" w:rsidRDefault="00CE2D23"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lastRenderedPageBreak/>
        <w:t xml:space="preserve">Одновременная загрузка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компаний заказами, реализованными по данной программе, может привести к необходимости создавать крупные кластеры разработчиков, которые после выполнения заказов могут оказаться не у дела.</w:t>
      </w:r>
    </w:p>
    <w:p w14:paraId="67DB4312" w14:textId="18F9B994" w:rsidR="00CE2D23" w:rsidRPr="009560D1" w:rsidRDefault="00CE2D23"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Таким образом, проведение дискриминационной политики в области иностранного ПО может привести к глобальным проблемам на рынке российского программного обеспечения.</w:t>
      </w:r>
    </w:p>
    <w:p w14:paraId="4ACA7A0F" w14:textId="77777777" w:rsidR="00CE2D23" w:rsidRPr="009560D1" w:rsidRDefault="00CE2D23"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 целом программный документ направлен на внедрение российского ПО во все сферы общественной и экономической жизни. Обязательным заявляется использование российских сервисов в том числе в бюджетных организациях, образовательных учреждениях и т. д. Льготы на пользование и оплату российских цифровых сервисов будут получать в том числе предприятия малого и среднего бизнеса.</w:t>
      </w:r>
    </w:p>
    <w:p w14:paraId="7CBA228F" w14:textId="263560E8" w:rsidR="00453FE9" w:rsidRPr="009560D1" w:rsidRDefault="00453FE9"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целом, несмотря на противоречивость методов, которых придерживается правительство РФ, стоит отметить, что на протяжении последних нескольких лет,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 xml:space="preserve">бизнес растет в размерах. Так, число специалистов в области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 на 2022 год составляет 1355 тыс. человек, что по сравнению с 2021 показывает рост почти 7%, а динамика за последние 5 лет в целом составляет 4,5 % в год. Рост в реальном выражении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сектора составил 10,8% в 2021 году и достиг 3,7 трлн рублей</w:t>
      </w:r>
      <w:r w:rsidRPr="009560D1">
        <w:rPr>
          <w:rStyle w:val="a6"/>
          <w:rFonts w:ascii="Times New Roman" w:hAnsi="Times New Roman" w:cs="Times New Roman"/>
          <w:sz w:val="28"/>
          <w:szCs w:val="28"/>
          <w:lang w:val="ru-RU"/>
        </w:rPr>
        <w:footnoteReference w:id="14"/>
      </w:r>
      <w:r w:rsidRPr="009560D1">
        <w:rPr>
          <w:rFonts w:ascii="Times New Roman" w:hAnsi="Times New Roman" w:cs="Times New Roman"/>
          <w:sz w:val="28"/>
          <w:szCs w:val="28"/>
          <w:lang w:val="ru-RU"/>
        </w:rPr>
        <w:t>.</w:t>
      </w:r>
    </w:p>
    <w:p w14:paraId="12CE51A1" w14:textId="1C6F4F3C" w:rsidR="001961F8" w:rsidRPr="009560D1" w:rsidRDefault="001961F8"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Таким образом, можно сказать, что на данный момент </w:t>
      </w:r>
      <w:r w:rsidRPr="009560D1">
        <w:rPr>
          <w:rFonts w:ascii="Times New Roman" w:hAnsi="Times New Roman" w:cs="Times New Roman"/>
          <w:sz w:val="28"/>
          <w:szCs w:val="28"/>
          <w:lang w:val="en-US"/>
        </w:rPr>
        <w:t xml:space="preserve">IT </w:t>
      </w:r>
      <w:r w:rsidRPr="009560D1">
        <w:rPr>
          <w:rFonts w:ascii="Times New Roman" w:hAnsi="Times New Roman" w:cs="Times New Roman"/>
          <w:sz w:val="28"/>
          <w:szCs w:val="28"/>
          <w:lang w:val="ru-RU"/>
        </w:rPr>
        <w:t>сектор в России переживает подъем, несмотря на трудности, связанные с оттоком специалистов и уходом зарубежных компаний. Меры по поддержке сектора в целом применяются в достаточно большом объеме, результат в последние годы оказывается больше положительным.</w:t>
      </w:r>
    </w:p>
    <w:p w14:paraId="1C1081F1" w14:textId="237CAF29" w:rsidR="001961F8" w:rsidRPr="009560D1" w:rsidRDefault="001961F8"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Формирование информационного сектора экономики является стратегической задачей в России. Развитие и формирования кластеров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lastRenderedPageBreak/>
        <w:t>сектора есть неотъемлемая задача, которая стоит как перед государством, так и перед инвесторами.</w:t>
      </w:r>
    </w:p>
    <w:p w14:paraId="3B6BE708" w14:textId="69E6E313" w:rsidR="001961F8" w:rsidRPr="009560D1" w:rsidRDefault="001961F8"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Важнейшей задачей является формирование справедливых условия распределения финансовых благ, формирования поддержки не только крупным корпорациям, но и начинающим стартапам, которые в будущем могут занимать весомое положение на рынке информационных услуг.</w:t>
      </w:r>
    </w:p>
    <w:p w14:paraId="59A22E76" w14:textId="77777777" w:rsidR="001961F8" w:rsidRPr="009560D1" w:rsidRDefault="001961F8" w:rsidP="009560D1">
      <w:pPr>
        <w:spacing w:after="160" w:line="259" w:lineRule="auto"/>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br w:type="page"/>
      </w:r>
    </w:p>
    <w:p w14:paraId="628D82FC" w14:textId="494D6B4F" w:rsidR="001961F8" w:rsidRPr="009560D1" w:rsidRDefault="001961F8" w:rsidP="005C0478">
      <w:pPr>
        <w:pStyle w:val="1"/>
        <w:spacing w:before="0" w:line="360" w:lineRule="auto"/>
        <w:jc w:val="center"/>
        <w:rPr>
          <w:rFonts w:cs="Times New Roman"/>
          <w:szCs w:val="28"/>
          <w:lang w:val="ru-RU"/>
        </w:rPr>
      </w:pPr>
      <w:bookmarkStart w:id="13" w:name="_Toc138357331"/>
      <w:r w:rsidRPr="009560D1">
        <w:rPr>
          <w:rFonts w:cs="Times New Roman"/>
          <w:szCs w:val="28"/>
          <w:lang w:val="ru-RU"/>
        </w:rPr>
        <w:lastRenderedPageBreak/>
        <w:t>ЗАКЛЮЧЕНИЕ</w:t>
      </w:r>
      <w:bookmarkEnd w:id="13"/>
    </w:p>
    <w:p w14:paraId="3975772D" w14:textId="77777777" w:rsidR="009560D1" w:rsidRPr="009560D1" w:rsidRDefault="009560D1" w:rsidP="009560D1">
      <w:pPr>
        <w:rPr>
          <w:rFonts w:ascii="Times New Roman" w:hAnsi="Times New Roman" w:cs="Times New Roman"/>
          <w:sz w:val="28"/>
          <w:szCs w:val="28"/>
          <w:lang w:val="ru-RU"/>
        </w:rPr>
      </w:pPr>
    </w:p>
    <w:p w14:paraId="2EFC1513" w14:textId="28F00C34" w:rsidR="001961F8" w:rsidRPr="009560D1" w:rsidRDefault="00A82973"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ходе данной работы были исследованы теоретические основы и опыт применения инструментов финансового стимулирования предприятий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сектора. Основная цель исследования заключалась в изучении принципов, инструментов и эффективности финансового стимулирования в данной отрасли.</w:t>
      </w:r>
    </w:p>
    <w:p w14:paraId="3A954CDE" w14:textId="068316FF" w:rsidR="001F5206" w:rsidRPr="009560D1" w:rsidRDefault="001F520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Итак, финансовое стимулирование – это ряд методов, мер и инструментов, применяемых с целью дополнительной активизации экономической деятельности субъекта.</w:t>
      </w:r>
    </w:p>
    <w:p w14:paraId="50593A01" w14:textId="0C96AB20" w:rsidR="00A82973" w:rsidRPr="009560D1" w:rsidRDefault="00A82973"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Стоит отметить наличие разнообразных инструментов финансового стимулирования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 xml:space="preserve">компаний, среди которых особо важными считаются налоговые преференции, субсидии, льготное кредитование. Каждый из них, </w:t>
      </w:r>
      <w:r w:rsidR="001F5206" w:rsidRPr="009560D1">
        <w:rPr>
          <w:rFonts w:ascii="Times New Roman" w:hAnsi="Times New Roman" w:cs="Times New Roman"/>
          <w:sz w:val="28"/>
          <w:szCs w:val="28"/>
          <w:lang w:val="ru-RU"/>
        </w:rPr>
        <w:t>по-своему</w:t>
      </w:r>
      <w:r w:rsidRPr="009560D1">
        <w:rPr>
          <w:rFonts w:ascii="Times New Roman" w:hAnsi="Times New Roman" w:cs="Times New Roman"/>
          <w:sz w:val="28"/>
          <w:szCs w:val="28"/>
          <w:lang w:val="ru-RU"/>
        </w:rPr>
        <w:t xml:space="preserve"> позволяет обеспечить преимущества компании, работающей в </w:t>
      </w:r>
      <w:r w:rsidR="001F5206" w:rsidRPr="009560D1">
        <w:rPr>
          <w:rFonts w:ascii="Times New Roman" w:hAnsi="Times New Roman" w:cs="Times New Roman"/>
          <w:sz w:val="28"/>
          <w:szCs w:val="28"/>
          <w:lang w:val="ru-RU"/>
        </w:rPr>
        <w:t>сфере информационных технологий.</w:t>
      </w:r>
    </w:p>
    <w:p w14:paraId="3E7A89FA" w14:textId="2426A166" w:rsidR="001F5206" w:rsidRPr="009560D1" w:rsidRDefault="001F520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Основными принципами финансового стимулирования являются:</w:t>
      </w:r>
    </w:p>
    <w:p w14:paraId="235237A8" w14:textId="58DE1DEB" w:rsidR="001F5206" w:rsidRPr="009560D1" w:rsidRDefault="001F5206"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целенаправленности и стратегической ориентации;</w:t>
      </w:r>
    </w:p>
    <w:p w14:paraId="3EC052B2" w14:textId="3124B980" w:rsidR="001F5206" w:rsidRPr="009560D1" w:rsidRDefault="001F5206"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гибкости и адаптивности;</w:t>
      </w:r>
    </w:p>
    <w:p w14:paraId="64CF3AF0" w14:textId="68ED280F" w:rsidR="001F5206" w:rsidRPr="009560D1" w:rsidRDefault="001F5206"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справедливости и прозрачности;</w:t>
      </w:r>
    </w:p>
    <w:p w14:paraId="3AF15339" w14:textId="6D26A901" w:rsidR="001F5206" w:rsidRPr="009560D1" w:rsidRDefault="001F5206"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эффективности и результативности;</w:t>
      </w:r>
    </w:p>
    <w:p w14:paraId="459543F8" w14:textId="073BD12E" w:rsidR="001F5206" w:rsidRPr="009560D1" w:rsidRDefault="001F5206" w:rsidP="009560D1">
      <w:pPr>
        <w:pStyle w:val="a3"/>
        <w:numPr>
          <w:ilvl w:val="0"/>
          <w:numId w:val="17"/>
        </w:numPr>
        <w:spacing w:line="360" w:lineRule="auto"/>
        <w:ind w:left="0"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принцип устойчивости и долгосрочности.</w:t>
      </w:r>
    </w:p>
    <w:p w14:paraId="20A46D00" w14:textId="7067D97B" w:rsidR="001F5206" w:rsidRPr="009560D1" w:rsidRDefault="001F520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В России с 2013 года действует указ, который поэтапно расписывает этапы цифровизации и развития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отрасли в стране. С тех пор проведено немало работы, особенно важным считается снижения налога на прибыль, нулевая ставка НДС на цифровые продукты и сниженные социальные взносы.</w:t>
      </w:r>
    </w:p>
    <w:p w14:paraId="73DA2B24" w14:textId="2EE9CC19" w:rsidR="001F5206" w:rsidRPr="009560D1" w:rsidRDefault="001F520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Продолжение эта инициатива получила в документе об утверждении «дорожной карты», которая предусматривает 62 мероприятия, для улучшения состояния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инфраструктуры России.</w:t>
      </w:r>
    </w:p>
    <w:p w14:paraId="0ACC80BB" w14:textId="4A0AE53C" w:rsidR="001F5206" w:rsidRPr="009560D1" w:rsidRDefault="001F5206"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Некоторые из этих мероприятий содержат протекционистские меры, связанные с увеличением взимаемых налогов </w:t>
      </w:r>
      <w:r w:rsidR="00133CE5" w:rsidRPr="009560D1">
        <w:rPr>
          <w:rFonts w:ascii="Times New Roman" w:hAnsi="Times New Roman" w:cs="Times New Roman"/>
          <w:sz w:val="28"/>
          <w:szCs w:val="28"/>
          <w:lang w:val="ru-RU"/>
        </w:rPr>
        <w:t>с</w:t>
      </w:r>
      <w:r w:rsidRPr="009560D1">
        <w:rPr>
          <w:rFonts w:ascii="Times New Roman" w:hAnsi="Times New Roman" w:cs="Times New Roman"/>
          <w:sz w:val="28"/>
          <w:szCs w:val="28"/>
          <w:lang w:val="ru-RU"/>
        </w:rPr>
        <w:t xml:space="preserve"> иностранных продуктов, </w:t>
      </w:r>
      <w:r w:rsidRPr="009560D1">
        <w:rPr>
          <w:rFonts w:ascii="Times New Roman" w:hAnsi="Times New Roman" w:cs="Times New Roman"/>
          <w:sz w:val="28"/>
          <w:szCs w:val="28"/>
          <w:lang w:val="ru-RU"/>
        </w:rPr>
        <w:lastRenderedPageBreak/>
        <w:t>скидки на приобретение российского ПО для малого и среднего бизнеса</w:t>
      </w:r>
      <w:r w:rsidR="00133CE5" w:rsidRPr="009560D1">
        <w:rPr>
          <w:rFonts w:ascii="Times New Roman" w:hAnsi="Times New Roman" w:cs="Times New Roman"/>
          <w:sz w:val="28"/>
          <w:szCs w:val="28"/>
          <w:lang w:val="ru-RU"/>
        </w:rPr>
        <w:t>, а также обязательное использование российских программ в бюджетных организациях.</w:t>
      </w:r>
    </w:p>
    <w:p w14:paraId="5A0477D4" w14:textId="30A7CF36" w:rsidR="00133CE5" w:rsidRPr="009560D1" w:rsidRDefault="00133CE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О результатах проведенной работы свидетельствуют цифры роста как специалистов в технологичной отрасли, так и увеличению в реальном выражении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сектора на 10,8 % в 2021 году.</w:t>
      </w:r>
    </w:p>
    <w:p w14:paraId="38440AE6" w14:textId="241C2FC4" w:rsidR="00133CE5" w:rsidRPr="009560D1" w:rsidRDefault="00133CE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t xml:space="preserve">Помимо позитивных изменений есть и некоторые противоречия, которые связаны с нарушением принципа справедливости распределения финансовых преимуществ между крупными и малыми </w:t>
      </w:r>
      <w:r w:rsidRPr="009560D1">
        <w:rPr>
          <w:rFonts w:ascii="Times New Roman" w:hAnsi="Times New Roman" w:cs="Times New Roman"/>
          <w:sz w:val="28"/>
          <w:szCs w:val="28"/>
          <w:lang w:val="en-US"/>
        </w:rPr>
        <w:t>IT-</w:t>
      </w:r>
      <w:r w:rsidRPr="009560D1">
        <w:rPr>
          <w:rFonts w:ascii="Times New Roman" w:hAnsi="Times New Roman" w:cs="Times New Roman"/>
          <w:sz w:val="28"/>
          <w:szCs w:val="28"/>
          <w:lang w:val="ru-RU"/>
        </w:rPr>
        <w:t>компаниями.</w:t>
      </w:r>
      <w:r w:rsidRPr="009560D1">
        <w:rPr>
          <w:rFonts w:ascii="Times New Roman" w:hAnsi="Times New Roman" w:cs="Times New Roman"/>
          <w:sz w:val="28"/>
          <w:szCs w:val="28"/>
          <w:lang w:val="ru-RU"/>
        </w:rPr>
        <w:br/>
      </w:r>
    </w:p>
    <w:p w14:paraId="68613BB5" w14:textId="77777777" w:rsidR="00133CE5" w:rsidRPr="009560D1" w:rsidRDefault="00133CE5" w:rsidP="009560D1">
      <w:pPr>
        <w:spacing w:line="360" w:lineRule="auto"/>
        <w:ind w:firstLine="851"/>
        <w:jc w:val="both"/>
        <w:rPr>
          <w:rFonts w:ascii="Times New Roman" w:hAnsi="Times New Roman" w:cs="Times New Roman"/>
          <w:sz w:val="28"/>
          <w:szCs w:val="28"/>
          <w:lang w:val="ru-RU"/>
        </w:rPr>
      </w:pPr>
      <w:r w:rsidRPr="009560D1">
        <w:rPr>
          <w:rFonts w:ascii="Times New Roman" w:hAnsi="Times New Roman" w:cs="Times New Roman"/>
          <w:sz w:val="28"/>
          <w:szCs w:val="28"/>
          <w:lang w:val="ru-RU"/>
        </w:rPr>
        <w:br w:type="page"/>
      </w:r>
    </w:p>
    <w:p w14:paraId="426A37E8" w14:textId="77777777" w:rsidR="00576148" w:rsidRPr="009560D1" w:rsidRDefault="00576148" w:rsidP="009560D1">
      <w:pPr>
        <w:pStyle w:val="1"/>
        <w:jc w:val="center"/>
        <w:rPr>
          <w:rFonts w:cs="Times New Roman"/>
          <w:szCs w:val="28"/>
        </w:rPr>
      </w:pPr>
      <w:bookmarkStart w:id="14" w:name="_Toc138357332"/>
      <w:r w:rsidRPr="009560D1">
        <w:rPr>
          <w:rFonts w:cs="Times New Roman"/>
          <w:szCs w:val="28"/>
        </w:rPr>
        <w:lastRenderedPageBreak/>
        <w:t>СПИСОК ИСПОЛЬЗОВАННЫХ ИСТОЧНИКОВ</w:t>
      </w:r>
      <w:bookmarkEnd w:id="14"/>
    </w:p>
    <w:p w14:paraId="77117E8A" w14:textId="77777777" w:rsidR="009560D1" w:rsidRPr="009560D1" w:rsidRDefault="009560D1" w:rsidP="009560D1">
      <w:pPr>
        <w:rPr>
          <w:rFonts w:ascii="Times New Roman" w:hAnsi="Times New Roman" w:cs="Times New Roman"/>
          <w:sz w:val="28"/>
          <w:szCs w:val="28"/>
        </w:rPr>
      </w:pPr>
    </w:p>
    <w:p w14:paraId="7FEFA9AD"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Алиев, Р. И. Инвестиции в ИТ - продукции и технологии / Р. И. Алиев // Актуальные вопросы и основы международного сотрудничества в сфере высоких </w:t>
      </w:r>
      <w:proofErr w:type="gramStart"/>
      <w:r w:rsidRPr="009560D1">
        <w:rPr>
          <w:rFonts w:ascii="Times New Roman" w:hAnsi="Times New Roman" w:cs="Times New Roman"/>
          <w:bCs/>
          <w:sz w:val="28"/>
          <w:szCs w:val="28"/>
        </w:rPr>
        <w:t>технологий :</w:t>
      </w:r>
      <w:proofErr w:type="gramEnd"/>
      <w:r w:rsidRPr="009560D1">
        <w:rPr>
          <w:rFonts w:ascii="Times New Roman" w:hAnsi="Times New Roman" w:cs="Times New Roman"/>
          <w:bCs/>
          <w:sz w:val="28"/>
          <w:szCs w:val="28"/>
        </w:rPr>
        <w:t xml:space="preserve"> сборник статей по итогам Международной научно-практической конференции, Стерлитамак, 19 декабря 2017 года. – Стерлитамак: Общество с ограниченной ответственностью "Агентство международных исследований", 2017. – С. </w:t>
      </w:r>
      <w:proofErr w:type="gramStart"/>
      <w:r w:rsidRPr="009560D1">
        <w:rPr>
          <w:rFonts w:ascii="Times New Roman" w:hAnsi="Times New Roman" w:cs="Times New Roman"/>
          <w:bCs/>
          <w:sz w:val="28"/>
          <w:szCs w:val="28"/>
        </w:rPr>
        <w:t>5-7</w:t>
      </w:r>
      <w:proofErr w:type="gramEnd"/>
      <w:r w:rsidRPr="009560D1">
        <w:rPr>
          <w:rFonts w:ascii="Times New Roman" w:hAnsi="Times New Roman" w:cs="Times New Roman"/>
          <w:bCs/>
          <w:sz w:val="28"/>
          <w:szCs w:val="28"/>
        </w:rPr>
        <w:t>.</w:t>
      </w:r>
    </w:p>
    <w:p w14:paraId="284D4F5B"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proofErr w:type="spellStart"/>
      <w:r w:rsidRPr="009560D1">
        <w:rPr>
          <w:rFonts w:ascii="Times New Roman" w:hAnsi="Times New Roman" w:cs="Times New Roman"/>
          <w:bCs/>
          <w:sz w:val="28"/>
          <w:szCs w:val="28"/>
        </w:rPr>
        <w:t>Безникин</w:t>
      </w:r>
      <w:proofErr w:type="spellEnd"/>
      <w:r w:rsidRPr="009560D1">
        <w:rPr>
          <w:rFonts w:ascii="Times New Roman" w:hAnsi="Times New Roman" w:cs="Times New Roman"/>
          <w:bCs/>
          <w:sz w:val="28"/>
          <w:szCs w:val="28"/>
        </w:rPr>
        <w:t xml:space="preserve">, Д. С. Инвестирование на рынке информационных технологий / Д. С. </w:t>
      </w:r>
      <w:proofErr w:type="spellStart"/>
      <w:r w:rsidRPr="009560D1">
        <w:rPr>
          <w:rFonts w:ascii="Times New Roman" w:hAnsi="Times New Roman" w:cs="Times New Roman"/>
          <w:bCs/>
          <w:sz w:val="28"/>
          <w:szCs w:val="28"/>
        </w:rPr>
        <w:t>Безникин</w:t>
      </w:r>
      <w:proofErr w:type="spellEnd"/>
      <w:r w:rsidRPr="009560D1">
        <w:rPr>
          <w:rFonts w:ascii="Times New Roman" w:hAnsi="Times New Roman" w:cs="Times New Roman"/>
          <w:bCs/>
          <w:sz w:val="28"/>
          <w:szCs w:val="28"/>
        </w:rPr>
        <w:t xml:space="preserve">, А. В. Ремпель, А. Р. Ожерельева // Синергия Наук. – 2018. – № 25. – С. </w:t>
      </w:r>
      <w:proofErr w:type="gramStart"/>
      <w:r w:rsidRPr="009560D1">
        <w:rPr>
          <w:rFonts w:ascii="Times New Roman" w:hAnsi="Times New Roman" w:cs="Times New Roman"/>
          <w:bCs/>
          <w:sz w:val="28"/>
          <w:szCs w:val="28"/>
        </w:rPr>
        <w:t>168-173</w:t>
      </w:r>
      <w:proofErr w:type="gramEnd"/>
      <w:r w:rsidRPr="009560D1">
        <w:rPr>
          <w:rFonts w:ascii="Times New Roman" w:hAnsi="Times New Roman" w:cs="Times New Roman"/>
          <w:bCs/>
          <w:sz w:val="28"/>
          <w:szCs w:val="28"/>
        </w:rPr>
        <w:t>.</w:t>
      </w:r>
    </w:p>
    <w:p w14:paraId="38EA1320"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Беличенко, А.С. Особенности функционирования интернет-экономики и </w:t>
      </w:r>
      <w:proofErr w:type="spellStart"/>
      <w:r w:rsidRPr="009560D1">
        <w:rPr>
          <w:rFonts w:ascii="Times New Roman" w:hAnsi="Times New Roman" w:cs="Times New Roman"/>
          <w:bCs/>
          <w:sz w:val="28"/>
          <w:szCs w:val="28"/>
        </w:rPr>
        <w:t>digital</w:t>
      </w:r>
      <w:proofErr w:type="spellEnd"/>
      <w:r w:rsidRPr="009560D1">
        <w:rPr>
          <w:rFonts w:ascii="Times New Roman" w:hAnsi="Times New Roman" w:cs="Times New Roman"/>
          <w:bCs/>
          <w:sz w:val="28"/>
          <w:szCs w:val="28"/>
        </w:rPr>
        <w:t xml:space="preserve">-агентств в Российской Федерации / А. С. Беличенко // Современная конкуренция. — 2020. — № 4. — С. </w:t>
      </w:r>
      <w:proofErr w:type="gramStart"/>
      <w:r w:rsidRPr="009560D1">
        <w:rPr>
          <w:rFonts w:ascii="Times New Roman" w:hAnsi="Times New Roman" w:cs="Times New Roman"/>
          <w:bCs/>
          <w:sz w:val="28"/>
          <w:szCs w:val="28"/>
        </w:rPr>
        <w:t>95-112</w:t>
      </w:r>
      <w:proofErr w:type="gramEnd"/>
      <w:r w:rsidRPr="009560D1">
        <w:rPr>
          <w:rFonts w:ascii="Times New Roman" w:hAnsi="Times New Roman" w:cs="Times New Roman"/>
          <w:bCs/>
          <w:sz w:val="28"/>
          <w:szCs w:val="28"/>
        </w:rPr>
        <w:t>.</w:t>
      </w:r>
    </w:p>
    <w:p w14:paraId="06EC8DE4"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Горбушина, С. Г. Инвестиционные приоритеты современной России: развитие внутреннего рынка инвестирования / С. Г. Горбушина // Архитектура финансов: антикризисные финансовые стратегии в условиях глобальных </w:t>
      </w:r>
      <w:proofErr w:type="gramStart"/>
      <w:r w:rsidRPr="009560D1">
        <w:rPr>
          <w:rFonts w:ascii="Times New Roman" w:hAnsi="Times New Roman" w:cs="Times New Roman"/>
          <w:bCs/>
          <w:sz w:val="28"/>
          <w:szCs w:val="28"/>
        </w:rPr>
        <w:t>перемен :</w:t>
      </w:r>
      <w:proofErr w:type="gramEnd"/>
      <w:r w:rsidRPr="009560D1">
        <w:rPr>
          <w:rFonts w:ascii="Times New Roman" w:hAnsi="Times New Roman" w:cs="Times New Roman"/>
          <w:bCs/>
          <w:sz w:val="28"/>
          <w:szCs w:val="28"/>
        </w:rPr>
        <w:t xml:space="preserve"> сборник материалов VII Международной научно-практической конференции, Санкт-Петербург, 21–22 апреля 2016 года. – Санкт-Петербург: Санкт-Петербургский государственный экономический университет, 2016. – С. </w:t>
      </w:r>
      <w:proofErr w:type="gramStart"/>
      <w:r w:rsidRPr="009560D1">
        <w:rPr>
          <w:rFonts w:ascii="Times New Roman" w:hAnsi="Times New Roman" w:cs="Times New Roman"/>
          <w:bCs/>
          <w:sz w:val="28"/>
          <w:szCs w:val="28"/>
        </w:rPr>
        <w:t>64-67</w:t>
      </w:r>
      <w:proofErr w:type="gramEnd"/>
      <w:r w:rsidRPr="009560D1">
        <w:rPr>
          <w:rFonts w:ascii="Times New Roman" w:hAnsi="Times New Roman" w:cs="Times New Roman"/>
          <w:bCs/>
          <w:sz w:val="28"/>
          <w:szCs w:val="28"/>
        </w:rPr>
        <w:t>.</w:t>
      </w:r>
    </w:p>
    <w:p w14:paraId="3C0C2072"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Громов В. В. Специфика и проблемы налогового стимулирования малых ИТ-компаний в России URL: https://cyberleninka.ru/article/n/spetsifika-i-problemy-nalogovogo-stimulirovaniya-malyh-it-kompaniy-v-rossii/viewer (дата обращения 20.06.2023)</w:t>
      </w:r>
    </w:p>
    <w:p w14:paraId="38458D3B"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Демура, Н.А. Цифровизация: сущность и роль в развитии национальной экономики / Н. А. Демура, Н. П. </w:t>
      </w:r>
      <w:proofErr w:type="spellStart"/>
      <w:r w:rsidRPr="009560D1">
        <w:rPr>
          <w:rFonts w:ascii="Times New Roman" w:hAnsi="Times New Roman" w:cs="Times New Roman"/>
          <w:bCs/>
          <w:sz w:val="28"/>
          <w:szCs w:val="28"/>
        </w:rPr>
        <w:t>Путивцева</w:t>
      </w:r>
      <w:proofErr w:type="spellEnd"/>
      <w:r w:rsidRPr="009560D1">
        <w:rPr>
          <w:rFonts w:ascii="Times New Roman" w:hAnsi="Times New Roman" w:cs="Times New Roman"/>
          <w:bCs/>
          <w:sz w:val="28"/>
          <w:szCs w:val="28"/>
        </w:rPr>
        <w:t xml:space="preserve"> // Научный результат. Экономические исследования. — 2021. — № 1. — С. </w:t>
      </w:r>
      <w:proofErr w:type="gramStart"/>
      <w:r w:rsidRPr="009560D1">
        <w:rPr>
          <w:rFonts w:ascii="Times New Roman" w:hAnsi="Times New Roman" w:cs="Times New Roman"/>
          <w:bCs/>
          <w:sz w:val="28"/>
          <w:szCs w:val="28"/>
        </w:rPr>
        <w:t>22-30</w:t>
      </w:r>
      <w:proofErr w:type="gramEnd"/>
      <w:r w:rsidRPr="009560D1">
        <w:rPr>
          <w:rFonts w:ascii="Times New Roman" w:hAnsi="Times New Roman" w:cs="Times New Roman"/>
          <w:bCs/>
          <w:sz w:val="28"/>
          <w:szCs w:val="28"/>
        </w:rPr>
        <w:t>.</w:t>
      </w:r>
    </w:p>
    <w:p w14:paraId="5F47E5C6"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proofErr w:type="spellStart"/>
      <w:r w:rsidRPr="009560D1">
        <w:rPr>
          <w:rFonts w:ascii="Times New Roman" w:hAnsi="Times New Roman" w:cs="Times New Roman"/>
          <w:bCs/>
          <w:sz w:val="28"/>
          <w:szCs w:val="28"/>
        </w:rPr>
        <w:t>Ерёмченко</w:t>
      </w:r>
      <w:proofErr w:type="spellEnd"/>
      <w:r w:rsidRPr="009560D1">
        <w:rPr>
          <w:rFonts w:ascii="Times New Roman" w:hAnsi="Times New Roman" w:cs="Times New Roman"/>
          <w:bCs/>
          <w:sz w:val="28"/>
          <w:szCs w:val="28"/>
        </w:rPr>
        <w:t xml:space="preserve">, О.А. ФОНДЫ СПЕЦИАЛИЗИРОВАННЫХ ВЕНЧУРНЫХ ФОНДОВ КАК ИНСТРУМЕНТ ПОДДЕРЖКИ </w:t>
      </w:r>
      <w:r w:rsidRPr="009560D1">
        <w:rPr>
          <w:rFonts w:ascii="Times New Roman" w:hAnsi="Times New Roman" w:cs="Times New Roman"/>
          <w:bCs/>
          <w:sz w:val="28"/>
          <w:szCs w:val="28"/>
        </w:rPr>
        <w:lastRenderedPageBreak/>
        <w:t xml:space="preserve">ИНВЕСТИЦИЙ В ПЕРЕДОВЫЕ ТЕХНОЛОГИИ / О. А. </w:t>
      </w:r>
      <w:proofErr w:type="spellStart"/>
      <w:r w:rsidRPr="009560D1">
        <w:rPr>
          <w:rFonts w:ascii="Times New Roman" w:hAnsi="Times New Roman" w:cs="Times New Roman"/>
          <w:bCs/>
          <w:sz w:val="28"/>
          <w:szCs w:val="28"/>
        </w:rPr>
        <w:t>Ерёмченко</w:t>
      </w:r>
      <w:proofErr w:type="spellEnd"/>
      <w:r w:rsidRPr="009560D1">
        <w:rPr>
          <w:rFonts w:ascii="Times New Roman" w:hAnsi="Times New Roman" w:cs="Times New Roman"/>
          <w:bCs/>
          <w:sz w:val="28"/>
          <w:szCs w:val="28"/>
        </w:rPr>
        <w:t xml:space="preserve"> // Экономика науки. — 2021. — № 3. — С. </w:t>
      </w:r>
      <w:proofErr w:type="gramStart"/>
      <w:r w:rsidRPr="009560D1">
        <w:rPr>
          <w:rFonts w:ascii="Times New Roman" w:hAnsi="Times New Roman" w:cs="Times New Roman"/>
          <w:bCs/>
          <w:sz w:val="28"/>
          <w:szCs w:val="28"/>
        </w:rPr>
        <w:t>217-226</w:t>
      </w:r>
      <w:proofErr w:type="gramEnd"/>
      <w:r w:rsidRPr="009560D1">
        <w:rPr>
          <w:rFonts w:ascii="Times New Roman" w:hAnsi="Times New Roman" w:cs="Times New Roman"/>
          <w:bCs/>
          <w:sz w:val="28"/>
          <w:szCs w:val="28"/>
        </w:rPr>
        <w:t>.</w:t>
      </w:r>
    </w:p>
    <w:p w14:paraId="6446D8DC"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Иванова, А. О. Оценка выбора инвестирования в ИТ-проекты по методу экспертного многокритериального оценивания / А. О. Иванова // Молодой ученый. – 2020. – № 23(313). – С. </w:t>
      </w:r>
      <w:proofErr w:type="gramStart"/>
      <w:r w:rsidRPr="009560D1">
        <w:rPr>
          <w:rFonts w:ascii="Times New Roman" w:hAnsi="Times New Roman" w:cs="Times New Roman"/>
          <w:bCs/>
          <w:sz w:val="28"/>
          <w:szCs w:val="28"/>
        </w:rPr>
        <w:t>392-396</w:t>
      </w:r>
      <w:proofErr w:type="gramEnd"/>
      <w:r w:rsidRPr="009560D1">
        <w:rPr>
          <w:rFonts w:ascii="Times New Roman" w:hAnsi="Times New Roman" w:cs="Times New Roman"/>
          <w:bCs/>
          <w:sz w:val="28"/>
          <w:szCs w:val="28"/>
        </w:rPr>
        <w:t>.</w:t>
      </w:r>
    </w:p>
    <w:p w14:paraId="0CFA5A66"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Инвестиции в меняющемся мире: направления, приоритеты, </w:t>
      </w:r>
      <w:proofErr w:type="gramStart"/>
      <w:r w:rsidRPr="009560D1">
        <w:rPr>
          <w:rFonts w:ascii="Times New Roman" w:hAnsi="Times New Roman" w:cs="Times New Roman"/>
          <w:bCs/>
          <w:sz w:val="28"/>
          <w:szCs w:val="28"/>
        </w:rPr>
        <w:t>инструменты :</w:t>
      </w:r>
      <w:proofErr w:type="gramEnd"/>
      <w:r w:rsidRPr="009560D1">
        <w:rPr>
          <w:rFonts w:ascii="Times New Roman" w:hAnsi="Times New Roman" w:cs="Times New Roman"/>
          <w:bCs/>
          <w:sz w:val="28"/>
          <w:szCs w:val="28"/>
        </w:rPr>
        <w:t xml:space="preserve"> монография / А. И. Данилов, О. Ю. Ермоловская, Е. Б. </w:t>
      </w:r>
      <w:proofErr w:type="spellStart"/>
      <w:r w:rsidRPr="009560D1">
        <w:rPr>
          <w:rFonts w:ascii="Times New Roman" w:hAnsi="Times New Roman" w:cs="Times New Roman"/>
          <w:bCs/>
          <w:sz w:val="28"/>
          <w:szCs w:val="28"/>
        </w:rPr>
        <w:t>Тютюкина</w:t>
      </w:r>
      <w:proofErr w:type="spellEnd"/>
      <w:r w:rsidRPr="009560D1">
        <w:rPr>
          <w:rFonts w:ascii="Times New Roman" w:hAnsi="Times New Roman" w:cs="Times New Roman"/>
          <w:bCs/>
          <w:sz w:val="28"/>
          <w:szCs w:val="28"/>
        </w:rPr>
        <w:t xml:space="preserve"> [и др.]. — </w:t>
      </w:r>
      <w:proofErr w:type="gramStart"/>
      <w:r w:rsidRPr="009560D1">
        <w:rPr>
          <w:rFonts w:ascii="Times New Roman" w:hAnsi="Times New Roman" w:cs="Times New Roman"/>
          <w:bCs/>
          <w:sz w:val="28"/>
          <w:szCs w:val="28"/>
        </w:rPr>
        <w:t>Москва :</w:t>
      </w:r>
      <w:proofErr w:type="gramEnd"/>
      <w:r w:rsidRPr="009560D1">
        <w:rPr>
          <w:rFonts w:ascii="Times New Roman" w:hAnsi="Times New Roman" w:cs="Times New Roman"/>
          <w:bCs/>
          <w:sz w:val="28"/>
          <w:szCs w:val="28"/>
        </w:rPr>
        <w:t xml:space="preserve"> Дашков и К, 2021. — 190 с.</w:t>
      </w:r>
    </w:p>
    <w:p w14:paraId="7B6AB2CC"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Казарин </w:t>
      </w:r>
      <w:proofErr w:type="gramStart"/>
      <w:r w:rsidRPr="009560D1">
        <w:rPr>
          <w:rFonts w:ascii="Times New Roman" w:hAnsi="Times New Roman" w:cs="Times New Roman"/>
          <w:bCs/>
          <w:sz w:val="28"/>
          <w:szCs w:val="28"/>
        </w:rPr>
        <w:t>С.В.</w:t>
      </w:r>
      <w:proofErr w:type="gramEnd"/>
      <w:r w:rsidRPr="009560D1">
        <w:rPr>
          <w:rFonts w:ascii="Times New Roman" w:hAnsi="Times New Roman" w:cs="Times New Roman"/>
          <w:bCs/>
          <w:sz w:val="28"/>
          <w:szCs w:val="28"/>
        </w:rPr>
        <w:t>, Свечникова Н. Ю. Исследование влияния предоставления налоговых льгот на эффективность развития ИТ-компаний в регионах Российской Федерации URL: https://cyberleninka.ru/article/n/issledovanie-vliyaniya-predostavleniya-nalogovyh-lgot-na-effektivnost-razvitiya-it-kompaniy-v-regionah-rossiyskoy-federatsii/viewer (дата обращения 20.06.2023)</w:t>
      </w:r>
    </w:p>
    <w:p w14:paraId="475A41B5"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proofErr w:type="spellStart"/>
      <w:r w:rsidRPr="009560D1">
        <w:rPr>
          <w:rFonts w:ascii="Times New Roman" w:hAnsi="Times New Roman" w:cs="Times New Roman"/>
          <w:bCs/>
          <w:sz w:val="28"/>
          <w:szCs w:val="28"/>
        </w:rPr>
        <w:t>Краузе</w:t>
      </w:r>
      <w:proofErr w:type="spellEnd"/>
      <w:r w:rsidRPr="009560D1">
        <w:rPr>
          <w:rFonts w:ascii="Times New Roman" w:hAnsi="Times New Roman" w:cs="Times New Roman"/>
          <w:bCs/>
          <w:sz w:val="28"/>
          <w:szCs w:val="28"/>
        </w:rPr>
        <w:t xml:space="preserve">, Р.П. ПРОБЛЕМЫ УПРАВЛЕНИЯ ИТ-ИНВЕСТИЦИЯМИ НА ПРЕДПРИЯТИЯХ / Р.П. </w:t>
      </w:r>
      <w:proofErr w:type="spellStart"/>
      <w:r w:rsidRPr="009560D1">
        <w:rPr>
          <w:rFonts w:ascii="Times New Roman" w:hAnsi="Times New Roman" w:cs="Times New Roman"/>
          <w:bCs/>
          <w:sz w:val="28"/>
          <w:szCs w:val="28"/>
        </w:rPr>
        <w:t>Краузе</w:t>
      </w:r>
      <w:proofErr w:type="spellEnd"/>
      <w:r w:rsidRPr="009560D1">
        <w:rPr>
          <w:rFonts w:ascii="Times New Roman" w:hAnsi="Times New Roman" w:cs="Times New Roman"/>
          <w:bCs/>
          <w:sz w:val="28"/>
          <w:szCs w:val="28"/>
        </w:rPr>
        <w:t xml:space="preserve"> // Бизнес-образование в экономике знаний. — 2019. — № 3. — С. </w:t>
      </w:r>
      <w:proofErr w:type="gramStart"/>
      <w:r w:rsidRPr="009560D1">
        <w:rPr>
          <w:rFonts w:ascii="Times New Roman" w:hAnsi="Times New Roman" w:cs="Times New Roman"/>
          <w:bCs/>
          <w:sz w:val="28"/>
          <w:szCs w:val="28"/>
        </w:rPr>
        <w:t>63-66</w:t>
      </w:r>
      <w:proofErr w:type="gramEnd"/>
      <w:r w:rsidRPr="009560D1">
        <w:rPr>
          <w:rFonts w:ascii="Times New Roman" w:hAnsi="Times New Roman" w:cs="Times New Roman"/>
          <w:bCs/>
          <w:sz w:val="28"/>
          <w:szCs w:val="28"/>
        </w:rPr>
        <w:t>.</w:t>
      </w:r>
    </w:p>
    <w:p w14:paraId="6C97917F"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proofErr w:type="spellStart"/>
      <w:r w:rsidRPr="009560D1">
        <w:rPr>
          <w:rFonts w:ascii="Times New Roman" w:hAnsi="Times New Roman" w:cs="Times New Roman"/>
          <w:bCs/>
          <w:sz w:val="28"/>
          <w:szCs w:val="28"/>
        </w:rPr>
        <w:t>Кузовкова</w:t>
      </w:r>
      <w:proofErr w:type="spellEnd"/>
      <w:r w:rsidRPr="009560D1">
        <w:rPr>
          <w:rFonts w:ascii="Times New Roman" w:hAnsi="Times New Roman" w:cs="Times New Roman"/>
          <w:bCs/>
          <w:sz w:val="28"/>
          <w:szCs w:val="28"/>
        </w:rPr>
        <w:t xml:space="preserve">, Т. А. Анализ и прогнозирование развития инфокоммуникаций / Т. А. </w:t>
      </w:r>
      <w:proofErr w:type="spellStart"/>
      <w:r w:rsidRPr="009560D1">
        <w:rPr>
          <w:rFonts w:ascii="Times New Roman" w:hAnsi="Times New Roman" w:cs="Times New Roman"/>
          <w:bCs/>
          <w:sz w:val="28"/>
          <w:szCs w:val="28"/>
        </w:rPr>
        <w:t>Кузовкова</w:t>
      </w:r>
      <w:proofErr w:type="spellEnd"/>
      <w:r w:rsidRPr="009560D1">
        <w:rPr>
          <w:rFonts w:ascii="Times New Roman" w:hAnsi="Times New Roman" w:cs="Times New Roman"/>
          <w:bCs/>
          <w:sz w:val="28"/>
          <w:szCs w:val="28"/>
        </w:rPr>
        <w:t xml:space="preserve">, Л. С. Тимошенко. — 2-е </w:t>
      </w:r>
      <w:proofErr w:type="spellStart"/>
      <w:r w:rsidRPr="009560D1">
        <w:rPr>
          <w:rFonts w:ascii="Times New Roman" w:hAnsi="Times New Roman" w:cs="Times New Roman"/>
          <w:bCs/>
          <w:sz w:val="28"/>
          <w:szCs w:val="28"/>
        </w:rPr>
        <w:t>изд</w:t>
      </w:r>
      <w:proofErr w:type="spellEnd"/>
      <w:r w:rsidRPr="009560D1">
        <w:rPr>
          <w:rFonts w:ascii="Times New Roman" w:hAnsi="Times New Roman" w:cs="Times New Roman"/>
          <w:bCs/>
          <w:sz w:val="28"/>
          <w:szCs w:val="28"/>
        </w:rPr>
        <w:t xml:space="preserve">, </w:t>
      </w:r>
      <w:proofErr w:type="spellStart"/>
      <w:r w:rsidRPr="009560D1">
        <w:rPr>
          <w:rFonts w:ascii="Times New Roman" w:hAnsi="Times New Roman" w:cs="Times New Roman"/>
          <w:bCs/>
          <w:sz w:val="28"/>
          <w:szCs w:val="28"/>
        </w:rPr>
        <w:t>перераб</w:t>
      </w:r>
      <w:proofErr w:type="spellEnd"/>
      <w:r w:rsidRPr="009560D1">
        <w:rPr>
          <w:rFonts w:ascii="Times New Roman" w:hAnsi="Times New Roman" w:cs="Times New Roman"/>
          <w:bCs/>
          <w:sz w:val="28"/>
          <w:szCs w:val="28"/>
        </w:rPr>
        <w:t xml:space="preserve">. и доп. — </w:t>
      </w:r>
      <w:proofErr w:type="gramStart"/>
      <w:r w:rsidRPr="009560D1">
        <w:rPr>
          <w:rFonts w:ascii="Times New Roman" w:hAnsi="Times New Roman" w:cs="Times New Roman"/>
          <w:bCs/>
          <w:sz w:val="28"/>
          <w:szCs w:val="28"/>
        </w:rPr>
        <w:t>Москва :</w:t>
      </w:r>
      <w:proofErr w:type="gramEnd"/>
      <w:r w:rsidRPr="009560D1">
        <w:rPr>
          <w:rFonts w:ascii="Times New Roman" w:hAnsi="Times New Roman" w:cs="Times New Roman"/>
          <w:bCs/>
          <w:sz w:val="28"/>
          <w:szCs w:val="28"/>
        </w:rPr>
        <w:t xml:space="preserve"> Горячая линия-Телеком, 2017. — 174 с.</w:t>
      </w:r>
    </w:p>
    <w:p w14:paraId="0DB59FB0"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Налоговое стимулирование как инструмент реализации налоговой политики Белякова Е. И. Моденов А. К. // Петербургский экономический журнал. № 2. 2019. URL: https://cyberleninka.ru/article/n/nalogovoe-stimulirovanie-kak-instrument-realizatsii-nalogovoy-politiki/viewer (дата обращения 20.06.2023)</w:t>
      </w:r>
    </w:p>
    <w:p w14:paraId="0BBBE1CE"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bookmarkStart w:id="15" w:name="_Hlk138357676"/>
      <w:r w:rsidRPr="009560D1">
        <w:rPr>
          <w:rFonts w:ascii="Times New Roman" w:hAnsi="Times New Roman" w:cs="Times New Roman"/>
          <w:bCs/>
          <w:sz w:val="28"/>
          <w:szCs w:val="28"/>
        </w:rPr>
        <w:t xml:space="preserve">Налоговый кодекс РФ, ст. 284 п. 1.15 </w:t>
      </w:r>
      <w:r w:rsidRPr="009560D1">
        <w:rPr>
          <w:rFonts w:ascii="Times New Roman" w:hAnsi="Times New Roman" w:cs="Times New Roman"/>
          <w:bCs/>
          <w:sz w:val="28"/>
          <w:szCs w:val="28"/>
          <w:lang w:val="en-US"/>
        </w:rPr>
        <w:t>URL</w:t>
      </w:r>
      <w:r w:rsidRPr="009560D1">
        <w:rPr>
          <w:rFonts w:ascii="Times New Roman" w:hAnsi="Times New Roman" w:cs="Times New Roman"/>
          <w:bCs/>
          <w:sz w:val="28"/>
          <w:szCs w:val="28"/>
        </w:rPr>
        <w:t>: https://www.consultant.ru/document/cons_doc_LAW_28165/eb9180fc785448d58fe76ef323fb67d1832b9363/ (дата обращения 20.06.2023)</w:t>
      </w:r>
    </w:p>
    <w:p w14:paraId="41D25E86"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bookmarkStart w:id="16" w:name="_Hlk138355767"/>
      <w:bookmarkEnd w:id="15"/>
      <w:r w:rsidRPr="009560D1">
        <w:rPr>
          <w:rFonts w:ascii="Times New Roman" w:hAnsi="Times New Roman" w:cs="Times New Roman"/>
          <w:bCs/>
          <w:sz w:val="28"/>
          <w:szCs w:val="28"/>
        </w:rPr>
        <w:lastRenderedPageBreak/>
        <w:t xml:space="preserve">Налоговый кодекс РФ, ст. 427 п.1, п.5 </w:t>
      </w:r>
      <w:r w:rsidRPr="009560D1">
        <w:rPr>
          <w:rFonts w:ascii="Times New Roman" w:hAnsi="Times New Roman" w:cs="Times New Roman"/>
          <w:bCs/>
          <w:sz w:val="28"/>
          <w:szCs w:val="28"/>
          <w:lang w:val="en-US"/>
        </w:rPr>
        <w:t>URL: https://www.consultant.ru/document/cons_doc_LAW_28165/c5c16c86f95c5db63601047b1c0a5942bd77c824/ (</w:t>
      </w:r>
      <w:r w:rsidRPr="009560D1">
        <w:rPr>
          <w:rFonts w:ascii="Times New Roman" w:hAnsi="Times New Roman" w:cs="Times New Roman"/>
          <w:bCs/>
          <w:sz w:val="28"/>
          <w:szCs w:val="28"/>
        </w:rPr>
        <w:t>дата обращения 20.06.2023)</w:t>
      </w:r>
    </w:p>
    <w:bookmarkEnd w:id="16"/>
    <w:p w14:paraId="3E81077B"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Петросян, Г.С. ПРОГНОЗИРОВАНИЕ ОПЕРАЦИОННЫХ ИТ-РИСКОВ С ИСПОЛЬЗОВАНИЕМ ТЕОРИИ ЭКСТРЕМАЛЬНЫХ ВЕЛИЧИН / </w:t>
      </w:r>
      <w:proofErr w:type="gramStart"/>
      <w:r w:rsidRPr="009560D1">
        <w:rPr>
          <w:rFonts w:ascii="Times New Roman" w:hAnsi="Times New Roman" w:cs="Times New Roman"/>
          <w:bCs/>
          <w:sz w:val="28"/>
          <w:szCs w:val="28"/>
        </w:rPr>
        <w:t>Г.С.</w:t>
      </w:r>
      <w:proofErr w:type="gramEnd"/>
      <w:r w:rsidRPr="009560D1">
        <w:rPr>
          <w:rFonts w:ascii="Times New Roman" w:hAnsi="Times New Roman" w:cs="Times New Roman"/>
          <w:bCs/>
          <w:sz w:val="28"/>
          <w:szCs w:val="28"/>
        </w:rPr>
        <w:t xml:space="preserve"> Петросян // Вестник Московского государственного областного университета. Серия: Экономика. — 2018. — № 2. — С. </w:t>
      </w:r>
      <w:proofErr w:type="gramStart"/>
      <w:r w:rsidRPr="009560D1">
        <w:rPr>
          <w:rFonts w:ascii="Times New Roman" w:hAnsi="Times New Roman" w:cs="Times New Roman"/>
          <w:bCs/>
          <w:sz w:val="28"/>
          <w:szCs w:val="28"/>
        </w:rPr>
        <w:t>145-154</w:t>
      </w:r>
      <w:proofErr w:type="gramEnd"/>
      <w:r w:rsidRPr="009560D1">
        <w:rPr>
          <w:rFonts w:ascii="Times New Roman" w:hAnsi="Times New Roman" w:cs="Times New Roman"/>
          <w:bCs/>
          <w:sz w:val="28"/>
          <w:szCs w:val="28"/>
        </w:rPr>
        <w:t>.</w:t>
      </w:r>
    </w:p>
    <w:p w14:paraId="7708DA7D"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План мероприятий («дорожная карта») «Создание дополнительных условий для развития отрасли информационных технологий. от 9 сентября 2021г. URL: http://static.government.ru/media/files/gwQRcF4e3G6lA8vTMTNfNAcTWGeQxrt2.pdf (дата обращения 20.06.2023)</w:t>
      </w:r>
    </w:p>
    <w:p w14:paraId="29B2E153"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Пономаренко, К. В. Инвестиционная деятельность в условиях формирования цифровой экономики в РФ / К. В. Пономаренко, Л. А. Белова // Проектный и инвестиционный менеджмент в условиях цифровой </w:t>
      </w:r>
      <w:proofErr w:type="gramStart"/>
      <w:r w:rsidRPr="009560D1">
        <w:rPr>
          <w:rFonts w:ascii="Times New Roman" w:hAnsi="Times New Roman" w:cs="Times New Roman"/>
          <w:bCs/>
          <w:sz w:val="28"/>
          <w:szCs w:val="28"/>
        </w:rPr>
        <w:t>экономики :</w:t>
      </w:r>
      <w:proofErr w:type="gramEnd"/>
      <w:r w:rsidRPr="009560D1">
        <w:rPr>
          <w:rFonts w:ascii="Times New Roman" w:hAnsi="Times New Roman" w:cs="Times New Roman"/>
          <w:bCs/>
          <w:sz w:val="28"/>
          <w:szCs w:val="28"/>
        </w:rPr>
        <w:t xml:space="preserve"> Материалы национальной научно-практической конференции, Краснодар, 02 апреля 2020 года. – Краснодар: ФГБУ "Российское энергетическое агентство" Минэнерго России Краснодарский ЦНТИ- филиал ФГБУ "РЭА" Минэнерго России, 2020. – С. </w:t>
      </w:r>
      <w:proofErr w:type="gramStart"/>
      <w:r w:rsidRPr="009560D1">
        <w:rPr>
          <w:rFonts w:ascii="Times New Roman" w:hAnsi="Times New Roman" w:cs="Times New Roman"/>
          <w:bCs/>
          <w:sz w:val="28"/>
          <w:szCs w:val="28"/>
        </w:rPr>
        <w:t>235-243</w:t>
      </w:r>
      <w:proofErr w:type="gramEnd"/>
      <w:r w:rsidRPr="009560D1">
        <w:rPr>
          <w:rFonts w:ascii="Times New Roman" w:hAnsi="Times New Roman" w:cs="Times New Roman"/>
          <w:bCs/>
          <w:sz w:val="28"/>
          <w:szCs w:val="28"/>
        </w:rPr>
        <w:t>.</w:t>
      </w:r>
    </w:p>
    <w:p w14:paraId="4E7B06FE"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Постановление о льготном кредитовании ИТ-компаний от 29.03.2023 г. URL: https://digital.gov.ru/ru/activity/directions/942/ (дата обращения 20.06.2023)</w:t>
      </w:r>
    </w:p>
    <w:p w14:paraId="60C80FF2"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bookmarkStart w:id="17" w:name="_Hlk138355742"/>
      <w:r w:rsidRPr="009560D1">
        <w:rPr>
          <w:rFonts w:ascii="Times New Roman" w:hAnsi="Times New Roman" w:cs="Times New Roman"/>
          <w:bCs/>
          <w:sz w:val="28"/>
          <w:szCs w:val="28"/>
        </w:rPr>
        <w:t xml:space="preserve">Постановление Правительства РФ от 25.11.2022 N 2143 "О единой предельной величине базы для исчисления страховых взносов с 1 января 2023 г." </w:t>
      </w:r>
      <w:r w:rsidRPr="009560D1">
        <w:rPr>
          <w:rFonts w:ascii="Times New Roman" w:hAnsi="Times New Roman" w:cs="Times New Roman"/>
          <w:bCs/>
          <w:sz w:val="28"/>
          <w:szCs w:val="28"/>
          <w:lang w:val="en-US"/>
        </w:rPr>
        <w:t>URL: https://www.consultant.ru/document/cons_doc_LAW_432426/ (</w:t>
      </w:r>
      <w:r w:rsidRPr="009560D1">
        <w:rPr>
          <w:rFonts w:ascii="Times New Roman" w:hAnsi="Times New Roman" w:cs="Times New Roman"/>
          <w:bCs/>
          <w:sz w:val="28"/>
          <w:szCs w:val="28"/>
        </w:rPr>
        <w:t>дата обращения 20.06.2023)</w:t>
      </w:r>
    </w:p>
    <w:bookmarkEnd w:id="17"/>
    <w:p w14:paraId="7618904D"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Развитие предпринимательства: инновации, технологии, </w:t>
      </w:r>
      <w:proofErr w:type="gramStart"/>
      <w:r w:rsidRPr="009560D1">
        <w:rPr>
          <w:rFonts w:ascii="Times New Roman" w:hAnsi="Times New Roman" w:cs="Times New Roman"/>
          <w:bCs/>
          <w:sz w:val="28"/>
          <w:szCs w:val="28"/>
        </w:rPr>
        <w:t>инвестиции :</w:t>
      </w:r>
      <w:proofErr w:type="gramEnd"/>
      <w:r w:rsidRPr="009560D1">
        <w:rPr>
          <w:rFonts w:ascii="Times New Roman" w:hAnsi="Times New Roman" w:cs="Times New Roman"/>
          <w:bCs/>
          <w:sz w:val="28"/>
          <w:szCs w:val="28"/>
        </w:rPr>
        <w:t xml:space="preserve"> монография / под редакцией М. А. </w:t>
      </w:r>
      <w:proofErr w:type="spellStart"/>
      <w:r w:rsidRPr="009560D1">
        <w:rPr>
          <w:rFonts w:ascii="Times New Roman" w:hAnsi="Times New Roman" w:cs="Times New Roman"/>
          <w:bCs/>
          <w:sz w:val="28"/>
          <w:szCs w:val="28"/>
        </w:rPr>
        <w:t>Эскиндарова</w:t>
      </w:r>
      <w:proofErr w:type="spellEnd"/>
      <w:r w:rsidRPr="009560D1">
        <w:rPr>
          <w:rFonts w:ascii="Times New Roman" w:hAnsi="Times New Roman" w:cs="Times New Roman"/>
          <w:bCs/>
          <w:sz w:val="28"/>
          <w:szCs w:val="28"/>
        </w:rPr>
        <w:t xml:space="preserve">. — 2-е изд. — </w:t>
      </w:r>
      <w:proofErr w:type="gramStart"/>
      <w:r w:rsidRPr="009560D1">
        <w:rPr>
          <w:rFonts w:ascii="Times New Roman" w:hAnsi="Times New Roman" w:cs="Times New Roman"/>
          <w:bCs/>
          <w:sz w:val="28"/>
          <w:szCs w:val="28"/>
        </w:rPr>
        <w:t>Москва :</w:t>
      </w:r>
      <w:proofErr w:type="gramEnd"/>
      <w:r w:rsidRPr="009560D1">
        <w:rPr>
          <w:rFonts w:ascii="Times New Roman" w:hAnsi="Times New Roman" w:cs="Times New Roman"/>
          <w:bCs/>
          <w:sz w:val="28"/>
          <w:szCs w:val="28"/>
        </w:rPr>
        <w:t xml:space="preserve"> Дашков и К, 2021. — 352 с.</w:t>
      </w:r>
    </w:p>
    <w:p w14:paraId="2764CE90"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lastRenderedPageBreak/>
        <w:t xml:space="preserve">Сильвестров, С. Н. Роль и место государственных корпораций в современной модели экономического развития </w:t>
      </w:r>
      <w:proofErr w:type="gramStart"/>
      <w:r w:rsidRPr="009560D1">
        <w:rPr>
          <w:rFonts w:ascii="Times New Roman" w:hAnsi="Times New Roman" w:cs="Times New Roman"/>
          <w:bCs/>
          <w:sz w:val="28"/>
          <w:szCs w:val="28"/>
        </w:rPr>
        <w:t>России :</w:t>
      </w:r>
      <w:proofErr w:type="gramEnd"/>
      <w:r w:rsidRPr="009560D1">
        <w:rPr>
          <w:rFonts w:ascii="Times New Roman" w:hAnsi="Times New Roman" w:cs="Times New Roman"/>
          <w:bCs/>
          <w:sz w:val="28"/>
          <w:szCs w:val="28"/>
        </w:rPr>
        <w:t xml:space="preserve"> монография / С. Н. Сильвестров ; под редакцией А. Г. </w:t>
      </w:r>
      <w:proofErr w:type="spellStart"/>
      <w:r w:rsidRPr="009560D1">
        <w:rPr>
          <w:rFonts w:ascii="Times New Roman" w:hAnsi="Times New Roman" w:cs="Times New Roman"/>
          <w:bCs/>
          <w:sz w:val="28"/>
          <w:szCs w:val="28"/>
        </w:rPr>
        <w:t>Зельднера</w:t>
      </w:r>
      <w:proofErr w:type="spellEnd"/>
      <w:r w:rsidRPr="009560D1">
        <w:rPr>
          <w:rFonts w:ascii="Times New Roman" w:hAnsi="Times New Roman" w:cs="Times New Roman"/>
          <w:bCs/>
          <w:sz w:val="28"/>
          <w:szCs w:val="28"/>
        </w:rPr>
        <w:t xml:space="preserve">. — 2-е изд. — </w:t>
      </w:r>
      <w:proofErr w:type="gramStart"/>
      <w:r w:rsidRPr="009560D1">
        <w:rPr>
          <w:rFonts w:ascii="Times New Roman" w:hAnsi="Times New Roman" w:cs="Times New Roman"/>
          <w:bCs/>
          <w:sz w:val="28"/>
          <w:szCs w:val="28"/>
        </w:rPr>
        <w:t>Москва :</w:t>
      </w:r>
      <w:proofErr w:type="gramEnd"/>
      <w:r w:rsidRPr="009560D1">
        <w:rPr>
          <w:rFonts w:ascii="Times New Roman" w:hAnsi="Times New Roman" w:cs="Times New Roman"/>
          <w:bCs/>
          <w:sz w:val="28"/>
          <w:szCs w:val="28"/>
        </w:rPr>
        <w:t xml:space="preserve"> Дашков и К, 2021. — 180 с.</w:t>
      </w:r>
    </w:p>
    <w:p w14:paraId="61553610"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proofErr w:type="spellStart"/>
      <w:r w:rsidRPr="009560D1">
        <w:rPr>
          <w:rFonts w:ascii="Times New Roman" w:hAnsi="Times New Roman" w:cs="Times New Roman"/>
          <w:bCs/>
          <w:sz w:val="28"/>
          <w:szCs w:val="28"/>
        </w:rPr>
        <w:t>Скрипчинский</w:t>
      </w:r>
      <w:proofErr w:type="spellEnd"/>
      <w:r w:rsidRPr="009560D1">
        <w:rPr>
          <w:rFonts w:ascii="Times New Roman" w:hAnsi="Times New Roman" w:cs="Times New Roman"/>
          <w:bCs/>
          <w:sz w:val="28"/>
          <w:szCs w:val="28"/>
        </w:rPr>
        <w:t xml:space="preserve">, А.А. РИСКИ В ОЦЕНКЕ ЭФФЕКТИВНОСТИ ИТ-ПРОЕКТОВ / А.А. </w:t>
      </w:r>
      <w:proofErr w:type="spellStart"/>
      <w:r w:rsidRPr="009560D1">
        <w:rPr>
          <w:rFonts w:ascii="Times New Roman" w:hAnsi="Times New Roman" w:cs="Times New Roman"/>
          <w:bCs/>
          <w:sz w:val="28"/>
          <w:szCs w:val="28"/>
        </w:rPr>
        <w:t>Скрипчинский</w:t>
      </w:r>
      <w:proofErr w:type="spellEnd"/>
      <w:r w:rsidRPr="009560D1">
        <w:rPr>
          <w:rFonts w:ascii="Times New Roman" w:hAnsi="Times New Roman" w:cs="Times New Roman"/>
          <w:bCs/>
          <w:sz w:val="28"/>
          <w:szCs w:val="28"/>
        </w:rPr>
        <w:t xml:space="preserve"> // Экономическая среда. — 2017. — № 1. — С. </w:t>
      </w:r>
      <w:proofErr w:type="gramStart"/>
      <w:r w:rsidRPr="009560D1">
        <w:rPr>
          <w:rFonts w:ascii="Times New Roman" w:hAnsi="Times New Roman" w:cs="Times New Roman"/>
          <w:bCs/>
          <w:sz w:val="28"/>
          <w:szCs w:val="28"/>
        </w:rPr>
        <w:t>26-30</w:t>
      </w:r>
      <w:proofErr w:type="gramEnd"/>
      <w:r w:rsidRPr="009560D1">
        <w:rPr>
          <w:rFonts w:ascii="Times New Roman" w:hAnsi="Times New Roman" w:cs="Times New Roman"/>
          <w:bCs/>
          <w:sz w:val="28"/>
          <w:szCs w:val="28"/>
        </w:rPr>
        <w:t>.</w:t>
      </w:r>
    </w:p>
    <w:p w14:paraId="1D07F628"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Соловьева, Н. В. Принятие решений по инвестированию ИТ - проектов с использованием FCM метода нечеткой кластеризации / Н. В. Соловьева, Е. В. </w:t>
      </w:r>
      <w:proofErr w:type="spellStart"/>
      <w:r w:rsidRPr="009560D1">
        <w:rPr>
          <w:rFonts w:ascii="Times New Roman" w:hAnsi="Times New Roman" w:cs="Times New Roman"/>
          <w:bCs/>
          <w:sz w:val="28"/>
          <w:szCs w:val="28"/>
        </w:rPr>
        <w:t>Чертина</w:t>
      </w:r>
      <w:proofErr w:type="spellEnd"/>
      <w:r w:rsidRPr="009560D1">
        <w:rPr>
          <w:rFonts w:ascii="Times New Roman" w:hAnsi="Times New Roman" w:cs="Times New Roman"/>
          <w:bCs/>
          <w:sz w:val="28"/>
          <w:szCs w:val="28"/>
        </w:rPr>
        <w:t xml:space="preserve"> // Наука и практика – 2017 : Материалы Всероссийской междисциплинарной научной конференции, Астрахань, 16–20 октября 2017 года / Под общей редакцией Н.Т. Берберовой, А.В. Котельникова. – Астрахань: Астраханский государственный технический университет, 2017. – С. </w:t>
      </w:r>
      <w:proofErr w:type="gramStart"/>
      <w:r w:rsidRPr="009560D1">
        <w:rPr>
          <w:rFonts w:ascii="Times New Roman" w:hAnsi="Times New Roman" w:cs="Times New Roman"/>
          <w:bCs/>
          <w:sz w:val="28"/>
          <w:szCs w:val="28"/>
        </w:rPr>
        <w:t>98-99</w:t>
      </w:r>
      <w:proofErr w:type="gramEnd"/>
      <w:r w:rsidRPr="009560D1">
        <w:rPr>
          <w:rFonts w:ascii="Times New Roman" w:hAnsi="Times New Roman" w:cs="Times New Roman"/>
          <w:bCs/>
          <w:sz w:val="28"/>
          <w:szCs w:val="28"/>
        </w:rPr>
        <w:t>.</w:t>
      </w:r>
    </w:p>
    <w:p w14:paraId="557B170D"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Стратегия развития отрасли информационных технологий в Российской Федерации на </w:t>
      </w:r>
      <w:proofErr w:type="gramStart"/>
      <w:r w:rsidRPr="009560D1">
        <w:rPr>
          <w:rFonts w:ascii="Times New Roman" w:hAnsi="Times New Roman" w:cs="Times New Roman"/>
          <w:bCs/>
          <w:sz w:val="28"/>
          <w:szCs w:val="28"/>
        </w:rPr>
        <w:t>2014 - 2020</w:t>
      </w:r>
      <w:proofErr w:type="gramEnd"/>
      <w:r w:rsidRPr="009560D1">
        <w:rPr>
          <w:rFonts w:ascii="Times New Roman" w:hAnsi="Times New Roman" w:cs="Times New Roman"/>
          <w:bCs/>
          <w:sz w:val="28"/>
          <w:szCs w:val="28"/>
        </w:rPr>
        <w:t xml:space="preserve"> годы и на перспективу до 2025 года URL: https://digital.gov.ru/ru/documents/4084/ (дата обращения 20.06.2023)</w:t>
      </w:r>
    </w:p>
    <w:p w14:paraId="6E30223D"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Тулякова, Е. В. Инвестиции в сферу информационных технологий / Е. В. Тулякова // Научные труды открытого университета экономики, управления и права. Актуальные вопросы современной науки и </w:t>
      </w:r>
      <w:proofErr w:type="gramStart"/>
      <w:r w:rsidRPr="009560D1">
        <w:rPr>
          <w:rFonts w:ascii="Times New Roman" w:hAnsi="Times New Roman" w:cs="Times New Roman"/>
          <w:bCs/>
          <w:sz w:val="28"/>
          <w:szCs w:val="28"/>
        </w:rPr>
        <w:t>образования :</w:t>
      </w:r>
      <w:proofErr w:type="gramEnd"/>
      <w:r w:rsidRPr="009560D1">
        <w:rPr>
          <w:rFonts w:ascii="Times New Roman" w:hAnsi="Times New Roman" w:cs="Times New Roman"/>
          <w:bCs/>
          <w:sz w:val="28"/>
          <w:szCs w:val="28"/>
        </w:rPr>
        <w:t xml:space="preserve"> Сборник научных трудов. – </w:t>
      </w:r>
      <w:proofErr w:type="gramStart"/>
      <w:r w:rsidRPr="009560D1">
        <w:rPr>
          <w:rFonts w:ascii="Times New Roman" w:hAnsi="Times New Roman" w:cs="Times New Roman"/>
          <w:bCs/>
          <w:sz w:val="28"/>
          <w:szCs w:val="28"/>
        </w:rPr>
        <w:t>Москва :</w:t>
      </w:r>
      <w:proofErr w:type="gramEnd"/>
      <w:r w:rsidRPr="009560D1">
        <w:rPr>
          <w:rFonts w:ascii="Times New Roman" w:hAnsi="Times New Roman" w:cs="Times New Roman"/>
          <w:bCs/>
          <w:sz w:val="28"/>
          <w:szCs w:val="28"/>
        </w:rPr>
        <w:t xml:space="preserve"> Автономная некоммерческая организация высшего образования "Открытый университет экономики, управления и права", 2021. – С. </w:t>
      </w:r>
      <w:proofErr w:type="gramStart"/>
      <w:r w:rsidRPr="009560D1">
        <w:rPr>
          <w:rFonts w:ascii="Times New Roman" w:hAnsi="Times New Roman" w:cs="Times New Roman"/>
          <w:bCs/>
          <w:sz w:val="28"/>
          <w:szCs w:val="28"/>
        </w:rPr>
        <w:t>179-185</w:t>
      </w:r>
      <w:proofErr w:type="gramEnd"/>
      <w:r w:rsidRPr="009560D1">
        <w:rPr>
          <w:rFonts w:ascii="Times New Roman" w:hAnsi="Times New Roman" w:cs="Times New Roman"/>
          <w:bCs/>
          <w:sz w:val="28"/>
          <w:szCs w:val="28"/>
        </w:rPr>
        <w:t xml:space="preserve">. </w:t>
      </w:r>
    </w:p>
    <w:p w14:paraId="479E7A2B" w14:textId="77777777" w:rsidR="00576148"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 xml:space="preserve">Федоров, А. В. О методах оценки экономической эффективности инвестиций в информационные технологии / А. В. Федоров // Психолого-педагогический журнал Гаудеамус. – 2014. – № 2(24). – С. </w:t>
      </w:r>
      <w:proofErr w:type="gramStart"/>
      <w:r w:rsidRPr="009560D1">
        <w:rPr>
          <w:rFonts w:ascii="Times New Roman" w:hAnsi="Times New Roman" w:cs="Times New Roman"/>
          <w:bCs/>
          <w:sz w:val="28"/>
          <w:szCs w:val="28"/>
        </w:rPr>
        <w:t>111-114</w:t>
      </w:r>
      <w:proofErr w:type="gramEnd"/>
      <w:r w:rsidRPr="009560D1">
        <w:rPr>
          <w:rFonts w:ascii="Times New Roman" w:hAnsi="Times New Roman" w:cs="Times New Roman"/>
          <w:bCs/>
          <w:sz w:val="28"/>
          <w:szCs w:val="28"/>
        </w:rPr>
        <w:t>.</w:t>
      </w:r>
    </w:p>
    <w:p w14:paraId="4632080B" w14:textId="2B2167A5" w:rsidR="00133CE5" w:rsidRPr="009560D1" w:rsidRDefault="00576148" w:rsidP="009560D1">
      <w:pPr>
        <w:pStyle w:val="a3"/>
        <w:numPr>
          <w:ilvl w:val="0"/>
          <w:numId w:val="18"/>
        </w:numPr>
        <w:spacing w:line="360" w:lineRule="auto"/>
        <w:ind w:left="0" w:firstLine="709"/>
        <w:jc w:val="both"/>
        <w:rPr>
          <w:rFonts w:ascii="Times New Roman" w:hAnsi="Times New Roman" w:cs="Times New Roman"/>
          <w:bCs/>
          <w:sz w:val="28"/>
          <w:szCs w:val="28"/>
        </w:rPr>
      </w:pPr>
      <w:r w:rsidRPr="009560D1">
        <w:rPr>
          <w:rFonts w:ascii="Times New Roman" w:hAnsi="Times New Roman" w:cs="Times New Roman"/>
          <w:bCs/>
          <w:sz w:val="28"/>
          <w:szCs w:val="28"/>
        </w:rPr>
        <w:t>Экономика России: аспекты глобального трансформационного сдвига. Август 2022. ВШЭ URL: https://www.hse.ru/mirror/pubs/share/741595550.pdf (дата обращения 20.06.2023)</w:t>
      </w:r>
    </w:p>
    <w:sectPr w:rsidR="00133CE5" w:rsidRPr="009560D1" w:rsidSect="00214F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8CB0" w14:textId="77777777" w:rsidR="00EB729A" w:rsidRDefault="00EB729A" w:rsidP="00C3199D">
      <w:pPr>
        <w:spacing w:line="240" w:lineRule="auto"/>
      </w:pPr>
      <w:r>
        <w:separator/>
      </w:r>
    </w:p>
  </w:endnote>
  <w:endnote w:type="continuationSeparator" w:id="0">
    <w:p w14:paraId="374D8124" w14:textId="77777777" w:rsidR="00EB729A" w:rsidRDefault="00EB729A" w:rsidP="00C31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C7CD" w14:textId="77777777" w:rsidR="00EB729A" w:rsidRDefault="00EB729A" w:rsidP="00C3199D">
      <w:pPr>
        <w:spacing w:line="240" w:lineRule="auto"/>
      </w:pPr>
      <w:r>
        <w:separator/>
      </w:r>
    </w:p>
  </w:footnote>
  <w:footnote w:type="continuationSeparator" w:id="0">
    <w:p w14:paraId="7C6B6FE6" w14:textId="77777777" w:rsidR="00EB729A" w:rsidRDefault="00EB729A" w:rsidP="00C3199D">
      <w:pPr>
        <w:spacing w:line="240" w:lineRule="auto"/>
      </w:pPr>
      <w:r>
        <w:continuationSeparator/>
      </w:r>
    </w:p>
  </w:footnote>
  <w:footnote w:id="1">
    <w:p w14:paraId="648D0F50" w14:textId="2B520EC9" w:rsidR="007D6F03" w:rsidRPr="0091661D" w:rsidRDefault="007D6F03">
      <w:pPr>
        <w:pStyle w:val="a4"/>
        <w:rPr>
          <w:rFonts w:ascii="Times New Roman" w:hAnsi="Times New Roman" w:cs="Times New Roman"/>
          <w:sz w:val="22"/>
          <w:szCs w:val="22"/>
          <w:lang w:val="ru-RU"/>
        </w:rPr>
      </w:pPr>
      <w:r>
        <w:rPr>
          <w:rStyle w:val="a6"/>
        </w:rPr>
        <w:footnoteRef/>
      </w:r>
      <w:r>
        <w:t xml:space="preserve"> </w:t>
      </w:r>
      <w:r w:rsidRPr="0091661D">
        <w:rPr>
          <w:rFonts w:ascii="Times New Roman" w:hAnsi="Times New Roman" w:cs="Times New Roman"/>
          <w:sz w:val="22"/>
          <w:szCs w:val="22"/>
        </w:rPr>
        <w:t xml:space="preserve">Тулякова, Е. В. Инвестиции в сферу информационных технологий / Е. В. Тулякова // Научные труды открытого университета экономики, управления и права. Актуальные вопросы современной науки и </w:t>
      </w:r>
      <w:proofErr w:type="gramStart"/>
      <w:r w:rsidRPr="0091661D">
        <w:rPr>
          <w:rFonts w:ascii="Times New Roman" w:hAnsi="Times New Roman" w:cs="Times New Roman"/>
          <w:sz w:val="22"/>
          <w:szCs w:val="22"/>
        </w:rPr>
        <w:t>образования :</w:t>
      </w:r>
      <w:proofErr w:type="gramEnd"/>
      <w:r w:rsidRPr="0091661D">
        <w:rPr>
          <w:rFonts w:ascii="Times New Roman" w:hAnsi="Times New Roman" w:cs="Times New Roman"/>
          <w:sz w:val="22"/>
          <w:szCs w:val="22"/>
        </w:rPr>
        <w:t xml:space="preserve"> Сборник научных трудов. – </w:t>
      </w:r>
      <w:proofErr w:type="gramStart"/>
      <w:r w:rsidRPr="0091661D">
        <w:rPr>
          <w:rFonts w:ascii="Times New Roman" w:hAnsi="Times New Roman" w:cs="Times New Roman"/>
          <w:sz w:val="22"/>
          <w:szCs w:val="22"/>
        </w:rPr>
        <w:t>Москва :</w:t>
      </w:r>
      <w:proofErr w:type="gramEnd"/>
      <w:r w:rsidRPr="0091661D">
        <w:rPr>
          <w:rFonts w:ascii="Times New Roman" w:hAnsi="Times New Roman" w:cs="Times New Roman"/>
          <w:sz w:val="22"/>
          <w:szCs w:val="22"/>
        </w:rPr>
        <w:t xml:space="preserve"> Автономная некоммерческая организация высшего образования "Открытый университет экономики, управления и права", 2021. – С. </w:t>
      </w:r>
      <w:proofErr w:type="gramStart"/>
      <w:r w:rsidRPr="0091661D">
        <w:rPr>
          <w:rFonts w:ascii="Times New Roman" w:hAnsi="Times New Roman" w:cs="Times New Roman"/>
          <w:sz w:val="22"/>
          <w:szCs w:val="22"/>
        </w:rPr>
        <w:t>179-185</w:t>
      </w:r>
      <w:proofErr w:type="gramEnd"/>
    </w:p>
  </w:footnote>
  <w:footnote w:id="2">
    <w:p w14:paraId="7186C7FB" w14:textId="23B66E01" w:rsidR="007D6F03" w:rsidRPr="0091661D" w:rsidRDefault="007D6F03">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bookmarkStart w:id="3" w:name="_Hlk138356969"/>
      <w:r w:rsidRPr="0091661D">
        <w:rPr>
          <w:rFonts w:ascii="Times New Roman" w:hAnsi="Times New Roman" w:cs="Times New Roman"/>
          <w:sz w:val="22"/>
          <w:szCs w:val="22"/>
          <w:lang w:val="ru-RU"/>
        </w:rPr>
        <w:t>Налоговое стимулирование как инструмент реализации налоговой политики Белякова Е. И. Моденов А. К. // Петербургский экономический журнал. № 2</w:t>
      </w:r>
      <w:r w:rsidRPr="0091661D">
        <w:rPr>
          <w:rFonts w:ascii="Times New Roman" w:hAnsi="Times New Roman" w:cs="Times New Roman"/>
          <w:sz w:val="22"/>
          <w:szCs w:val="22"/>
          <w:lang w:val="en-US"/>
        </w:rPr>
        <w:t>. 2019. URL: https://cyberleninka.ru/article/n/nalogovoe-stimulirovanie-kak-instrument-realizatsii-nalogovoy-politiki/viewer</w:t>
      </w:r>
      <w:r w:rsidRPr="0091661D">
        <w:rPr>
          <w:rFonts w:ascii="Times New Roman" w:hAnsi="Times New Roman" w:cs="Times New Roman"/>
          <w:sz w:val="22"/>
          <w:szCs w:val="22"/>
          <w:lang w:val="ru-RU"/>
        </w:rPr>
        <w:t xml:space="preserve"> (дата обращения 20.06.2023)</w:t>
      </w:r>
      <w:bookmarkEnd w:id="3"/>
    </w:p>
  </w:footnote>
  <w:footnote w:id="3">
    <w:p w14:paraId="500921D1" w14:textId="250553A4" w:rsidR="007D6F03" w:rsidRPr="0091661D" w:rsidRDefault="007D6F03">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proofErr w:type="spellStart"/>
      <w:r w:rsidRPr="0091661D">
        <w:rPr>
          <w:rFonts w:ascii="Times New Roman" w:hAnsi="Times New Roman" w:cs="Times New Roman"/>
          <w:sz w:val="22"/>
          <w:szCs w:val="22"/>
        </w:rPr>
        <w:t>Ерёмченко</w:t>
      </w:r>
      <w:proofErr w:type="spellEnd"/>
      <w:r w:rsidRPr="0091661D">
        <w:rPr>
          <w:rFonts w:ascii="Times New Roman" w:hAnsi="Times New Roman" w:cs="Times New Roman"/>
          <w:sz w:val="22"/>
          <w:szCs w:val="22"/>
        </w:rPr>
        <w:t xml:space="preserve">, О.А. ФОНДЫ СПЕЦИАЛИЗИРОВАННЫХ ВЕНЧУРНЫХ ФОНДОВ КАК ИНСТРУМЕНТ ПОДДЕРЖКИ ИНВЕСТИЦИЙ В ПЕРЕДОВЫЕ ТЕХНОЛОГИИ / О. А. </w:t>
      </w:r>
      <w:proofErr w:type="spellStart"/>
      <w:r w:rsidRPr="0091661D">
        <w:rPr>
          <w:rFonts w:ascii="Times New Roman" w:hAnsi="Times New Roman" w:cs="Times New Roman"/>
          <w:sz w:val="22"/>
          <w:szCs w:val="22"/>
        </w:rPr>
        <w:t>Ерёмченко</w:t>
      </w:r>
      <w:proofErr w:type="spellEnd"/>
      <w:r w:rsidRPr="0091661D">
        <w:rPr>
          <w:rFonts w:ascii="Times New Roman" w:hAnsi="Times New Roman" w:cs="Times New Roman"/>
          <w:sz w:val="22"/>
          <w:szCs w:val="22"/>
        </w:rPr>
        <w:t xml:space="preserve"> // Экономика науки. — 2021. — № 3. — С. </w:t>
      </w:r>
      <w:proofErr w:type="gramStart"/>
      <w:r w:rsidRPr="0091661D">
        <w:rPr>
          <w:rFonts w:ascii="Times New Roman" w:hAnsi="Times New Roman" w:cs="Times New Roman"/>
          <w:sz w:val="22"/>
          <w:szCs w:val="22"/>
        </w:rPr>
        <w:t>217-226</w:t>
      </w:r>
      <w:proofErr w:type="gramEnd"/>
      <w:r w:rsidRPr="0091661D">
        <w:rPr>
          <w:rFonts w:ascii="Times New Roman" w:hAnsi="Times New Roman" w:cs="Times New Roman"/>
          <w:sz w:val="22"/>
          <w:szCs w:val="22"/>
        </w:rPr>
        <w:t>.</w:t>
      </w:r>
    </w:p>
  </w:footnote>
  <w:footnote w:id="4">
    <w:p w14:paraId="283BBA9C" w14:textId="66294578" w:rsidR="00576148" w:rsidRPr="0091661D" w:rsidRDefault="00576148">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Pr="0091661D">
        <w:rPr>
          <w:rFonts w:ascii="Times New Roman" w:hAnsi="Times New Roman" w:cs="Times New Roman"/>
          <w:sz w:val="22"/>
          <w:szCs w:val="22"/>
          <w:lang w:val="ru-RU"/>
        </w:rPr>
        <w:t xml:space="preserve">Дуброва М. В. Инструменты финансового стимулирования инновационной деятельности региона. </w:t>
      </w:r>
      <w:r w:rsidRPr="0091661D">
        <w:rPr>
          <w:rFonts w:ascii="Times New Roman" w:hAnsi="Times New Roman" w:cs="Times New Roman"/>
          <w:sz w:val="22"/>
          <w:szCs w:val="22"/>
          <w:lang w:val="en-US"/>
        </w:rPr>
        <w:t xml:space="preserve">// </w:t>
      </w:r>
      <w:r w:rsidRPr="0091661D">
        <w:rPr>
          <w:rFonts w:ascii="Times New Roman" w:hAnsi="Times New Roman" w:cs="Times New Roman"/>
          <w:sz w:val="22"/>
          <w:szCs w:val="22"/>
          <w:lang w:val="ru-RU"/>
        </w:rPr>
        <w:t xml:space="preserve">Экономика и управления: проблемы, решения.  № 1 </w:t>
      </w:r>
      <w:r w:rsidRPr="0091661D">
        <w:rPr>
          <w:rFonts w:ascii="Times New Roman" w:hAnsi="Times New Roman" w:cs="Times New Roman"/>
          <w:sz w:val="22"/>
          <w:szCs w:val="22"/>
          <w:lang w:val="en-US"/>
        </w:rPr>
        <w:t>URL: https://elibrary.ru/download/elibrary_32402403_57659737.pdf (</w:t>
      </w:r>
      <w:r w:rsidRPr="0091661D">
        <w:rPr>
          <w:rFonts w:ascii="Times New Roman" w:hAnsi="Times New Roman" w:cs="Times New Roman"/>
          <w:sz w:val="22"/>
          <w:szCs w:val="22"/>
          <w:lang w:val="ru-RU"/>
        </w:rPr>
        <w:t>дата обращения 20.06.2023)</w:t>
      </w:r>
    </w:p>
  </w:footnote>
  <w:footnote w:id="5">
    <w:p w14:paraId="2527CB3B" w14:textId="01A8C5F0" w:rsidR="00C3199D" w:rsidRPr="0091661D" w:rsidRDefault="00C3199D">
      <w:pPr>
        <w:pStyle w:val="a4"/>
        <w:rPr>
          <w:rFonts w:ascii="Times New Roman" w:hAnsi="Times New Roman" w:cs="Times New Roman"/>
          <w:sz w:val="22"/>
          <w:szCs w:val="22"/>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002D2291" w:rsidRPr="0091661D">
        <w:rPr>
          <w:rFonts w:ascii="Times New Roman" w:hAnsi="Times New Roman" w:cs="Times New Roman"/>
          <w:sz w:val="22"/>
          <w:szCs w:val="22"/>
        </w:rPr>
        <w:t>19.</w:t>
      </w:r>
      <w:r w:rsidR="002D2291" w:rsidRPr="0091661D">
        <w:rPr>
          <w:rFonts w:ascii="Times New Roman" w:hAnsi="Times New Roman" w:cs="Times New Roman"/>
          <w:sz w:val="22"/>
          <w:szCs w:val="22"/>
        </w:rPr>
        <w:tab/>
        <w:t>Налоговый кодекс РФ, ст. 427 п.1, п.5 URL: https://www.consultant.ru/document/cons_doc_LAW_28165/c5c16c86f95c5db63601047b1c0a5942bd77c824/ (дата обращения 20.06.2023)</w:t>
      </w:r>
    </w:p>
  </w:footnote>
  <w:footnote w:id="6">
    <w:p w14:paraId="29FA9A85" w14:textId="2F218C66" w:rsidR="00C3199D" w:rsidRPr="0091661D" w:rsidRDefault="00C3199D">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002D2291" w:rsidRPr="0091661D">
        <w:rPr>
          <w:rFonts w:ascii="Times New Roman" w:hAnsi="Times New Roman" w:cs="Times New Roman"/>
          <w:sz w:val="22"/>
          <w:szCs w:val="22"/>
        </w:rPr>
        <w:t>Налоговый кодекс РФ, ст. 427 п.1, п.5 URL: https://www.consultant.ru/document/cons_doc_LAW_28165/c5c16c86f95c5db63601047b1c0a5942bd77c824/ (дата обращения 20.06.2023)</w:t>
      </w:r>
    </w:p>
  </w:footnote>
  <w:footnote w:id="7">
    <w:p w14:paraId="6B7CAABF" w14:textId="487C5936" w:rsidR="00C3199D" w:rsidRPr="0091661D" w:rsidRDefault="00C3199D">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002D2291" w:rsidRPr="0091661D">
        <w:rPr>
          <w:rFonts w:ascii="Times New Roman" w:hAnsi="Times New Roman" w:cs="Times New Roman"/>
          <w:sz w:val="22"/>
          <w:szCs w:val="22"/>
        </w:rPr>
        <w:t>Постановление Правительства РФ от 25.11.2022 N 2143 "О единой предельной величине базы для исчисления страховых взносов с 1 января 2023 г." URL: https://www.consultant.ru/document/cons_doc_LAW_432426/ (дата обращения 20.06.2023)</w:t>
      </w:r>
    </w:p>
  </w:footnote>
  <w:footnote w:id="8">
    <w:p w14:paraId="22B59FF7" w14:textId="63BA91E1" w:rsidR="001B4020" w:rsidRPr="0091661D" w:rsidRDefault="001B4020">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00B64E57" w:rsidRPr="00B64E57">
        <w:rPr>
          <w:rFonts w:ascii="Times New Roman" w:hAnsi="Times New Roman" w:cs="Times New Roman"/>
          <w:sz w:val="22"/>
          <w:szCs w:val="22"/>
          <w:lang w:val="ru-RU"/>
        </w:rPr>
        <w:t>Налоговый кодекс РФ, ст. 284 п. 1.15 URL: https://www.consultant.ru/document/cons_doc_LAW_28165/eb9180fc785448d58fe76ef323fb67d1832b9363/ (дата обращения 20.06.2023)</w:t>
      </w:r>
    </w:p>
  </w:footnote>
  <w:footnote w:id="9">
    <w:p w14:paraId="646CDB5D" w14:textId="47054EE3" w:rsidR="00FA7AF4" w:rsidRPr="0091661D" w:rsidRDefault="00FA7AF4">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bookmarkStart w:id="7" w:name="_Hlk138355818"/>
      <w:r w:rsidRPr="0091661D">
        <w:rPr>
          <w:rFonts w:ascii="Times New Roman" w:hAnsi="Times New Roman" w:cs="Times New Roman"/>
          <w:sz w:val="22"/>
          <w:szCs w:val="22"/>
          <w:lang w:val="ru-RU"/>
        </w:rPr>
        <w:t xml:space="preserve">Громов В. В. Специфика и проблемы налогового стимулирования малых ИТ-компаний в России </w:t>
      </w:r>
      <w:r w:rsidRPr="0091661D">
        <w:rPr>
          <w:rFonts w:ascii="Times New Roman" w:hAnsi="Times New Roman" w:cs="Times New Roman"/>
          <w:sz w:val="22"/>
          <w:szCs w:val="22"/>
          <w:lang w:val="en-US"/>
        </w:rPr>
        <w:t>URL: https://cyberleninka.ru/article/n/spetsifika-i-problemy-nalogovogo-stimulirovaniya-malyh-it-kompaniy-v-rossii/viewer (</w:t>
      </w:r>
      <w:r w:rsidRPr="0091661D">
        <w:rPr>
          <w:rFonts w:ascii="Times New Roman" w:hAnsi="Times New Roman" w:cs="Times New Roman"/>
          <w:sz w:val="22"/>
          <w:szCs w:val="22"/>
          <w:lang w:val="ru-RU"/>
        </w:rPr>
        <w:t>дата обращения 20.06.2023)</w:t>
      </w:r>
      <w:bookmarkEnd w:id="7"/>
    </w:p>
  </w:footnote>
  <w:footnote w:id="10">
    <w:p w14:paraId="0CD83F4A" w14:textId="0BD3CDD3" w:rsidR="00B545C1" w:rsidRPr="0091661D" w:rsidRDefault="00B545C1">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r w:rsidR="005C0478" w:rsidRPr="005C0478">
        <w:rPr>
          <w:rFonts w:ascii="Times New Roman" w:hAnsi="Times New Roman" w:cs="Times New Roman"/>
          <w:sz w:val="22"/>
          <w:szCs w:val="22"/>
        </w:rPr>
        <w:t xml:space="preserve">Казарин </w:t>
      </w:r>
      <w:proofErr w:type="gramStart"/>
      <w:r w:rsidR="005C0478" w:rsidRPr="005C0478">
        <w:rPr>
          <w:rFonts w:ascii="Times New Roman" w:hAnsi="Times New Roman" w:cs="Times New Roman"/>
          <w:sz w:val="22"/>
          <w:szCs w:val="22"/>
        </w:rPr>
        <w:t>С.В.</w:t>
      </w:r>
      <w:proofErr w:type="gramEnd"/>
      <w:r w:rsidR="005C0478" w:rsidRPr="005C0478">
        <w:rPr>
          <w:rFonts w:ascii="Times New Roman" w:hAnsi="Times New Roman" w:cs="Times New Roman"/>
          <w:sz w:val="22"/>
          <w:szCs w:val="22"/>
        </w:rPr>
        <w:t xml:space="preserve">, Свечникова Н. Ю. Исследование влияния предоставления налоговых льгот на эффективность развития ИТ-компаний в регионах Российской Федерации </w:t>
      </w:r>
      <w:r w:rsidR="005C0478" w:rsidRPr="005C0478">
        <w:rPr>
          <w:rFonts w:ascii="Times New Roman" w:hAnsi="Times New Roman" w:cs="Times New Roman"/>
          <w:sz w:val="22"/>
          <w:szCs w:val="22"/>
        </w:rPr>
        <w:t>URL: https://cyberleninka.ru/article/n/issledovanie-vliyaniya-predostavleniya-nalogovyh-lgot-naeffektivnost-razvitiya-it-kompaniy-v-regionah-rossiyskoy-federatsii/viewer</w:t>
      </w:r>
      <w:r w:rsidR="005C0478" w:rsidRPr="005C0478">
        <w:rPr>
          <w:rFonts w:ascii="Times New Roman" w:hAnsi="Times New Roman" w:cs="Times New Roman"/>
          <w:sz w:val="22"/>
          <w:szCs w:val="22"/>
        </w:rPr>
        <w:t xml:space="preserve"> (дата обращения 20.06.2023)</w:t>
      </w:r>
    </w:p>
  </w:footnote>
  <w:footnote w:id="11">
    <w:p w14:paraId="6B99CB30" w14:textId="4A328101" w:rsidR="0099353B" w:rsidRPr="0091661D" w:rsidRDefault="0099353B">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bookmarkStart w:id="9" w:name="_Hlk138355841"/>
      <w:r w:rsidR="001961F8" w:rsidRPr="0091661D">
        <w:rPr>
          <w:rFonts w:ascii="Times New Roman" w:hAnsi="Times New Roman" w:cs="Times New Roman"/>
          <w:sz w:val="22"/>
          <w:szCs w:val="22"/>
        </w:rPr>
        <w:t>Стратегия</w:t>
      </w:r>
      <w:r w:rsidRPr="0091661D">
        <w:rPr>
          <w:rFonts w:ascii="Times New Roman" w:hAnsi="Times New Roman" w:cs="Times New Roman"/>
          <w:sz w:val="22"/>
          <w:szCs w:val="22"/>
        </w:rPr>
        <w:t xml:space="preserve"> развития отрасли информационных технологий в Российской Федерации на </w:t>
      </w:r>
      <w:proofErr w:type="gramStart"/>
      <w:r w:rsidRPr="0091661D">
        <w:rPr>
          <w:rFonts w:ascii="Times New Roman" w:hAnsi="Times New Roman" w:cs="Times New Roman"/>
          <w:sz w:val="22"/>
          <w:szCs w:val="22"/>
        </w:rPr>
        <w:t>2014 - 2020</w:t>
      </w:r>
      <w:proofErr w:type="gramEnd"/>
      <w:r w:rsidRPr="0091661D">
        <w:rPr>
          <w:rFonts w:ascii="Times New Roman" w:hAnsi="Times New Roman" w:cs="Times New Roman"/>
          <w:sz w:val="22"/>
          <w:szCs w:val="22"/>
        </w:rPr>
        <w:t xml:space="preserve"> годы и на перспективу до 2025 года</w:t>
      </w:r>
      <w:r w:rsidRPr="0091661D">
        <w:rPr>
          <w:rFonts w:ascii="Times New Roman" w:hAnsi="Times New Roman" w:cs="Times New Roman"/>
          <w:sz w:val="22"/>
          <w:szCs w:val="22"/>
          <w:lang w:val="ru-RU"/>
        </w:rPr>
        <w:t xml:space="preserve"> </w:t>
      </w:r>
      <w:r w:rsidRPr="0091661D">
        <w:rPr>
          <w:rFonts w:ascii="Times New Roman" w:hAnsi="Times New Roman" w:cs="Times New Roman"/>
          <w:sz w:val="22"/>
          <w:szCs w:val="22"/>
          <w:lang w:val="en-US"/>
        </w:rPr>
        <w:t>URL: https://digital.gov.ru/ru/documents/4084/ (</w:t>
      </w:r>
      <w:r w:rsidRPr="0091661D">
        <w:rPr>
          <w:rFonts w:ascii="Times New Roman" w:hAnsi="Times New Roman" w:cs="Times New Roman"/>
          <w:sz w:val="22"/>
          <w:szCs w:val="22"/>
          <w:lang w:val="ru-RU"/>
        </w:rPr>
        <w:t>дата обращения 20.06.2023)</w:t>
      </w:r>
      <w:bookmarkEnd w:id="9"/>
    </w:p>
  </w:footnote>
  <w:footnote w:id="12">
    <w:p w14:paraId="5C65175B" w14:textId="296C6623" w:rsidR="00344BFD" w:rsidRPr="0091661D" w:rsidRDefault="00344BFD">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bookmarkStart w:id="10" w:name="_Hlk138355853"/>
      <w:r w:rsidRPr="0091661D">
        <w:rPr>
          <w:rFonts w:ascii="Times New Roman" w:hAnsi="Times New Roman" w:cs="Times New Roman"/>
          <w:sz w:val="22"/>
          <w:szCs w:val="22"/>
          <w:lang w:val="ru-RU"/>
        </w:rPr>
        <w:t xml:space="preserve">Постановление о льготном кредитовании ИТ-компаний от 29.03.2023 г. </w:t>
      </w:r>
      <w:r w:rsidRPr="0091661D">
        <w:rPr>
          <w:rFonts w:ascii="Times New Roman" w:hAnsi="Times New Roman" w:cs="Times New Roman"/>
          <w:sz w:val="22"/>
          <w:szCs w:val="22"/>
          <w:lang w:val="en-US"/>
        </w:rPr>
        <w:t>URL: https://digital.gov.ru/ru/activity/directions/942/ (</w:t>
      </w:r>
      <w:r w:rsidRPr="0091661D">
        <w:rPr>
          <w:rFonts w:ascii="Times New Roman" w:hAnsi="Times New Roman" w:cs="Times New Roman"/>
          <w:sz w:val="22"/>
          <w:szCs w:val="22"/>
          <w:lang w:val="ru-RU"/>
        </w:rPr>
        <w:t>дата обращения 20.06.2023)</w:t>
      </w:r>
      <w:bookmarkEnd w:id="10"/>
    </w:p>
  </w:footnote>
  <w:footnote w:id="13">
    <w:p w14:paraId="43EE5402" w14:textId="1D3514CD" w:rsidR="00CE72B2" w:rsidRPr="0091661D" w:rsidRDefault="00CE72B2">
      <w:pPr>
        <w:pStyle w:val="a4"/>
        <w:rPr>
          <w:rFonts w:ascii="Times New Roman" w:hAnsi="Times New Roman" w:cs="Times New Roman"/>
          <w:sz w:val="22"/>
          <w:szCs w:val="22"/>
          <w:lang w:val="ru-RU"/>
        </w:rPr>
      </w:pPr>
      <w:r w:rsidRPr="0091661D">
        <w:rPr>
          <w:rStyle w:val="a6"/>
          <w:rFonts w:ascii="Times New Roman" w:hAnsi="Times New Roman" w:cs="Times New Roman"/>
          <w:sz w:val="22"/>
          <w:szCs w:val="22"/>
        </w:rPr>
        <w:footnoteRef/>
      </w:r>
      <w:r w:rsidRPr="0091661D">
        <w:rPr>
          <w:rFonts w:ascii="Times New Roman" w:hAnsi="Times New Roman" w:cs="Times New Roman"/>
          <w:sz w:val="22"/>
          <w:szCs w:val="22"/>
        </w:rPr>
        <w:t xml:space="preserve"> </w:t>
      </w:r>
      <w:bookmarkStart w:id="11" w:name="_Hlk138355872"/>
      <w:r w:rsidRPr="0091661D">
        <w:rPr>
          <w:rFonts w:ascii="Times New Roman" w:hAnsi="Times New Roman" w:cs="Times New Roman"/>
          <w:sz w:val="22"/>
          <w:szCs w:val="22"/>
          <w:lang w:val="ru-RU"/>
        </w:rPr>
        <w:t xml:space="preserve">План мероприятий («дорожная карта») «Создание дополнительных условий для развития отрасли информационных технологий. от 9 сентября 2021г. </w:t>
      </w:r>
      <w:r w:rsidRPr="0091661D">
        <w:rPr>
          <w:rFonts w:ascii="Times New Roman" w:hAnsi="Times New Roman" w:cs="Times New Roman"/>
          <w:sz w:val="22"/>
          <w:szCs w:val="22"/>
          <w:lang w:val="en-US"/>
        </w:rPr>
        <w:t>URL: http://static.government.ru/media/files/gwQRcF4e3G6lA8vTMTNfNAcTWGeQxrt2.pdf (</w:t>
      </w:r>
      <w:r w:rsidRPr="0091661D">
        <w:rPr>
          <w:rFonts w:ascii="Times New Roman" w:hAnsi="Times New Roman" w:cs="Times New Roman"/>
          <w:sz w:val="22"/>
          <w:szCs w:val="22"/>
          <w:lang w:val="ru-RU"/>
        </w:rPr>
        <w:t>дата обращения 20.06.2023)</w:t>
      </w:r>
      <w:bookmarkEnd w:id="11"/>
    </w:p>
  </w:footnote>
  <w:footnote w:id="14">
    <w:p w14:paraId="718B7836" w14:textId="76C93728" w:rsidR="00453FE9" w:rsidRPr="005C0478" w:rsidRDefault="00453FE9">
      <w:pPr>
        <w:pStyle w:val="a4"/>
        <w:rPr>
          <w:rFonts w:ascii="Times New Roman" w:hAnsi="Times New Roman" w:cs="Times New Roman"/>
          <w:sz w:val="22"/>
          <w:szCs w:val="22"/>
          <w:lang w:val="ru-RU"/>
        </w:rPr>
      </w:pPr>
      <w:r w:rsidRPr="005C0478">
        <w:rPr>
          <w:rStyle w:val="a6"/>
          <w:rFonts w:ascii="Times New Roman" w:hAnsi="Times New Roman" w:cs="Times New Roman"/>
          <w:sz w:val="22"/>
          <w:szCs w:val="22"/>
        </w:rPr>
        <w:footnoteRef/>
      </w:r>
      <w:r w:rsidRPr="005C0478">
        <w:rPr>
          <w:rFonts w:ascii="Times New Roman" w:hAnsi="Times New Roman" w:cs="Times New Roman"/>
          <w:sz w:val="22"/>
          <w:szCs w:val="22"/>
          <w:lang w:val="ru-RU"/>
        </w:rPr>
        <w:t xml:space="preserve"> </w:t>
      </w:r>
      <w:bookmarkStart w:id="12" w:name="_Hlk138355886"/>
      <w:r w:rsidRPr="005C0478">
        <w:rPr>
          <w:rFonts w:ascii="Times New Roman" w:hAnsi="Times New Roman" w:cs="Times New Roman"/>
          <w:sz w:val="22"/>
          <w:szCs w:val="22"/>
          <w:lang w:val="ru-RU"/>
        </w:rPr>
        <w:t xml:space="preserve">Экономика России: аспекты глобального трансформационного сдвига. Август 2022. ВШЭ </w:t>
      </w:r>
      <w:r w:rsidRPr="005C0478">
        <w:rPr>
          <w:rFonts w:ascii="Times New Roman" w:hAnsi="Times New Roman" w:cs="Times New Roman"/>
          <w:sz w:val="22"/>
          <w:szCs w:val="22"/>
          <w:lang w:val="en-US"/>
        </w:rPr>
        <w:t>URL: https://www.hse.ru/mirror/pubs/share/741595550.pdf (</w:t>
      </w:r>
      <w:r w:rsidRPr="005C0478">
        <w:rPr>
          <w:rFonts w:ascii="Times New Roman" w:hAnsi="Times New Roman" w:cs="Times New Roman"/>
          <w:sz w:val="22"/>
          <w:szCs w:val="22"/>
          <w:lang w:val="ru-RU"/>
        </w:rPr>
        <w:t xml:space="preserve">дата обращения 20.06.2023) </w:t>
      </w:r>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331"/>
    <w:multiLevelType w:val="hybridMultilevel"/>
    <w:tmpl w:val="F96C52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36BB1"/>
    <w:multiLevelType w:val="multilevel"/>
    <w:tmpl w:val="B7888E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520C99"/>
    <w:multiLevelType w:val="hybridMultilevel"/>
    <w:tmpl w:val="F0EE6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C7002B"/>
    <w:multiLevelType w:val="hybridMultilevel"/>
    <w:tmpl w:val="34D6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61ADF"/>
    <w:multiLevelType w:val="hybridMultilevel"/>
    <w:tmpl w:val="ABDC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6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DE6E2C"/>
    <w:multiLevelType w:val="hybridMultilevel"/>
    <w:tmpl w:val="F96C5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817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5D6DDD"/>
    <w:multiLevelType w:val="multilevel"/>
    <w:tmpl w:val="FB50B7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2D4E09"/>
    <w:multiLevelType w:val="multilevel"/>
    <w:tmpl w:val="4F8888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1812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26E"/>
    <w:multiLevelType w:val="hybridMultilevel"/>
    <w:tmpl w:val="B1A8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21D64"/>
    <w:multiLevelType w:val="hybridMultilevel"/>
    <w:tmpl w:val="9B7A0422"/>
    <w:lvl w:ilvl="0" w:tplc="11A2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17220"/>
    <w:multiLevelType w:val="hybridMultilevel"/>
    <w:tmpl w:val="13C0F188"/>
    <w:lvl w:ilvl="0" w:tplc="D88E7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AA7460"/>
    <w:multiLevelType w:val="multilevel"/>
    <w:tmpl w:val="4F8888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709F4E2E"/>
    <w:multiLevelType w:val="hybridMultilevel"/>
    <w:tmpl w:val="224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1232A"/>
    <w:multiLevelType w:val="hybridMultilevel"/>
    <w:tmpl w:val="5196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C4CF2"/>
    <w:multiLevelType w:val="hybridMultilevel"/>
    <w:tmpl w:val="F96C52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229893">
    <w:abstractNumId w:val="5"/>
  </w:num>
  <w:num w:numId="2" w16cid:durableId="2079668963">
    <w:abstractNumId w:val="11"/>
  </w:num>
  <w:num w:numId="3" w16cid:durableId="1673752900">
    <w:abstractNumId w:val="6"/>
  </w:num>
  <w:num w:numId="4" w16cid:durableId="223224790">
    <w:abstractNumId w:val="16"/>
  </w:num>
  <w:num w:numId="5" w16cid:durableId="681471621">
    <w:abstractNumId w:val="17"/>
  </w:num>
  <w:num w:numId="6" w16cid:durableId="679818925">
    <w:abstractNumId w:val="10"/>
  </w:num>
  <w:num w:numId="7" w16cid:durableId="1019428844">
    <w:abstractNumId w:val="2"/>
  </w:num>
  <w:num w:numId="8" w16cid:durableId="953055009">
    <w:abstractNumId w:val="13"/>
  </w:num>
  <w:num w:numId="9" w16cid:durableId="152720006">
    <w:abstractNumId w:val="8"/>
  </w:num>
  <w:num w:numId="10" w16cid:durableId="1427309857">
    <w:abstractNumId w:val="0"/>
  </w:num>
  <w:num w:numId="11" w16cid:durableId="188182129">
    <w:abstractNumId w:val="7"/>
  </w:num>
  <w:num w:numId="12" w16cid:durableId="1540510864">
    <w:abstractNumId w:val="15"/>
  </w:num>
  <w:num w:numId="13" w16cid:durableId="1784224893">
    <w:abstractNumId w:val="3"/>
  </w:num>
  <w:num w:numId="14" w16cid:durableId="1547067260">
    <w:abstractNumId w:val="9"/>
  </w:num>
  <w:num w:numId="15" w16cid:durableId="667053715">
    <w:abstractNumId w:val="4"/>
  </w:num>
  <w:num w:numId="16" w16cid:durableId="1343824019">
    <w:abstractNumId w:val="14"/>
  </w:num>
  <w:num w:numId="17" w16cid:durableId="963851242">
    <w:abstractNumId w:val="1"/>
  </w:num>
  <w:num w:numId="18" w16cid:durableId="1699888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0"/>
    <w:rsid w:val="00133CE5"/>
    <w:rsid w:val="001961F8"/>
    <w:rsid w:val="001B4020"/>
    <w:rsid w:val="001E0DD5"/>
    <w:rsid w:val="001F5206"/>
    <w:rsid w:val="00214FE6"/>
    <w:rsid w:val="002D2291"/>
    <w:rsid w:val="00311BAB"/>
    <w:rsid w:val="00344BFD"/>
    <w:rsid w:val="003D3802"/>
    <w:rsid w:val="0041133F"/>
    <w:rsid w:val="00453FE9"/>
    <w:rsid w:val="0055625D"/>
    <w:rsid w:val="00576148"/>
    <w:rsid w:val="00590DC2"/>
    <w:rsid w:val="005C0478"/>
    <w:rsid w:val="005E4DFD"/>
    <w:rsid w:val="00613546"/>
    <w:rsid w:val="0061571C"/>
    <w:rsid w:val="006D52D5"/>
    <w:rsid w:val="00704E65"/>
    <w:rsid w:val="00752E50"/>
    <w:rsid w:val="007B28AF"/>
    <w:rsid w:val="007B400F"/>
    <w:rsid w:val="007B4840"/>
    <w:rsid w:val="007D6F03"/>
    <w:rsid w:val="00810AAD"/>
    <w:rsid w:val="008E2091"/>
    <w:rsid w:val="0091661D"/>
    <w:rsid w:val="00940DA3"/>
    <w:rsid w:val="009560D1"/>
    <w:rsid w:val="0099353B"/>
    <w:rsid w:val="009F0C50"/>
    <w:rsid w:val="00A22A31"/>
    <w:rsid w:val="00A42420"/>
    <w:rsid w:val="00A82973"/>
    <w:rsid w:val="00B545C1"/>
    <w:rsid w:val="00B64E57"/>
    <w:rsid w:val="00C3199D"/>
    <w:rsid w:val="00CE2D23"/>
    <w:rsid w:val="00CE72B2"/>
    <w:rsid w:val="00D11287"/>
    <w:rsid w:val="00D95EC2"/>
    <w:rsid w:val="00DA0BD5"/>
    <w:rsid w:val="00EB729A"/>
    <w:rsid w:val="00ED6261"/>
    <w:rsid w:val="00F741FE"/>
    <w:rsid w:val="00F90638"/>
    <w:rsid w:val="00FA7AF4"/>
    <w:rsid w:val="00FC6A34"/>
    <w:rsid w:val="00FE41C1"/>
    <w:rsid w:val="00FF11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402D"/>
  <w15:chartTrackingRefBased/>
  <w15:docId w15:val="{AF61A804-ECED-4AD4-B805-77DF37B2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FE"/>
    <w:pPr>
      <w:spacing w:after="0" w:line="276" w:lineRule="auto"/>
    </w:pPr>
    <w:rPr>
      <w:rFonts w:ascii="Arial" w:eastAsia="Arial" w:hAnsi="Arial" w:cs="Arial"/>
      <w:kern w:val="0"/>
      <w:lang w:val="ru"/>
      <w14:ligatures w14:val="none"/>
    </w:rPr>
  </w:style>
  <w:style w:type="paragraph" w:styleId="1">
    <w:name w:val="heading 1"/>
    <w:basedOn w:val="a"/>
    <w:next w:val="a"/>
    <w:link w:val="10"/>
    <w:uiPriority w:val="9"/>
    <w:qFormat/>
    <w:rsid w:val="001E0DD5"/>
    <w:pPr>
      <w:keepNext/>
      <w:keepLines/>
      <w:spacing w:before="240"/>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1E0DD5"/>
    <w:pPr>
      <w:keepNext/>
      <w:keepLines/>
      <w:spacing w:before="40"/>
      <w:outlineLvl w:val="1"/>
    </w:pPr>
    <w:rPr>
      <w:rFonts w:ascii="Times New Roman" w:eastAsiaTheme="majorEastAsia" w:hAnsi="Times New Roman" w:cstheme="majorBidi"/>
      <w:b/>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FE"/>
    <w:pPr>
      <w:ind w:left="720"/>
      <w:contextualSpacing/>
    </w:pPr>
  </w:style>
  <w:style w:type="paragraph" w:styleId="a4">
    <w:name w:val="footnote text"/>
    <w:basedOn w:val="a"/>
    <w:link w:val="a5"/>
    <w:uiPriority w:val="99"/>
    <w:semiHidden/>
    <w:unhideWhenUsed/>
    <w:rsid w:val="00C3199D"/>
    <w:pPr>
      <w:spacing w:line="240" w:lineRule="auto"/>
    </w:pPr>
    <w:rPr>
      <w:sz w:val="20"/>
      <w:szCs w:val="20"/>
    </w:rPr>
  </w:style>
  <w:style w:type="character" w:customStyle="1" w:styleId="a5">
    <w:name w:val="Текст сноски Знак"/>
    <w:basedOn w:val="a0"/>
    <w:link w:val="a4"/>
    <w:uiPriority w:val="99"/>
    <w:semiHidden/>
    <w:rsid w:val="00C3199D"/>
    <w:rPr>
      <w:rFonts w:ascii="Arial" w:eastAsia="Arial" w:hAnsi="Arial" w:cs="Arial"/>
      <w:kern w:val="0"/>
      <w:sz w:val="20"/>
      <w:szCs w:val="20"/>
      <w:lang w:val="ru"/>
      <w14:ligatures w14:val="none"/>
    </w:rPr>
  </w:style>
  <w:style w:type="character" w:styleId="a6">
    <w:name w:val="footnote reference"/>
    <w:basedOn w:val="a0"/>
    <w:uiPriority w:val="99"/>
    <w:semiHidden/>
    <w:unhideWhenUsed/>
    <w:rsid w:val="00C3199D"/>
    <w:rPr>
      <w:vertAlign w:val="superscript"/>
    </w:rPr>
  </w:style>
  <w:style w:type="character" w:styleId="a7">
    <w:name w:val="Hyperlink"/>
    <w:basedOn w:val="a0"/>
    <w:uiPriority w:val="99"/>
    <w:unhideWhenUsed/>
    <w:rsid w:val="00B545C1"/>
    <w:rPr>
      <w:color w:val="0563C1" w:themeColor="hyperlink"/>
      <w:u w:val="single"/>
    </w:rPr>
  </w:style>
  <w:style w:type="character" w:styleId="a8">
    <w:name w:val="Unresolved Mention"/>
    <w:basedOn w:val="a0"/>
    <w:uiPriority w:val="99"/>
    <w:semiHidden/>
    <w:unhideWhenUsed/>
    <w:rsid w:val="00B545C1"/>
    <w:rPr>
      <w:color w:val="605E5C"/>
      <w:shd w:val="clear" w:color="auto" w:fill="E1DFDD"/>
    </w:rPr>
  </w:style>
  <w:style w:type="character" w:customStyle="1" w:styleId="10">
    <w:name w:val="Заголовок 1 Знак"/>
    <w:basedOn w:val="a0"/>
    <w:link w:val="1"/>
    <w:uiPriority w:val="9"/>
    <w:rsid w:val="001E0DD5"/>
    <w:rPr>
      <w:rFonts w:ascii="Times New Roman" w:eastAsiaTheme="majorEastAsia" w:hAnsi="Times New Roman" w:cstheme="majorBidi"/>
      <w:b/>
      <w:color w:val="000000" w:themeColor="text1"/>
      <w:kern w:val="0"/>
      <w:sz w:val="28"/>
      <w:szCs w:val="32"/>
      <w:lang w:val="ru"/>
      <w14:ligatures w14:val="none"/>
    </w:rPr>
  </w:style>
  <w:style w:type="character" w:customStyle="1" w:styleId="20">
    <w:name w:val="Заголовок 2 Знак"/>
    <w:basedOn w:val="a0"/>
    <w:link w:val="2"/>
    <w:uiPriority w:val="9"/>
    <w:rsid w:val="001E0DD5"/>
    <w:rPr>
      <w:rFonts w:ascii="Times New Roman" w:eastAsiaTheme="majorEastAsia" w:hAnsi="Times New Roman" w:cstheme="majorBidi"/>
      <w:b/>
      <w:kern w:val="0"/>
      <w:sz w:val="28"/>
      <w:szCs w:val="26"/>
      <w:lang w:val="ru"/>
      <w14:ligatures w14:val="none"/>
    </w:rPr>
  </w:style>
  <w:style w:type="paragraph" w:styleId="a9">
    <w:name w:val="TOC Heading"/>
    <w:basedOn w:val="1"/>
    <w:next w:val="a"/>
    <w:uiPriority w:val="39"/>
    <w:unhideWhenUsed/>
    <w:qFormat/>
    <w:rsid w:val="001E0DD5"/>
    <w:pPr>
      <w:spacing w:line="259" w:lineRule="auto"/>
      <w:outlineLvl w:val="9"/>
    </w:pPr>
    <w:rPr>
      <w:rFonts w:asciiTheme="majorHAnsi" w:hAnsiTheme="majorHAnsi"/>
      <w:b w:val="0"/>
      <w:color w:val="2F5496" w:themeColor="accent1" w:themeShade="BF"/>
      <w:sz w:val="32"/>
      <w:lang w:val="en-US"/>
    </w:rPr>
  </w:style>
  <w:style w:type="paragraph" w:styleId="11">
    <w:name w:val="toc 1"/>
    <w:basedOn w:val="a"/>
    <w:next w:val="a"/>
    <w:autoRedefine/>
    <w:uiPriority w:val="39"/>
    <w:unhideWhenUsed/>
    <w:rsid w:val="001E0DD5"/>
    <w:pPr>
      <w:spacing w:after="100"/>
    </w:pPr>
  </w:style>
  <w:style w:type="paragraph" w:styleId="21">
    <w:name w:val="toc 2"/>
    <w:basedOn w:val="a"/>
    <w:next w:val="a"/>
    <w:autoRedefine/>
    <w:uiPriority w:val="39"/>
    <w:unhideWhenUsed/>
    <w:rsid w:val="001E0DD5"/>
    <w:pPr>
      <w:spacing w:after="100"/>
      <w:ind w:left="220"/>
    </w:pPr>
  </w:style>
  <w:style w:type="character" w:styleId="aa">
    <w:name w:val="line number"/>
    <w:basedOn w:val="a0"/>
    <w:uiPriority w:val="99"/>
    <w:semiHidden/>
    <w:unhideWhenUsed/>
    <w:rsid w:val="009F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889">
      <w:bodyDiv w:val="1"/>
      <w:marLeft w:val="0"/>
      <w:marRight w:val="0"/>
      <w:marTop w:val="0"/>
      <w:marBottom w:val="0"/>
      <w:divBdr>
        <w:top w:val="none" w:sz="0" w:space="0" w:color="auto"/>
        <w:left w:val="none" w:sz="0" w:space="0" w:color="auto"/>
        <w:bottom w:val="none" w:sz="0" w:space="0" w:color="auto"/>
        <w:right w:val="none" w:sz="0" w:space="0" w:color="auto"/>
      </w:divBdr>
    </w:div>
    <w:div w:id="300235627">
      <w:bodyDiv w:val="1"/>
      <w:marLeft w:val="0"/>
      <w:marRight w:val="0"/>
      <w:marTop w:val="0"/>
      <w:marBottom w:val="0"/>
      <w:divBdr>
        <w:top w:val="none" w:sz="0" w:space="0" w:color="auto"/>
        <w:left w:val="none" w:sz="0" w:space="0" w:color="auto"/>
        <w:bottom w:val="none" w:sz="0" w:space="0" w:color="auto"/>
        <w:right w:val="none" w:sz="0" w:space="0" w:color="auto"/>
      </w:divBdr>
    </w:div>
    <w:div w:id="316344314">
      <w:bodyDiv w:val="1"/>
      <w:marLeft w:val="0"/>
      <w:marRight w:val="0"/>
      <w:marTop w:val="0"/>
      <w:marBottom w:val="0"/>
      <w:divBdr>
        <w:top w:val="none" w:sz="0" w:space="0" w:color="auto"/>
        <w:left w:val="none" w:sz="0" w:space="0" w:color="auto"/>
        <w:bottom w:val="none" w:sz="0" w:space="0" w:color="auto"/>
        <w:right w:val="none" w:sz="0" w:space="0" w:color="auto"/>
      </w:divBdr>
    </w:div>
    <w:div w:id="543295916">
      <w:bodyDiv w:val="1"/>
      <w:marLeft w:val="0"/>
      <w:marRight w:val="0"/>
      <w:marTop w:val="0"/>
      <w:marBottom w:val="0"/>
      <w:divBdr>
        <w:top w:val="none" w:sz="0" w:space="0" w:color="auto"/>
        <w:left w:val="none" w:sz="0" w:space="0" w:color="auto"/>
        <w:bottom w:val="none" w:sz="0" w:space="0" w:color="auto"/>
        <w:right w:val="none" w:sz="0" w:space="0" w:color="auto"/>
      </w:divBdr>
    </w:div>
    <w:div w:id="570385762">
      <w:bodyDiv w:val="1"/>
      <w:marLeft w:val="0"/>
      <w:marRight w:val="0"/>
      <w:marTop w:val="0"/>
      <w:marBottom w:val="0"/>
      <w:divBdr>
        <w:top w:val="none" w:sz="0" w:space="0" w:color="auto"/>
        <w:left w:val="none" w:sz="0" w:space="0" w:color="auto"/>
        <w:bottom w:val="none" w:sz="0" w:space="0" w:color="auto"/>
        <w:right w:val="none" w:sz="0" w:space="0" w:color="auto"/>
      </w:divBdr>
    </w:div>
    <w:div w:id="914977005">
      <w:bodyDiv w:val="1"/>
      <w:marLeft w:val="0"/>
      <w:marRight w:val="0"/>
      <w:marTop w:val="0"/>
      <w:marBottom w:val="0"/>
      <w:divBdr>
        <w:top w:val="none" w:sz="0" w:space="0" w:color="auto"/>
        <w:left w:val="none" w:sz="0" w:space="0" w:color="auto"/>
        <w:bottom w:val="none" w:sz="0" w:space="0" w:color="auto"/>
        <w:right w:val="none" w:sz="0" w:space="0" w:color="auto"/>
      </w:divBdr>
    </w:div>
    <w:div w:id="1049955660">
      <w:bodyDiv w:val="1"/>
      <w:marLeft w:val="0"/>
      <w:marRight w:val="0"/>
      <w:marTop w:val="0"/>
      <w:marBottom w:val="0"/>
      <w:divBdr>
        <w:top w:val="none" w:sz="0" w:space="0" w:color="auto"/>
        <w:left w:val="none" w:sz="0" w:space="0" w:color="auto"/>
        <w:bottom w:val="none" w:sz="0" w:space="0" w:color="auto"/>
        <w:right w:val="none" w:sz="0" w:space="0" w:color="auto"/>
      </w:divBdr>
    </w:div>
    <w:div w:id="1224609410">
      <w:bodyDiv w:val="1"/>
      <w:marLeft w:val="0"/>
      <w:marRight w:val="0"/>
      <w:marTop w:val="0"/>
      <w:marBottom w:val="0"/>
      <w:divBdr>
        <w:top w:val="none" w:sz="0" w:space="0" w:color="auto"/>
        <w:left w:val="none" w:sz="0" w:space="0" w:color="auto"/>
        <w:bottom w:val="none" w:sz="0" w:space="0" w:color="auto"/>
        <w:right w:val="none" w:sz="0" w:space="0" w:color="auto"/>
      </w:divBdr>
    </w:div>
    <w:div w:id="1526358629">
      <w:bodyDiv w:val="1"/>
      <w:marLeft w:val="0"/>
      <w:marRight w:val="0"/>
      <w:marTop w:val="0"/>
      <w:marBottom w:val="0"/>
      <w:divBdr>
        <w:top w:val="none" w:sz="0" w:space="0" w:color="auto"/>
        <w:left w:val="none" w:sz="0" w:space="0" w:color="auto"/>
        <w:bottom w:val="none" w:sz="0" w:space="0" w:color="auto"/>
        <w:right w:val="none" w:sz="0" w:space="0" w:color="auto"/>
      </w:divBdr>
    </w:div>
    <w:div w:id="1540387203">
      <w:bodyDiv w:val="1"/>
      <w:marLeft w:val="0"/>
      <w:marRight w:val="0"/>
      <w:marTop w:val="0"/>
      <w:marBottom w:val="0"/>
      <w:divBdr>
        <w:top w:val="none" w:sz="0" w:space="0" w:color="auto"/>
        <w:left w:val="none" w:sz="0" w:space="0" w:color="auto"/>
        <w:bottom w:val="none" w:sz="0" w:space="0" w:color="auto"/>
        <w:right w:val="none" w:sz="0" w:space="0" w:color="auto"/>
      </w:divBdr>
    </w:div>
    <w:div w:id="1826047897">
      <w:bodyDiv w:val="1"/>
      <w:marLeft w:val="0"/>
      <w:marRight w:val="0"/>
      <w:marTop w:val="0"/>
      <w:marBottom w:val="0"/>
      <w:divBdr>
        <w:top w:val="none" w:sz="0" w:space="0" w:color="auto"/>
        <w:left w:val="none" w:sz="0" w:space="0" w:color="auto"/>
        <w:bottom w:val="none" w:sz="0" w:space="0" w:color="auto"/>
        <w:right w:val="none" w:sz="0" w:space="0" w:color="auto"/>
      </w:divBdr>
    </w:div>
    <w:div w:id="1903296875">
      <w:bodyDiv w:val="1"/>
      <w:marLeft w:val="0"/>
      <w:marRight w:val="0"/>
      <w:marTop w:val="0"/>
      <w:marBottom w:val="0"/>
      <w:divBdr>
        <w:top w:val="none" w:sz="0" w:space="0" w:color="auto"/>
        <w:left w:val="none" w:sz="0" w:space="0" w:color="auto"/>
        <w:bottom w:val="none" w:sz="0" w:space="0" w:color="auto"/>
        <w:right w:val="none" w:sz="0" w:space="0" w:color="auto"/>
      </w:divBdr>
    </w:div>
    <w:div w:id="19633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4337-9FAD-47BF-B5FE-FE6F2C0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34</Pages>
  <Words>7889</Words>
  <Characters>44973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Сибгатулин</dc:creator>
  <cp:keywords/>
  <dc:description/>
  <cp:lastModifiedBy>Михаил Сибгатулин</cp:lastModifiedBy>
  <cp:revision>12</cp:revision>
  <dcterms:created xsi:type="dcterms:W3CDTF">2023-06-21T19:47:00Z</dcterms:created>
  <dcterms:modified xsi:type="dcterms:W3CDTF">2023-06-26T13:53:00Z</dcterms:modified>
</cp:coreProperties>
</file>