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A9" w:rsidRDefault="00A1435F" w:rsidP="00A143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Софья, 312 группа, бизнес-информатика</w:t>
      </w:r>
    </w:p>
    <w:p w:rsidR="00A1435F" w:rsidRDefault="00A1435F" w:rsidP="00A143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35F" w:rsidRPr="00A1435F" w:rsidRDefault="00A1435F" w:rsidP="00A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35F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1999-2020 </w:t>
      </w:r>
      <w:proofErr w:type="spellStart"/>
      <w:r w:rsidRPr="00A1435F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:rsidR="00A1435F" w:rsidRPr="00A1435F" w:rsidRDefault="00A1435F" w:rsidP="00A14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35F" w:rsidRDefault="00A1435F" w:rsidP="00A1435F">
      <w:pPr>
        <w:jc w:val="both"/>
        <w:rPr>
          <w:rFonts w:ascii="Times New Roman" w:hAnsi="Times New Roman" w:cs="Times New Roman"/>
          <w:sz w:val="28"/>
          <w:szCs w:val="28"/>
        </w:rPr>
      </w:pPr>
      <w:r w:rsidRPr="00A1435F">
        <w:rPr>
          <w:rFonts w:ascii="Times New Roman" w:hAnsi="Times New Roman" w:cs="Times New Roman"/>
          <w:sz w:val="28"/>
          <w:szCs w:val="28"/>
        </w:rPr>
        <w:t>Для проведения анализа необходимо агрегировать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435F">
        <w:rPr>
          <w:rFonts w:ascii="Times New Roman" w:hAnsi="Times New Roman" w:cs="Times New Roman"/>
          <w:sz w:val="28"/>
          <w:szCs w:val="28"/>
        </w:rPr>
        <w:t>объединение нескольких элементов в единое целое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435F">
        <w:rPr>
          <w:rFonts w:ascii="Times New Roman" w:hAnsi="Times New Roman" w:cs="Times New Roman"/>
          <w:sz w:val="28"/>
          <w:szCs w:val="28"/>
        </w:rPr>
        <w:t xml:space="preserve"> отрасли экономики. После агрегирования получилось 6 отраслей, которые будут проанализированы. Для сравнительного анализа выделим года 1999, 2008 и 2020, которые рассмотрим подробнее.</w:t>
      </w:r>
    </w:p>
    <w:p w:rsidR="00A83457" w:rsidRDefault="00A83457" w:rsidP="00A1435F">
      <w:pPr>
        <w:jc w:val="both"/>
        <w:rPr>
          <w:rFonts w:ascii="Times New Roman" w:hAnsi="Times New Roman" w:cs="Times New Roman"/>
          <w:sz w:val="28"/>
          <w:szCs w:val="28"/>
        </w:rPr>
      </w:pPr>
      <w:r w:rsidRPr="00A83457">
        <w:rPr>
          <w:rFonts w:ascii="Times New Roman" w:hAnsi="Times New Roman" w:cs="Times New Roman"/>
          <w:sz w:val="28"/>
          <w:szCs w:val="28"/>
        </w:rPr>
        <w:t>Особенности развития экономических процессов в 1999 году определялись последствиями финансового кризиса 1998 года, результатом которых явились девальвация рубля и резкий рост инфляции, сопровождавшиеся ускорением экономического спада, снижением уровня жизни населения, кризисом банковской системы, свертыванием основных сегментов финансового рынка.</w:t>
      </w:r>
    </w:p>
    <w:p w:rsidR="003D12BD" w:rsidRDefault="003D12BD" w:rsidP="00A1435F">
      <w:pPr>
        <w:jc w:val="both"/>
        <w:rPr>
          <w:rFonts w:ascii="Times New Roman" w:hAnsi="Times New Roman" w:cs="Times New Roman"/>
          <w:sz w:val="28"/>
          <w:szCs w:val="28"/>
        </w:rPr>
      </w:pPr>
      <w:r w:rsidRPr="003D12BD">
        <w:rPr>
          <w:rFonts w:ascii="Times New Roman" w:hAnsi="Times New Roman" w:cs="Times New Roman"/>
          <w:sz w:val="28"/>
          <w:szCs w:val="28"/>
        </w:rPr>
        <w:t>В 2008 году в мире начался финансово-экономический кризис, который проявился в виде сильного снижения основных экономических показателей в большинстве стран с развитой экономикой, впоследствии переросшего в глобальную рецессию (замедление) экономики.</w:t>
      </w:r>
    </w:p>
    <w:p w:rsidR="003D12BD" w:rsidRDefault="003D12BD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 w:rsidRPr="003D12BD">
        <w:rPr>
          <w:rFonts w:ascii="Times New Roman" w:hAnsi="Times New Roman" w:cs="Times New Roman"/>
          <w:sz w:val="28"/>
          <w:szCs w:val="28"/>
        </w:rPr>
        <w:t>Важнейшее изменение, которое резко отличает экономическую ситуацию в России последних лет от 2006-2008 гг. – это значительное замедление экономического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BD">
        <w:rPr>
          <w:rFonts w:ascii="Times New Roman" w:hAnsi="Times New Roman" w:cs="Times New Roman"/>
          <w:sz w:val="28"/>
          <w:szCs w:val="28"/>
        </w:rPr>
        <w:t>Основная причина этого замедления – отсутствие новых источников роста экономики страны, таких как улучшение доступа к транспортно-логистической инфраструктуре, повышение доступности финансирования, улучшение делового климата и др. Соответственно, резко сократились и темпы роста инвестиций в</w:t>
      </w:r>
      <w:r>
        <w:rPr>
          <w:rFonts w:ascii="Times New Roman" w:hAnsi="Times New Roman" w:cs="Times New Roman"/>
          <w:sz w:val="28"/>
          <w:szCs w:val="28"/>
        </w:rPr>
        <w:t xml:space="preserve"> основной капитал.</w:t>
      </w:r>
    </w:p>
    <w:p w:rsidR="00A83457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сравнении промежутка с 2008 по 2020 год можно сказать, </w:t>
      </w:r>
      <w:r w:rsidR="003D12BD" w:rsidRPr="003D12BD">
        <w:rPr>
          <w:rFonts w:ascii="Times New Roman" w:hAnsi="Times New Roman" w:cs="Times New Roman"/>
          <w:sz w:val="28"/>
          <w:szCs w:val="28"/>
        </w:rPr>
        <w:t>что сырьевой характер российской экономики за это время только усугубился. Доля строительства по сравнению с 2008 годом в 2020 возросла. При этом значительно вырос вклад сектора государственного управления, военной безопасности и социального обеспечения, что отражает тенденцию к разрастанию государственного сек</w:t>
      </w:r>
      <w:r>
        <w:rPr>
          <w:rFonts w:ascii="Times New Roman" w:hAnsi="Times New Roman" w:cs="Times New Roman"/>
          <w:sz w:val="28"/>
          <w:szCs w:val="28"/>
        </w:rPr>
        <w:t xml:space="preserve">тора. </w:t>
      </w:r>
      <w:r w:rsidR="003D12BD" w:rsidRPr="003D12BD">
        <w:rPr>
          <w:rFonts w:ascii="Times New Roman" w:hAnsi="Times New Roman" w:cs="Times New Roman"/>
          <w:sz w:val="28"/>
          <w:szCs w:val="28"/>
        </w:rPr>
        <w:t>В структуре ВВП с 2008 по 2020 гг. снизилась также доля одной из основных отраслей – оптовой и розничной торговли и услуг.</w:t>
      </w:r>
    </w:p>
    <w:p w:rsidR="00F67FF5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FF5" w:rsidRDefault="00F6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FF5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проанализируем каждый сектор</w:t>
      </w:r>
    </w:p>
    <w:p w:rsidR="00F67FF5" w:rsidRP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>Аграрный сектор</w:t>
      </w:r>
    </w:p>
    <w:p w:rsidR="00F67FF5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Аграрный сектор. с 1998 до 2003 год относительный показатель колеблется от 5 до 7%. Далее с 2004 начинается стабильность, которая колеблется от 4,9% по 3,7% в 2020-м. В целом отрасль развивается динамично и поступательно. В тоже время имеются проблемы, связанные со снижением посевных площадей, снижения поголовья животных, что приводит и к более низким объемам производства продукции по сравнению с 1999 годом.</w:t>
      </w:r>
    </w:p>
    <w:p w:rsidR="00F67FF5" w:rsidRP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>Промышленность и добыча природного сырья</w:t>
      </w:r>
    </w:p>
    <w:p w:rsidR="00F67FF5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7FF5">
        <w:rPr>
          <w:rFonts w:ascii="Times New Roman" w:hAnsi="Times New Roman" w:cs="Times New Roman"/>
          <w:sz w:val="28"/>
          <w:szCs w:val="28"/>
        </w:rPr>
        <w:t xml:space="preserve"> 1999 значение равнялось 28,7%. До 2003 значение падало и стало примерно 23,3%. С 2004 по 2008 год показатель колебался в районе 26%. С 2008 года по 2014 показатель уменьшился до 22,0%. Можно заметить, что промышленность с добычей природного сырья постоянно колеблется, видно, что в показатели все-таки уменьшилась с 1999 года по 2020. Спад в целом вызван причиной сокращения рынков сбыта для российской продукции. Данный сектор не может подняться, эта проблема до сих пор не решена.</w:t>
      </w:r>
    </w:p>
    <w:p w:rsid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F67FF5" w:rsidRP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С 1999 по 2001 отрасль строительства росла с 5,5% до 6,7%. В 2002 году показатель начал падать, но не значительно и в 2005 году составил 4,6%. Далее показатель увеличивается от 4,5% в 2006 году до 6,6% в 2011 году. Тем самым, в период с 1999 по 2020 год относительное значение уменьшилось всего лишь на 0,4%. Основным фактором стабильности объемов строительства является заинтересованность и участие населения в инвестировании строительства, при фактическом уходе государства с рынка. Строительство всегда будет актуально, потому что происходит старение жилищного фонда и стремление населения через инвестирование в жилищное строительство улучшить жилищные условия и сохранить свои сбережения. С 2011 года сфера строительства падет, обосновать это можно перенасыщенностью рынка строительной сферы и валютным кризисом 2014-2015 года. В последующие годы резкого подъема в данной отрасли также не наблюдается, из чего можно сделать вывод, что данная отрасль находится в состоянии стагнации.</w:t>
      </w:r>
    </w:p>
    <w:p w:rsidR="00F67FF5" w:rsidRP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>Торговля и сфера услуг</w:t>
      </w:r>
      <w:r w:rsidR="006B6587">
        <w:rPr>
          <w:rFonts w:ascii="Times New Roman" w:hAnsi="Times New Roman" w:cs="Times New Roman"/>
          <w:b/>
          <w:sz w:val="28"/>
          <w:szCs w:val="28"/>
        </w:rPr>
        <w:t>, финансовая сфера</w:t>
      </w:r>
      <w:bookmarkStart w:id="0" w:name="_GoBack"/>
      <w:bookmarkEnd w:id="0"/>
    </w:p>
    <w:p w:rsidR="00F67FF5" w:rsidRDefault="00F67FF5" w:rsidP="003D12BD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 xml:space="preserve">С 1999 года по 2003 год держался в пределах 33%. В 2004 году немного упал до 29,6%. Потом был замечен рост до 2010 года. Затем начал медленно падать и в 2019 году стал равный 26,5%. С 2011 года по 2020 год значение упало на 2,7%. Значимой тенденцией российского розничного рынка последних лет является развитие системы франчайзинга. В целом в секторе оптовой торговли наблюдается медленное увеличение сегмента крупных и средних </w:t>
      </w:r>
      <w:r w:rsidRPr="00F67FF5">
        <w:rPr>
          <w:rFonts w:ascii="Times New Roman" w:hAnsi="Times New Roman" w:cs="Times New Roman"/>
          <w:sz w:val="28"/>
          <w:szCs w:val="28"/>
        </w:rPr>
        <w:lastRenderedPageBreak/>
        <w:t>предприятий. Наряду с общим увеличением объема продаж, меняется и структура отрасли. Дальнейший рост конкуренции, нарастание концентрации в сфере розничной торговли, использование новых технологий и развитие современных форм услуг дают возможность уверенно прогнозировать дальнейшее развитие российского потребительского рынка, все более соответствующего требованиям экономики, основанной на знаниях. Структурные изменения имеют положительный эффект также для потребителей и экономики в целом.</w:t>
      </w:r>
    </w:p>
    <w:p w:rsidR="00F67FF5" w:rsidRPr="00F67FF5" w:rsidRDefault="00F67FF5" w:rsidP="003D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>Транспорт и связь</w:t>
      </w:r>
    </w:p>
    <w:p w:rsid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 xml:space="preserve">С 8,6% в 1999 году показатель рос до 9,6% в 2004 году. Потом начал падать с небольшими скачками до 8,4% в 2020 году. Данная отрасль уменьшилась на 1,2% за период с 2004 года по 2020 год. Данная отрасль не показывает возрастающую динамику в последние годы. Трансформационные факторы будут влиять на рынок последовательно, в соответствии с определяющими их трендами. </w:t>
      </w:r>
      <w:proofErr w:type="spellStart"/>
      <w:r w:rsidRPr="00F67F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67FF5">
        <w:rPr>
          <w:rFonts w:ascii="Times New Roman" w:hAnsi="Times New Roman" w:cs="Times New Roman"/>
          <w:sz w:val="28"/>
          <w:szCs w:val="28"/>
        </w:rPr>
        <w:t xml:space="preserve"> уже трансформирует все сегменты транспорта и логистики, и по прогнозам в ближайшие годы она будет самой сильной тенденцией. В долгосрочной перспективе электромобили окажут умеренное влияние на транспортную и складскую инфраструктуру, а также на автотранспорт, так как именно в этих сегментах есть потребность в разработке инновационных решений, обеспечивающих существенную экономию затрат.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t xml:space="preserve">Государственное управление, государственные социальные услуги, образование, культура. </w:t>
      </w:r>
    </w:p>
    <w:p w:rsid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С 1999 по 2020 год можно заметить, что данная отрасль неуклонно растёт. Так в 1999 годы мы имеем 6,7%, а в 2020 уже 21,5%. В 2002 году происходит резкий подъем до 11,7%. Государство с каждым годом уделяет всё больше внимания, именно поэтому можно заметить рост в отрасли государственного управления и государственных социальных услуг. Также государство пытается развить отрасль образования и культуры, так как от него зависит конкурентоспособность выпускаемых работников, качество уровня жизни и др.</w:t>
      </w:r>
    </w:p>
    <w:p w:rsidR="00F67FF5" w:rsidRDefault="00F6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F5">
        <w:rPr>
          <w:rFonts w:ascii="Times New Roman" w:hAnsi="Times New Roman" w:cs="Times New Roman"/>
          <w:b/>
          <w:sz w:val="28"/>
          <w:szCs w:val="28"/>
        </w:rPr>
        <w:lastRenderedPageBreak/>
        <w:t>Концепция</w:t>
      </w:r>
    </w:p>
    <w:p w:rsidR="00F67FF5" w:rsidRDefault="00F67FF5" w:rsidP="00F67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 xml:space="preserve">Проанализировав прогноз с 2021 по 2027 год заметен рост в сфере торговля, сфера услуг и финансовая сфера. В 2020 году сектор розничной торговли перенес сильнейшее потрясение, внесшее свои коррективы в развитие рынка. Произошло одномоментное изменение потребительского поведения: на первый план при принятии решений о покупке внезапно вышли вопросы здоровья и безопасности. 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Выделим четыре приоритетные области, в которых с большой долей вероятности ожидаются кардинальные изменения и крупный приток инвестиций: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•</w:t>
      </w:r>
      <w:r w:rsidRPr="00F67FF5">
        <w:rPr>
          <w:rFonts w:ascii="Times New Roman" w:hAnsi="Times New Roman" w:cs="Times New Roman"/>
          <w:sz w:val="28"/>
          <w:szCs w:val="28"/>
        </w:rPr>
        <w:tab/>
        <w:t>Цифровая дифференциация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•</w:t>
      </w:r>
      <w:r w:rsidRPr="00F67FF5">
        <w:rPr>
          <w:rFonts w:ascii="Times New Roman" w:hAnsi="Times New Roman" w:cs="Times New Roman"/>
          <w:sz w:val="28"/>
          <w:szCs w:val="28"/>
        </w:rPr>
        <w:tab/>
        <w:t>Устойчивость цепочки поставок в условиях кризиса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•</w:t>
      </w:r>
      <w:r w:rsidRPr="00F67FF5">
        <w:rPr>
          <w:rFonts w:ascii="Times New Roman" w:hAnsi="Times New Roman" w:cs="Times New Roman"/>
          <w:sz w:val="28"/>
          <w:szCs w:val="28"/>
        </w:rPr>
        <w:tab/>
        <w:t>Стратегии в области охраны труда</w:t>
      </w:r>
    </w:p>
    <w:p w:rsid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•</w:t>
      </w:r>
      <w:r w:rsidRPr="00F67FF5">
        <w:rPr>
          <w:rFonts w:ascii="Times New Roman" w:hAnsi="Times New Roman" w:cs="Times New Roman"/>
          <w:sz w:val="28"/>
          <w:szCs w:val="28"/>
        </w:rPr>
        <w:tab/>
        <w:t>Реструктуризация расходов</w:t>
      </w:r>
    </w:p>
    <w:p w:rsidR="00E41BCF" w:rsidRPr="007506A3" w:rsidRDefault="00E41BCF" w:rsidP="00F67F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6A3">
        <w:rPr>
          <w:rFonts w:ascii="Times New Roman" w:hAnsi="Times New Roman" w:cs="Times New Roman"/>
          <w:sz w:val="28"/>
          <w:szCs w:val="28"/>
          <w:u w:val="single"/>
        </w:rPr>
        <w:t>Цифровая дифференциация</w:t>
      </w:r>
    </w:p>
    <w:p w:rsidR="00E41BCF" w:rsidRDefault="00E41BCF" w:rsidP="00E41BCF">
      <w:pPr>
        <w:jc w:val="both"/>
        <w:rPr>
          <w:rFonts w:ascii="Times New Roman" w:hAnsi="Times New Roman" w:cs="Times New Roman"/>
          <w:sz w:val="28"/>
          <w:szCs w:val="28"/>
        </w:rPr>
      </w:pPr>
      <w:r w:rsidRPr="00E41BCF">
        <w:rPr>
          <w:rFonts w:ascii="Times New Roman" w:hAnsi="Times New Roman" w:cs="Times New Roman"/>
          <w:sz w:val="28"/>
          <w:szCs w:val="28"/>
        </w:rPr>
        <w:t>В свою очередь страна, для которой хара</w:t>
      </w:r>
      <w:r>
        <w:rPr>
          <w:rFonts w:ascii="Times New Roman" w:hAnsi="Times New Roman" w:cs="Times New Roman"/>
          <w:sz w:val="28"/>
          <w:szCs w:val="28"/>
        </w:rPr>
        <w:t xml:space="preserve">ктерны </w:t>
      </w:r>
      <w:r w:rsidRPr="00E41BCF">
        <w:rPr>
          <w:rFonts w:ascii="Times New Roman" w:hAnsi="Times New Roman" w:cs="Times New Roman"/>
          <w:sz w:val="28"/>
          <w:szCs w:val="28"/>
        </w:rPr>
        <w:t>высокий уровень к</w:t>
      </w:r>
      <w:r>
        <w:rPr>
          <w:rFonts w:ascii="Times New Roman" w:hAnsi="Times New Roman" w:cs="Times New Roman"/>
          <w:sz w:val="28"/>
          <w:szCs w:val="28"/>
        </w:rPr>
        <w:t xml:space="preserve">онкурентоспособности и качества </w:t>
      </w:r>
      <w:r w:rsidRPr="00E41BCF">
        <w:rPr>
          <w:rFonts w:ascii="Times New Roman" w:hAnsi="Times New Roman" w:cs="Times New Roman"/>
          <w:sz w:val="28"/>
          <w:szCs w:val="28"/>
        </w:rPr>
        <w:t xml:space="preserve">жизни, имеет ресурсы и для инвестиций в </w:t>
      </w:r>
      <w:proofErr w:type="spellStart"/>
      <w:r w:rsidRPr="00E41BCF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E41BCF">
        <w:rPr>
          <w:rFonts w:ascii="Times New Roman" w:hAnsi="Times New Roman" w:cs="Times New Roman"/>
          <w:sz w:val="28"/>
          <w:szCs w:val="28"/>
        </w:rPr>
        <w:t xml:space="preserve"> экономики. Циф</w:t>
      </w:r>
      <w:r w:rsidR="007506A3">
        <w:rPr>
          <w:rFonts w:ascii="Times New Roman" w:hAnsi="Times New Roman" w:cs="Times New Roman"/>
          <w:sz w:val="28"/>
          <w:szCs w:val="28"/>
        </w:rPr>
        <w:t xml:space="preserve">ровое неравенство обуславливает </w:t>
      </w:r>
      <w:r w:rsidRPr="00E41BCF">
        <w:rPr>
          <w:rFonts w:ascii="Times New Roman" w:hAnsi="Times New Roman" w:cs="Times New Roman"/>
          <w:sz w:val="28"/>
          <w:szCs w:val="28"/>
        </w:rPr>
        <w:t xml:space="preserve">также различную </w:t>
      </w:r>
      <w:r w:rsidR="007506A3">
        <w:rPr>
          <w:rFonts w:ascii="Times New Roman" w:hAnsi="Times New Roman" w:cs="Times New Roman"/>
          <w:sz w:val="28"/>
          <w:szCs w:val="28"/>
        </w:rPr>
        <w:t xml:space="preserve">степень конкурентоспособности и </w:t>
      </w:r>
      <w:r w:rsidRPr="00E41BCF">
        <w:rPr>
          <w:rFonts w:ascii="Times New Roman" w:hAnsi="Times New Roman" w:cs="Times New Roman"/>
          <w:sz w:val="28"/>
          <w:szCs w:val="28"/>
        </w:rPr>
        <w:t>участия стран в гло</w:t>
      </w:r>
      <w:r w:rsidR="007506A3">
        <w:rPr>
          <w:rFonts w:ascii="Times New Roman" w:hAnsi="Times New Roman" w:cs="Times New Roman"/>
          <w:sz w:val="28"/>
          <w:szCs w:val="28"/>
        </w:rPr>
        <w:t xml:space="preserve">бальных процессах международной </w:t>
      </w:r>
      <w:r w:rsidRPr="00E41BCF">
        <w:rPr>
          <w:rFonts w:ascii="Times New Roman" w:hAnsi="Times New Roman" w:cs="Times New Roman"/>
          <w:sz w:val="28"/>
          <w:szCs w:val="28"/>
        </w:rPr>
        <w:t>торговли. В условия</w:t>
      </w:r>
      <w:r w:rsidR="007506A3">
        <w:rPr>
          <w:rFonts w:ascii="Times New Roman" w:hAnsi="Times New Roman" w:cs="Times New Roman"/>
          <w:sz w:val="28"/>
          <w:szCs w:val="28"/>
        </w:rPr>
        <w:t xml:space="preserve">х перехода к цифровой экономике </w:t>
      </w:r>
      <w:r w:rsidRPr="00E41BCF">
        <w:rPr>
          <w:rFonts w:ascii="Times New Roman" w:hAnsi="Times New Roman" w:cs="Times New Roman"/>
          <w:sz w:val="28"/>
          <w:szCs w:val="28"/>
        </w:rPr>
        <w:t xml:space="preserve">и усиления глобальной инновационной </w:t>
      </w:r>
      <w:proofErr w:type="spellStart"/>
      <w:r w:rsidRPr="00E41BCF">
        <w:rPr>
          <w:rFonts w:ascii="Times New Roman" w:hAnsi="Times New Roman" w:cs="Times New Roman"/>
          <w:sz w:val="28"/>
          <w:szCs w:val="28"/>
        </w:rPr>
        <w:t>гиперконкуренции</w:t>
      </w:r>
      <w:proofErr w:type="spellEnd"/>
      <w:r w:rsidRPr="00E41BCF">
        <w:rPr>
          <w:rFonts w:ascii="Times New Roman" w:hAnsi="Times New Roman" w:cs="Times New Roman"/>
          <w:sz w:val="28"/>
          <w:szCs w:val="28"/>
        </w:rPr>
        <w:t xml:space="preserve"> усиливает</w:t>
      </w:r>
      <w:r w:rsidR="007506A3">
        <w:rPr>
          <w:rFonts w:ascii="Times New Roman" w:hAnsi="Times New Roman" w:cs="Times New Roman"/>
          <w:sz w:val="28"/>
          <w:szCs w:val="28"/>
        </w:rPr>
        <w:t xml:space="preserve">ся и цифровое неравенство между </w:t>
      </w:r>
      <w:r w:rsidRPr="00E41BCF">
        <w:rPr>
          <w:rFonts w:ascii="Times New Roman" w:hAnsi="Times New Roman" w:cs="Times New Roman"/>
          <w:sz w:val="28"/>
          <w:szCs w:val="28"/>
        </w:rPr>
        <w:t>странами-лидерами и слаборазвитыми странами.</w:t>
      </w:r>
    </w:p>
    <w:p w:rsidR="007506A3" w:rsidRPr="007506A3" w:rsidRDefault="007506A3" w:rsidP="00E41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6A3">
        <w:rPr>
          <w:rFonts w:ascii="Times New Roman" w:hAnsi="Times New Roman" w:cs="Times New Roman"/>
          <w:sz w:val="28"/>
          <w:szCs w:val="28"/>
          <w:u w:val="single"/>
        </w:rPr>
        <w:t>Устойчивость поставок в условиях кризиса</w:t>
      </w:r>
    </w:p>
    <w:p w:rsidR="007506A3" w:rsidRDefault="007506A3" w:rsidP="00E41BCF">
      <w:pPr>
        <w:jc w:val="both"/>
        <w:rPr>
          <w:rFonts w:ascii="Times New Roman" w:hAnsi="Times New Roman" w:cs="Times New Roman"/>
          <w:sz w:val="28"/>
          <w:szCs w:val="28"/>
        </w:rPr>
      </w:pPr>
      <w:r w:rsidRPr="007506A3">
        <w:rPr>
          <w:rFonts w:ascii="Times New Roman" w:hAnsi="Times New Roman" w:cs="Times New Roman"/>
          <w:sz w:val="28"/>
          <w:szCs w:val="28"/>
        </w:rPr>
        <w:t>Оптимизация систем поставок была традиционно направлена на сокращение затрат, и сегодня они не способны эффективно справляться с непредвиденными кризисами. Компаниям необходимо реализовать потенциал и построить надежные цепочки поставок, которые помогут им вовремя заметить приближение кризиса и встретить его во всеоружии.</w:t>
      </w:r>
    </w:p>
    <w:p w:rsidR="007506A3" w:rsidRPr="006936F2" w:rsidRDefault="007506A3" w:rsidP="00E41B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6F2">
        <w:rPr>
          <w:rFonts w:ascii="Times New Roman" w:hAnsi="Times New Roman" w:cs="Times New Roman"/>
          <w:sz w:val="28"/>
          <w:szCs w:val="28"/>
          <w:u w:val="single"/>
        </w:rPr>
        <w:t>Стратегии в области охраны труда</w:t>
      </w:r>
    </w:p>
    <w:p w:rsidR="007506A3" w:rsidRDefault="007506A3" w:rsidP="007506A3">
      <w:pPr>
        <w:jc w:val="both"/>
        <w:rPr>
          <w:rFonts w:ascii="Times New Roman" w:hAnsi="Times New Roman" w:cs="Times New Roman"/>
          <w:sz w:val="28"/>
          <w:szCs w:val="28"/>
        </w:rPr>
      </w:pPr>
      <w:r w:rsidRPr="007506A3">
        <w:rPr>
          <w:rFonts w:ascii="Times New Roman" w:hAnsi="Times New Roman" w:cs="Times New Roman"/>
          <w:sz w:val="28"/>
          <w:szCs w:val="28"/>
        </w:rPr>
        <w:t>Стратегия Общества в области про</w:t>
      </w:r>
      <w:r w:rsidR="006936F2">
        <w:rPr>
          <w:rFonts w:ascii="Times New Roman" w:hAnsi="Times New Roman" w:cs="Times New Roman"/>
          <w:sz w:val="28"/>
          <w:szCs w:val="28"/>
        </w:rPr>
        <w:t xml:space="preserve">мышленной безопасности и охраны </w:t>
      </w:r>
      <w:r w:rsidRPr="007506A3">
        <w:rPr>
          <w:rFonts w:ascii="Times New Roman" w:hAnsi="Times New Roman" w:cs="Times New Roman"/>
          <w:sz w:val="28"/>
          <w:szCs w:val="28"/>
        </w:rPr>
        <w:t>тру</w:t>
      </w:r>
      <w:r w:rsidR="006936F2">
        <w:rPr>
          <w:rFonts w:ascii="Times New Roman" w:hAnsi="Times New Roman" w:cs="Times New Roman"/>
          <w:sz w:val="28"/>
          <w:szCs w:val="28"/>
        </w:rPr>
        <w:t>да (ПБ и ОТ)</w:t>
      </w:r>
      <w:r w:rsidRPr="007506A3">
        <w:rPr>
          <w:rFonts w:ascii="Times New Roman" w:hAnsi="Times New Roman" w:cs="Times New Roman"/>
          <w:sz w:val="28"/>
          <w:szCs w:val="28"/>
        </w:rPr>
        <w:t xml:space="preserve"> определяет цепочк</w:t>
      </w:r>
      <w:r w:rsidR="006936F2">
        <w:rPr>
          <w:rFonts w:ascii="Times New Roman" w:hAnsi="Times New Roman" w:cs="Times New Roman"/>
          <w:sz w:val="28"/>
          <w:szCs w:val="28"/>
        </w:rPr>
        <w:t xml:space="preserve">у целей, образ </w:t>
      </w:r>
      <w:r w:rsidRPr="007506A3">
        <w:rPr>
          <w:rFonts w:ascii="Times New Roman" w:hAnsi="Times New Roman" w:cs="Times New Roman"/>
          <w:sz w:val="28"/>
          <w:szCs w:val="28"/>
        </w:rPr>
        <w:t>организационных действий и упр</w:t>
      </w:r>
      <w:r w:rsidR="006936F2">
        <w:rPr>
          <w:rFonts w:ascii="Times New Roman" w:hAnsi="Times New Roman" w:cs="Times New Roman"/>
          <w:sz w:val="28"/>
          <w:szCs w:val="28"/>
        </w:rPr>
        <w:t xml:space="preserve">авляющих подходов трансформации </w:t>
      </w:r>
      <w:r w:rsidRPr="007506A3">
        <w:rPr>
          <w:rFonts w:ascii="Times New Roman" w:hAnsi="Times New Roman" w:cs="Times New Roman"/>
          <w:sz w:val="28"/>
          <w:szCs w:val="28"/>
        </w:rPr>
        <w:t>культуры безопасности Общества в соответствии со стратегическим</w:t>
      </w:r>
      <w:r w:rsidR="006936F2">
        <w:rPr>
          <w:rFonts w:ascii="Times New Roman" w:hAnsi="Times New Roman" w:cs="Times New Roman"/>
          <w:sz w:val="28"/>
          <w:szCs w:val="28"/>
        </w:rPr>
        <w:t xml:space="preserve"> </w:t>
      </w:r>
      <w:r w:rsidRPr="007506A3">
        <w:rPr>
          <w:rFonts w:ascii="Times New Roman" w:hAnsi="Times New Roman" w:cs="Times New Roman"/>
          <w:sz w:val="28"/>
          <w:szCs w:val="28"/>
        </w:rPr>
        <w:t>направлением.</w:t>
      </w:r>
    </w:p>
    <w:p w:rsidR="006936F2" w:rsidRPr="006936F2" w:rsidRDefault="006936F2" w:rsidP="007506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6F2">
        <w:rPr>
          <w:rFonts w:ascii="Times New Roman" w:hAnsi="Times New Roman" w:cs="Times New Roman"/>
          <w:sz w:val="28"/>
          <w:szCs w:val="28"/>
          <w:u w:val="single"/>
        </w:rPr>
        <w:lastRenderedPageBreak/>
        <w:t>Реструктуризация расходов</w:t>
      </w:r>
    </w:p>
    <w:p w:rsidR="006936F2" w:rsidRDefault="006936F2" w:rsidP="0069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936F2">
        <w:rPr>
          <w:rFonts w:ascii="Times New Roman" w:hAnsi="Times New Roman" w:cs="Times New Roman"/>
          <w:sz w:val="28"/>
          <w:szCs w:val="28"/>
        </w:rPr>
        <w:t xml:space="preserve">Реструктуризация – это изменение условий соглашения, на основании которого образовалась задолженность. Это своеобразная уступка должнику, обеспечивающая исполнение обязательств на более удобных условиях. Реструктуризация может предполагать различные условия: изменение процента по задолженности, продление срока выплат. </w:t>
      </w:r>
    </w:p>
    <w:p w:rsidR="006936F2" w:rsidRPr="006936F2" w:rsidRDefault="006936F2" w:rsidP="0069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На смену данному виду развития отрасли должны прийти новые, более крупные игроки, имеющие значительные возможности для захвата рынка и осуществляющие долговременную политику. Их роль будет заключаться в некоторой стабилизации и налаживании отношений с органами власти, снижении уровня экономических рисков (СРО), а также организации высокой степени специализации и надёжности. Вполне возможно, что это будут первоначальные участники процесса оказания услуг, должным образом интегрированные в оптимальные структуры.</w:t>
      </w:r>
    </w:p>
    <w:p w:rsidR="00F67FF5" w:rsidRPr="00F67FF5" w:rsidRDefault="00F67FF5" w:rsidP="00F67F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FF5">
        <w:rPr>
          <w:rFonts w:ascii="Times New Roman" w:hAnsi="Times New Roman" w:cs="Times New Roman"/>
          <w:sz w:val="28"/>
          <w:szCs w:val="28"/>
        </w:rPr>
        <w:t>Постепенно к ним добавятся наиболее сильные в экономическом отношении системы, сумевшие объединить в единую интеграционную цепь передовые научные кадры, значительные инвестиции (госзаказы и банковский капитал), а также профессиональный менеджмент и отлично организованный маркетинг. Именно они возьмут на себя миссию оказания высокотехнологичных услуг для ряда фирм и производственных предприятий, с целью создания инновационных технологий, позволяющих занять лидирующие позиции в мировой экономике.</w:t>
      </w:r>
    </w:p>
    <w:sectPr w:rsidR="00F67FF5" w:rsidRPr="00F6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F"/>
    <w:rsid w:val="00156234"/>
    <w:rsid w:val="0019655F"/>
    <w:rsid w:val="003D12BD"/>
    <w:rsid w:val="00493298"/>
    <w:rsid w:val="006936F2"/>
    <w:rsid w:val="006B6587"/>
    <w:rsid w:val="007506A3"/>
    <w:rsid w:val="00A1435F"/>
    <w:rsid w:val="00A83457"/>
    <w:rsid w:val="00E41BCF"/>
    <w:rsid w:val="00F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BA55"/>
  <w15:chartTrackingRefBased/>
  <w15:docId w15:val="{110FF538-6C6B-483C-8EF9-D8507FE2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2021-08-26T09:30:00Z</dcterms:created>
  <dcterms:modified xsi:type="dcterms:W3CDTF">2021-08-26T22:50:00Z</dcterms:modified>
</cp:coreProperties>
</file>