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</w:t>
      </w:r>
      <w:r w:rsidR="001031EF">
        <w:rPr>
          <w:rFonts w:ascii="Times New Roman" w:hAnsi="Times New Roman" w:cs="Times New Roman"/>
          <w:sz w:val="28"/>
          <w:szCs w:val="28"/>
        </w:rPr>
        <w:t>гами кривой рыночного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 У,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>сечения. Постройте уравнение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>ния показывает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1EF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>стало 5 млн. авто, следовательно</w:t>
      </w:r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Срок службы: 10 лет ( 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Стоимость новых станков-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ден.ед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Ф1=1*2+2=4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Ф2=1*2+1=3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Ф4=7*2+1=15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E22AA8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97789</wp:posOffset>
                      </wp:positionV>
                      <wp:extent cx="288290" cy="0"/>
                      <wp:effectExtent l="0" t="0" r="1651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E22AA8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1460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31EF" w:rsidRPr="00EC6BC2" w:rsidRDefault="001031EF" w:rsidP="0085477C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1031EF" w:rsidRPr="00EC6BC2" w:rsidRDefault="001031EF" w:rsidP="0085477C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i)</w:t>
                      </w:r>
                    </w:p>
                  </w:txbxContent>
                </v:textbox>
              </v:rect>
            </w:pict>
          </mc:Fallback>
        </mc:AlternateConten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E22AA8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52069</wp:posOffset>
                      </wp:positionV>
                      <wp:extent cx="130810" cy="0"/>
                      <wp:effectExtent l="0" t="0" r="21590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40773D">
        <w:rPr>
          <w:rFonts w:ascii="Times New Roman" w:hAnsi="Times New Roman" w:cs="Times New Roman"/>
          <w:iCs/>
          <w:sz w:val="28"/>
          <w:szCs w:val="28"/>
        </w:rPr>
        <w:t>с,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1=4000+1000+1000=6000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1031E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EF">
        <w:rPr>
          <w:rFonts w:ascii="Times New Roman" w:hAnsi="Times New Roman" w:cs="Times New Roman"/>
          <w:sz w:val="28"/>
          <w:szCs w:val="28"/>
        </w:rPr>
        <w:t xml:space="preserve">2)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31EF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31EF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31EF">
        <w:rPr>
          <w:rFonts w:ascii="Times New Roman" w:hAnsi="Times New Roman" w:cs="Times New Roman"/>
          <w:sz w:val="28"/>
          <w:szCs w:val="28"/>
        </w:rPr>
        <w:t>)</w:t>
      </w:r>
      <w:r w:rsidR="00D558C5" w:rsidRPr="001031EF">
        <w:rPr>
          <w:rFonts w:ascii="Times New Roman" w:hAnsi="Times New Roman" w:cs="Times New Roman"/>
          <w:sz w:val="28"/>
          <w:szCs w:val="28"/>
        </w:rPr>
        <w:t xml:space="preserve"> </w:t>
      </w:r>
      <w:r w:rsidRPr="001031EF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31EF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31EF">
        <w:rPr>
          <w:rFonts w:ascii="Times New Roman" w:hAnsi="Times New Roman" w:cs="Times New Roman"/>
          <w:sz w:val="28"/>
          <w:szCs w:val="28"/>
        </w:rPr>
        <w:t>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(c+v+m)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ед.изделия;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 раб.*300 долл/месяц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 :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 :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 :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 :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MR=MC  TR=Q*P=Q*60=60Q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 w:rsidR="00900DC0" w:rsidRPr="0040773D" w:rsidRDefault="001031E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 w:rsidR="00900DC0" w:rsidRPr="0040773D" w:rsidRDefault="001031E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I(c+v+m)=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II(c+v+m)=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(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т.к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0C03FA">
        <w:rPr>
          <w:rFonts w:ascii="Times New Roman" w:hAnsi="Times New Roman" w:cs="Times New Roman"/>
          <w:sz w:val="28"/>
          <w:szCs w:val="28"/>
        </w:rPr>
        <w:t>=180*100%/200=90%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r w:rsidRPr="000C03FA">
        <w:rPr>
          <w:rFonts w:ascii="Times New Roman" w:hAnsi="Times New Roman" w:cs="Times New Roman"/>
          <w:sz w:val="28"/>
          <w:szCs w:val="28"/>
        </w:rPr>
        <w:t>=160*100%/200=80%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r w:rsidRPr="000C03FA">
        <w:rPr>
          <w:rFonts w:ascii="Times New Roman" w:hAnsi="Times New Roman" w:cs="Times New Roman"/>
          <w:sz w:val="28"/>
          <w:szCs w:val="28"/>
        </w:rPr>
        <w:t>=140*100%/200=70%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</w:t>
      </w:r>
      <w:bookmarkStart w:id="0" w:name="_GoBack"/>
      <w:bookmarkEnd w:id="0"/>
      <w:r w:rsidRPr="0040773D">
        <w:rPr>
          <w:rFonts w:ascii="Times New Roman" w:hAnsi="Times New Roman" w:cs="Times New Roman"/>
          <w:sz w:val="28"/>
          <w:szCs w:val="28"/>
        </w:rPr>
        <w:t>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0"/>
    <w:rsid w:val="000C03FA"/>
    <w:rsid w:val="000C2346"/>
    <w:rsid w:val="001031EF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22AA8"/>
    <w:rsid w:val="00ED6040"/>
    <w:rsid w:val="00F12B26"/>
    <w:rsid w:val="00F150FD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Пользователь Windows</cp:lastModifiedBy>
  <cp:revision>2</cp:revision>
  <dcterms:created xsi:type="dcterms:W3CDTF">2019-01-14T19:29:00Z</dcterms:created>
  <dcterms:modified xsi:type="dcterms:W3CDTF">2019-01-14T19:29:00Z</dcterms:modified>
</cp:coreProperties>
</file>