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2CD1D" w14:textId="399324F4" w:rsidR="00DA614F" w:rsidRDefault="00DA614F" w:rsidP="00F46072">
      <w:pPr>
        <w:pStyle w:val="ab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DA614F">
        <w:rPr>
          <w:rFonts w:ascii="Arial" w:eastAsia="Arial" w:hAnsi="Arial" w:cs="Arial"/>
          <w:noProof/>
          <w:color w:val="auto"/>
          <w:sz w:val="22"/>
          <w:szCs w:val="22"/>
        </w:rPr>
        <w:drawing>
          <wp:inline distT="0" distB="0" distL="0" distR="0" wp14:anchorId="25D29359" wp14:editId="6C55FB36">
            <wp:extent cx="5858510" cy="82296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="Arial" w:hAnsi="Arial" w:cs="Arial"/>
          <w:color w:val="auto"/>
          <w:sz w:val="22"/>
          <w:szCs w:val="22"/>
        </w:rPr>
        <w:id w:val="2890237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FB9C35" w14:textId="5F58A806" w:rsidR="00F46072" w:rsidRDefault="00F46072" w:rsidP="00F46072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F46072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27D3FE3A" w14:textId="77777777" w:rsidR="00F46072" w:rsidRPr="009D4930" w:rsidRDefault="00F46072" w:rsidP="009E0FAD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7C9AA8A5" w14:textId="63402899" w:rsidR="009D4930" w:rsidRPr="009D4930" w:rsidRDefault="00F46072">
          <w:pPr>
            <w:pStyle w:val="1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9D493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493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493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269570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ВВЕДЕНИЕ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_Toc42269570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44C5BD" w14:textId="7A9BCFBA" w:rsidR="009D4930" w:rsidRPr="009D4930" w:rsidRDefault="0084130E">
          <w:pPr>
            <w:pStyle w:val="1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1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1 ТЕОРЕТИЧЕСКИЕ АСПЕКТЫ СТИМУЛИРОВАНИЯ ИННОВАЦИОННОГО ПРОЦЕССА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_Toc42269571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62D0FA" w14:textId="3D8A7CA3" w:rsidR="009D4930" w:rsidRPr="009D4930" w:rsidRDefault="0084130E">
          <w:pPr>
            <w:pStyle w:val="2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2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1.1 ИННОВАЦИОННЫЙ ПРОЦЕСС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_Toc42269572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F8078D" w14:textId="38365D6B" w:rsidR="009D4930" w:rsidRPr="009D4930" w:rsidRDefault="0084130E">
          <w:pPr>
            <w:pStyle w:val="2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3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1.2 ВИДЫ ЭКОНОМИЧЕСКОГО СТИМУЛИРОВАНИЯ ИННОВАЦИОННОГО ПРОЦЕССА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_Toc42269573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6621A" w14:textId="1FE6DBC5" w:rsidR="009D4930" w:rsidRPr="009D4930" w:rsidRDefault="0084130E">
          <w:pPr>
            <w:pStyle w:val="1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4" w:history="1">
            <w:r w:rsidR="009D4930" w:rsidRPr="009D4930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2</w:t>
            </w:r>
            <w:r w:rsidR="009D4930" w:rsidRPr="009D4930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9D4930" w:rsidRPr="009D4930">
              <w:rPr>
                <w:rStyle w:val="ac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АНАЛИЗ ЭКОНОМИЧЕСКОГО СТИМУЛИРОВАНИЯ ИННОВАЦИОННОГО ПРОЦЕССА НА ПРИМЕРЕ РАЗВИТЫХ И РАЗВИВАЮЩИХСЯ СТРАН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_Toc42269574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E2391" w14:textId="5B66B024" w:rsidR="009D4930" w:rsidRPr="009D4930" w:rsidRDefault="0084130E">
          <w:pPr>
            <w:pStyle w:val="2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5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2.1 ПРИМЕРЫ ЭКОНОМИЧЕСКОГО СТИМУЛИРОВАНИЯ РАЗВИТЫХ СТРАН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_Toc42269575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172AEB" w14:textId="46D5D589" w:rsidR="009D4930" w:rsidRPr="009D4930" w:rsidRDefault="0084130E">
          <w:pPr>
            <w:pStyle w:val="2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6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2.2 ПРИМЕР ЭКОНОМИЧЕСКОГО СТИМУЛИРОВАНИЯ ИННВОЦИОННОГО ПРОЦЕССА РАЗВИВАЮЩИХСЯ СТРАН.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_Toc42269576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D63A43" w14:textId="79662528" w:rsidR="009D4930" w:rsidRPr="009D4930" w:rsidRDefault="0084130E">
          <w:pPr>
            <w:pStyle w:val="2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7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2.3 РЕКОМЕНДАЦИИ ПО ЭКОНОМИЧЕСКОМУ СТИМУЛИРОВАНИ ИННОВОЦИОННОГО ПРОЦЕССА В ТЕХНОЛОГИЧЕСКИ НЕРАЗВИТЫХ СТРАНАХ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_Toc42269577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85DB5B" w14:textId="13F5C86A" w:rsidR="009D4930" w:rsidRPr="009D4930" w:rsidRDefault="0084130E">
          <w:pPr>
            <w:pStyle w:val="1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8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ЗАКЛЮЧЕНИЕ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_Toc42269578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3D02AE" w14:textId="679AAB66" w:rsidR="009D4930" w:rsidRPr="009D4930" w:rsidRDefault="0084130E">
          <w:pPr>
            <w:pStyle w:val="10"/>
            <w:tabs>
              <w:tab w:val="right" w:leader="dot" w:pos="9350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42269579" w:history="1">
            <w:r w:rsidR="009D4930" w:rsidRPr="009D4930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</w:rPr>
              <w:t>СПИСОК ИСПОЛЬЗОВАННЫХ ИСТОЧНИКОВ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_Toc42269579 \h </w:instrTex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9D4930" w:rsidRPr="009D493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A44B2F" w14:textId="2D9CB823" w:rsidR="00F46072" w:rsidRDefault="00F46072" w:rsidP="009E0FAD">
          <w:pPr>
            <w:jc w:val="both"/>
          </w:pPr>
          <w:r w:rsidRPr="009D493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4DEE400" w14:textId="77777777" w:rsidR="00F46072" w:rsidRDefault="00F46072" w:rsidP="00DF2C1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5498F7A5" w14:textId="0B6158E6" w:rsidR="00F46072" w:rsidRDefault="00F46072" w:rsidP="00DF2C1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309C2EDF" w14:textId="72BEE724" w:rsidR="00F46072" w:rsidRDefault="00F46072" w:rsidP="00DF2C1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143E4D16" w14:textId="351FFDDD" w:rsidR="00F46072" w:rsidRDefault="00F46072" w:rsidP="009E0FAD">
      <w:pPr>
        <w:spacing w:after="16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0000002B" w14:textId="6E99E086" w:rsidR="005910AC" w:rsidRPr="00DF2C13" w:rsidRDefault="005F7C20" w:rsidP="009E0FAD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0" w:name="_Toc42269570"/>
      <w:r w:rsidRPr="00DF2C13">
        <w:rPr>
          <w:rFonts w:ascii="Times New Roman" w:hAnsi="Times New Roman" w:cs="Times New Roman"/>
          <w:b w:val="0"/>
          <w:bCs/>
          <w:sz w:val="28"/>
          <w:szCs w:val="28"/>
        </w:rPr>
        <w:t>ВВЕДЕНИЕ</w:t>
      </w:r>
      <w:bookmarkEnd w:id="0"/>
    </w:p>
    <w:p w14:paraId="0713EBB2" w14:textId="12A35E9A" w:rsid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 xml:space="preserve">Для того чтобы страна в наше время могла </w:t>
      </w:r>
      <w:proofErr w:type="gramStart"/>
      <w:r w:rsidRPr="00DF2C13"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 w:rsidRPr="00DF2C13">
        <w:rPr>
          <w:rFonts w:ascii="Times New Roman" w:hAnsi="Times New Roman" w:cs="Times New Roman"/>
          <w:sz w:val="28"/>
          <w:szCs w:val="28"/>
        </w:rPr>
        <w:t xml:space="preserve"> на ряду с развитыми государствами, она обязана уделять большое внимание своему НТП. С каждыми последующим годом инновационность того или иного </w:t>
      </w:r>
      <w:r w:rsidRPr="00DF2C13">
        <w:rPr>
          <w:rFonts w:ascii="Times New Roman" w:hAnsi="Times New Roman" w:cs="Times New Roman"/>
          <w:sz w:val="28"/>
          <w:szCs w:val="28"/>
        </w:rPr>
        <w:lastRenderedPageBreak/>
        <w:t xml:space="preserve">продукта сокращается, </w:t>
      </w:r>
      <w:proofErr w:type="gramStart"/>
      <w:r w:rsidRPr="00DF2C13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Pr="00DF2C13">
        <w:rPr>
          <w:rFonts w:ascii="Times New Roman" w:hAnsi="Times New Roman" w:cs="Times New Roman"/>
          <w:sz w:val="28"/>
          <w:szCs w:val="28"/>
        </w:rPr>
        <w:t xml:space="preserve"> технологии развиваются очень быстро, а рыночная экономика способствует росту их конкурентоспособности. Но при этом инновационные проекты остаются достаточно рисковыми, поэтому инвестиции в эти проекты являются совсем небольшими. Исходя из этого образуется дефицит финансового стимулирования, что способствует замедлению НТП. Если мы посмотрим на одну из самых прибыльных отраслей </w:t>
      </w:r>
      <w:proofErr w:type="gramStart"/>
      <w:r w:rsidRPr="00DF2C13">
        <w:rPr>
          <w:rFonts w:ascii="Times New Roman" w:hAnsi="Times New Roman" w:cs="Times New Roman"/>
          <w:sz w:val="28"/>
          <w:szCs w:val="28"/>
        </w:rPr>
        <w:t>экономики</w:t>
      </w:r>
      <w:proofErr w:type="gramEnd"/>
      <w:r w:rsidRPr="00DF2C13">
        <w:rPr>
          <w:rFonts w:ascii="Times New Roman" w:hAnsi="Times New Roman" w:cs="Times New Roman"/>
          <w:sz w:val="28"/>
          <w:szCs w:val="28"/>
        </w:rPr>
        <w:t xml:space="preserve"> то мы обнаружим, что она полностью базируется на инновациях. Речь идет о высокотехнологической отросли, именно развитие этой отросли способствовало огромному экономическому росту не только стран с развитой экономикой, но и странам с несырьевой и аграрной экономиками. В развитых странах большой вклад в инновационный процесс делают коммерческие компании, </w:t>
      </w:r>
      <w:proofErr w:type="gramStart"/>
      <w:r w:rsidRPr="00DF2C13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Pr="00DF2C13">
        <w:rPr>
          <w:rFonts w:ascii="Times New Roman" w:hAnsi="Times New Roman" w:cs="Times New Roman"/>
          <w:sz w:val="28"/>
          <w:szCs w:val="28"/>
        </w:rPr>
        <w:t xml:space="preserve"> это очень финансово затратное дело. Государству выгодно такое положение, </w:t>
      </w:r>
      <w:proofErr w:type="gramStart"/>
      <w:r w:rsidRPr="00DF2C13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Pr="00DF2C13">
        <w:rPr>
          <w:rFonts w:ascii="Times New Roman" w:hAnsi="Times New Roman" w:cs="Times New Roman"/>
          <w:sz w:val="28"/>
          <w:szCs w:val="28"/>
        </w:rPr>
        <w:t xml:space="preserve"> инновационная деятельность компаний повышает общий уровень НТП в стране и если государство будет помогать данным компаниям то оно будет увеличивать не только экономический, но и инновационный рост</w:t>
      </w:r>
      <w:r w:rsidR="00415578">
        <w:rPr>
          <w:rFonts w:ascii="Times New Roman" w:hAnsi="Times New Roman" w:cs="Times New Roman"/>
          <w:sz w:val="28"/>
          <w:szCs w:val="28"/>
        </w:rPr>
        <w:t>.</w:t>
      </w:r>
    </w:p>
    <w:p w14:paraId="334BBCFE" w14:textId="7BBF6907" w:rsidR="00415578" w:rsidRPr="00415578" w:rsidRDefault="00682744" w:rsidP="006827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тратегическое устойчивое развитие любого предприятия в современных условиях невозможно без системного и постоянного использования новшеств. Достижения высоких конечных положительных результатов в производственной, экономической, социальной, экологической и других сферах функционирования предприятия становится возможным при непременном условии интенсивной и масштабной реализации результатов научной и </w:t>
      </w:r>
      <w:proofErr w:type="spellStart"/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нововведенческой</w:t>
      </w:r>
      <w:proofErr w:type="spellEnd"/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деятельности. В процессе становления и развития рыночных отношений в нашей стране разработка и внедрение различных нововведений (технических, технологических, организационных, управленческих и др.) становится важнейшей предпосылкой стабильного и устойчивого развития предприятия в условиях жесточайшей конкуренции. Инновационная деятельность предприятия представляет собой такую сферу </w:t>
      </w:r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его функционирования, которая направлена на практическое использование научных, научно-технических результатов и интеллектуального потенциала с целью обновления производительных сил. Получения новых или улучшения производимых видов продукции, способов их производства и удовлетворения рыночных потребностей общества в конкурентоспособных товарах и услугах, а также развития организационно-экономических отношений и взаимодействия в рыночной среде. Объективными предпосылками развития инновационной деятельности являются необходимость повышения конкурентоспособности выпускаемой продукции и предприятия в целом; постоянное стремление предприятий - производителей расширять рынки сбыта своих товаров и удовлетворять на этой основе рыночные потребности; реальные возможности увеличить сумму получаемой прибыли. На современном этапе технологической революции предприятия стремятся увеличить </w:t>
      </w:r>
      <w:proofErr w:type="gramStart"/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удельный вес новшеств</w:t>
      </w:r>
      <w:proofErr w:type="gramEnd"/>
      <w:r w:rsidR="00415578" w:rsidRPr="004155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реализованных в инновациях, что позволяет им повышать уровень монополизма в данной сфере и диктовать покупателям и конкурентам свою политику.</w:t>
      </w:r>
    </w:p>
    <w:p w14:paraId="2245C2E3" w14:textId="77777777" w:rsidR="00DF2C13" w:rsidRP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>Целью данной курсовой работы является изучение экономического стимулирования инновационного процесса.</w:t>
      </w:r>
    </w:p>
    <w:p w14:paraId="69525348" w14:textId="77777777" w:rsidR="00DF2C13" w:rsidRP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>Объектом исследования является инновационный процесс.</w:t>
      </w:r>
    </w:p>
    <w:p w14:paraId="1651E2AD" w14:textId="01D67277" w:rsidR="00DF2C13" w:rsidRP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2C13">
        <w:rPr>
          <w:rFonts w:ascii="Times New Roman" w:hAnsi="Times New Roman" w:cs="Times New Roman"/>
          <w:color w:val="000000"/>
          <w:sz w:val="28"/>
          <w:szCs w:val="28"/>
        </w:rPr>
        <w:t>Субъектом исследования являются организационно</w:t>
      </w:r>
      <w:r w:rsidR="005B2A6E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F2C13">
        <w:rPr>
          <w:rFonts w:ascii="Times New Roman" w:hAnsi="Times New Roman" w:cs="Times New Roman"/>
          <w:color w:val="000000"/>
          <w:sz w:val="28"/>
          <w:szCs w:val="28"/>
        </w:rPr>
        <w:t>экономические отношения в результате стимулирования инновационной деятельности.</w:t>
      </w:r>
    </w:p>
    <w:p w14:paraId="2BE82EEF" w14:textId="77777777" w:rsidR="00DF2C13" w:rsidRDefault="00DF2C13" w:rsidP="00DF2C13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5E71C171" w14:textId="5580090E" w:rsidR="00DF2C13" w:rsidRPr="00DF2C13" w:rsidRDefault="00DF2C13" w:rsidP="00DF2C13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F2C13">
        <w:rPr>
          <w:color w:val="000000"/>
          <w:sz w:val="28"/>
          <w:szCs w:val="28"/>
        </w:rPr>
        <w:t>Задачи курсовой работы:</w:t>
      </w:r>
    </w:p>
    <w:p w14:paraId="4D16E78A" w14:textId="2D0BE714" w:rsidR="00DF2C13" w:rsidRPr="00DF2C13" w:rsidRDefault="00DF2C13" w:rsidP="00DF2C13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F2C13">
        <w:rPr>
          <w:color w:val="000000"/>
          <w:sz w:val="28"/>
          <w:szCs w:val="28"/>
        </w:rPr>
        <w:t>Изучение теоретических аспектов стимулирования инновационного процесса.</w:t>
      </w:r>
    </w:p>
    <w:p w14:paraId="02BD6AA9" w14:textId="1299BFAC" w:rsidR="00DF2C13" w:rsidRPr="00DF2C13" w:rsidRDefault="00DF2C13" w:rsidP="00DF2C13">
      <w:pPr>
        <w:pStyle w:val="a5"/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1" w:name="_Hlk41931133"/>
      <w:r w:rsidRPr="00DF2C13">
        <w:rPr>
          <w:color w:val="000000"/>
          <w:sz w:val="28"/>
          <w:szCs w:val="28"/>
        </w:rPr>
        <w:lastRenderedPageBreak/>
        <w:t>Анализ стимулирования инновационного процесса на примере развитых стран</w:t>
      </w:r>
      <w:bookmarkEnd w:id="1"/>
      <w:r w:rsidRPr="00DF2C13">
        <w:rPr>
          <w:color w:val="000000"/>
          <w:sz w:val="28"/>
          <w:szCs w:val="28"/>
        </w:rPr>
        <w:t>.</w:t>
      </w:r>
    </w:p>
    <w:p w14:paraId="2EB4BD85" w14:textId="77777777" w:rsidR="00DF2C13" w:rsidRP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>Методы исследования, используемые в курсовой работе: анализ, синтез, аналогия, обобщение, прогнозирование.</w:t>
      </w:r>
    </w:p>
    <w:p w14:paraId="66D752F5" w14:textId="77777777" w:rsidR="00DF2C13" w:rsidRP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>Теоретической базой для написания курсовой работы послужили статьи научных работников, занимающихся исследованием стимулирования инновационной деятельности.</w:t>
      </w:r>
    </w:p>
    <w:p w14:paraId="6D967152" w14:textId="77777777" w:rsidR="00DF2C13" w:rsidRDefault="00DF2C13" w:rsidP="00DF2C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C13">
        <w:rPr>
          <w:rFonts w:ascii="Times New Roman" w:hAnsi="Times New Roman" w:cs="Times New Roman"/>
          <w:sz w:val="28"/>
          <w:szCs w:val="28"/>
        </w:rPr>
        <w:t xml:space="preserve">Теоретические аспекты стимулирования инновационного процесса </w:t>
      </w:r>
    </w:p>
    <w:p w14:paraId="00000039" w14:textId="77777777" w:rsidR="005910AC" w:rsidRDefault="005910AC" w:rsidP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60" w:lineRule="auto"/>
        <w:ind w:right="-571" w:firstLine="709"/>
        <w:jc w:val="both"/>
        <w:rPr>
          <w:sz w:val="23"/>
          <w:szCs w:val="23"/>
        </w:rPr>
      </w:pPr>
    </w:p>
    <w:p w14:paraId="0000003A" w14:textId="77777777" w:rsidR="005910AC" w:rsidRDefault="005910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/>
        <w:jc w:val="both"/>
        <w:rPr>
          <w:sz w:val="23"/>
          <w:szCs w:val="23"/>
        </w:rPr>
      </w:pPr>
    </w:p>
    <w:p w14:paraId="1F5A722B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490869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230787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FE02ED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1ED60A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D6A49E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AFF67E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921DEE" w14:textId="77777777" w:rsidR="00DF2C13" w:rsidRDefault="00DF2C1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/>
        <w:ind w:right="-571"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B" w14:textId="148BED62" w:rsidR="005910AC" w:rsidRPr="00DF2C13" w:rsidRDefault="005F7C20" w:rsidP="003B4C84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2" w:name="_Toc42269571"/>
      <w:r w:rsidRPr="00DF2C13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lastRenderedPageBreak/>
        <w:t xml:space="preserve">1 </w:t>
      </w:r>
      <w:r w:rsidRPr="00DF2C13">
        <w:rPr>
          <w:rFonts w:ascii="Times New Roman" w:hAnsi="Times New Roman" w:cs="Times New Roman"/>
          <w:b w:val="0"/>
          <w:bCs/>
          <w:sz w:val="28"/>
          <w:szCs w:val="28"/>
        </w:rPr>
        <w:t>ТЕОРЕТИЧЕСКИЕ АСПЕКТЫ СТИМУЛИРОВАНИЯ ИННОВАЦИОНН</w:t>
      </w:r>
      <w:r w:rsidR="00DF2C13" w:rsidRPr="00DF2C13">
        <w:rPr>
          <w:rFonts w:ascii="Times New Roman" w:hAnsi="Times New Roman" w:cs="Times New Roman"/>
          <w:b w:val="0"/>
          <w:bCs/>
          <w:sz w:val="28"/>
          <w:szCs w:val="28"/>
        </w:rPr>
        <w:t>ОГО ПРОЦЕССА</w:t>
      </w:r>
      <w:bookmarkEnd w:id="2"/>
    </w:p>
    <w:p w14:paraId="0000003C" w14:textId="2C4C8AD2" w:rsidR="005910AC" w:rsidRPr="00184473" w:rsidRDefault="005F7C20" w:rsidP="003B4C84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bookmarkStart w:id="3" w:name="_Toc42269572"/>
      <w:r w:rsidRPr="00184473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1.1 </w:t>
      </w:r>
      <w:r w:rsidR="00184473" w:rsidRPr="00184473">
        <w:rPr>
          <w:rFonts w:ascii="Times New Roman" w:hAnsi="Times New Roman" w:cs="Times New Roman"/>
          <w:b w:val="0"/>
          <w:bCs/>
          <w:sz w:val="28"/>
          <w:szCs w:val="28"/>
        </w:rPr>
        <w:t>ИННОВАЦИОННЫЙ ПРОЦЕСС</w:t>
      </w:r>
      <w:bookmarkEnd w:id="3"/>
    </w:p>
    <w:p w14:paraId="00000043" w14:textId="47C6B3C7" w:rsidR="005910AC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Научные исследования и конструкторские разработки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184473">
        <w:t xml:space="preserve"> </w:t>
      </w: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сложности инновационного проекта задачи, решаемые на первой стадии инновационного процесса, могут быть достаточно разнообразны. В частности, при разработке и освоении крупных инновационных проектов осуществляется системная интеграция результатов научно-технической деятельности, полученных в разное время другими коллективами, отладка и доработка как отдельных подсистем, так и технологий в целом. Исполнителями работ на данной стадии являются творческие коллективы учёных и инженерно-технических работников вузов, университетов, институтов, научно-технических центров.</w:t>
      </w:r>
    </w:p>
    <w:p w14:paraId="28A338AF" w14:textId="77777777" w:rsidR="00184473" w:rsidRP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Фундаментальные исследования — это экспериментальная или теоретическая деятельность, направленная на получение новых знаний об основных закономерностях строения, функционирования и развития человека, общества, окружающей среды. Цель фундаментальных исследований — раскрыть новые связи между явлениями, познать закономерности развития природы и общества относительно к их конкретному использованию. Фундаментальные исследования делятся на теоретические и поисковые.</w:t>
      </w:r>
    </w:p>
    <w:p w14:paraId="18C2687E" w14:textId="77777777" w:rsidR="00184473" w:rsidRP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EBB2E9" w14:textId="53D01A46" w:rsid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Результаты теоретических исследований проявляются в научных открытиях, обосновании новых понятий и представлений, создании новых теорий. К поисковым относятся исследования, задачей которых является открытие новых принципов создания идеи и технологий. Завершаются поисковые фундаментальные исследования обоснованием и экспериментальной проверкой новых методов удовлетворения общественных потребностей. Все поисковые фундаментальные исследования проводятся как в академических учреждениях и вузах, так и в крупных научно-технических организациях промышленности только персоналом высокой научной квалификации. Приоритетное значение фундаментальной науки в развитии инновационных процессов определяется тем, что она выступает в качестве генератора идей, открывает пути в новые области знания. Финансирование фундаментальных исследований ведётся из государственного бюджета или в рамках государственных программ.</w:t>
      </w:r>
    </w:p>
    <w:p w14:paraId="718CDA20" w14:textId="395C2193" w:rsid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Прикладные научные исследования — это исследования, направленные преимущественно на применение новых знаний для достижения практических целей и решения конкретных задач, в том числе имеющих коммерческое значение. На данном этапе проверяется техническая осуществимость идеи, анализируются масштабы потребностей рынка, а также потенциальные возможности предприятия по разработке и производству нового продукта. Выполнение работ на данном этапе связано с высокой вероятностью получения отрицательных результатов, возникает риск потерь при вложении средств в проведение прикладных научных исследований. Финансирование прикладных научно-исследовательских работ ведётся, во-первых, из государственного бюджета, во-вторых, за счёт отдельных заказчиков в лице </w:t>
      </w: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крупных промышленных фирм, акционерных обществ, коммерческих фондов и венчурных фирм.</w:t>
      </w:r>
    </w:p>
    <w:p w14:paraId="1B4635A4" w14:textId="68F5B81A" w:rsidR="00184473" w:rsidRP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Под опытно—конструкторскими работами понимается применение результатов прикладных исследований для создания образцов новой техники, материала, технологии. Опытно-конструкторские работы — это завершающая стадия научных исследований, переход от лабораторных условий и экспериментального производства к промышленному производству.</w:t>
      </w:r>
    </w:p>
    <w:p w14:paraId="4B69E6FD" w14:textId="7ACB6BDB" w:rsidR="00184473" w:rsidRP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К опытно-конструкторским работам относятся:</w:t>
      </w:r>
    </w:p>
    <w:p w14:paraId="38CF59FE" w14:textId="77777777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эскизно-техническое проектирование;</w:t>
      </w:r>
    </w:p>
    <w:p w14:paraId="05BC3633" w14:textId="77777777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рабочей проектно-конструкторской документации, в том числе чертежи на детали, сборочные соединения, изделие в целом;</w:t>
      </w:r>
    </w:p>
    <w:p w14:paraId="09BEE106" w14:textId="2210E58B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и испытание опытных образцов;</w:t>
      </w:r>
    </w:p>
    <w:p w14:paraId="36224AA8" w14:textId="323A82F6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определённой конструкции инженерного объекта или технической системы;</w:t>
      </w:r>
    </w:p>
    <w:p w14:paraId="5C96D709" w14:textId="77777777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идей и вариантов нового объекта;</w:t>
      </w:r>
    </w:p>
    <w:p w14:paraId="21C46377" w14:textId="77777777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технологических процессов;</w:t>
      </w:r>
    </w:p>
    <w:p w14:paraId="062894FD" w14:textId="77777777" w:rsidR="00184473" w:rsidRPr="00184473" w:rsidRDefault="00184473" w:rsidP="003B4C84">
      <w:pPr>
        <w:pStyle w:val="a6"/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наименования продукта, товарного знака, маркировки, упаковки.</w:t>
      </w:r>
    </w:p>
    <w:p w14:paraId="1E80D04F" w14:textId="08ADB419" w:rsid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научно-технические результаты опытно-конструкторских работ: прототип, промышленный образец, полезная модель, компьютерные программы, базы данных, научно-техническая документация. Опытно-конструкторские работы проводятся при финансовой поддержке из </w:t>
      </w: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государственного бюджета или за счёт собственных средств предприятия-заказчика.</w:t>
      </w:r>
    </w:p>
    <w:p w14:paraId="2928E70D" w14:textId="2BE4A07F" w:rsidR="00184473" w:rsidRPr="00184473" w:rsidRDefault="00184473" w:rsidP="003B4C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инновационного процесса на предприятии сопряжена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высоким риском. Под риском можно понимать вероятность потерь, возникающих при вложении организацией средств в производство новых товаров и услуг, в разработку новой техники и технологий, которые, возможно, не найдут ожидаемого спроса на рынке, а также при вложении средств в разработку управленческих инноваций, которые не принесут ожидаемого эффекта.</w:t>
      </w:r>
    </w:p>
    <w:p w14:paraId="2134A38F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 ошибочного выбора инновационного проекта;</w:t>
      </w:r>
    </w:p>
    <w:p w14:paraId="7B736383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 необеспечения инновационного проекта достаточным уровнем финансирования;</w:t>
      </w:r>
    </w:p>
    <w:p w14:paraId="14BD8C22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маркетинговые риски;</w:t>
      </w:r>
    </w:p>
    <w:p w14:paraId="46B5AB6C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риски неисполнения хозяйственных договоров (контрактов);</w:t>
      </w:r>
    </w:p>
    <w:p w14:paraId="427E3B7B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 усиления конкуренции;</w:t>
      </w:r>
    </w:p>
    <w:p w14:paraId="7FBCB113" w14:textId="77777777" w:rsidR="00184473" w:rsidRPr="00184473" w:rsidRDefault="00184473" w:rsidP="003B4C84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 недостаточного кадрового обеспечения;</w:t>
      </w:r>
    </w:p>
    <w:p w14:paraId="0000005E" w14:textId="59E635FD" w:rsidR="005910AC" w:rsidRPr="00CF614B" w:rsidRDefault="00184473" w:rsidP="00CF614B">
      <w:pPr>
        <w:pStyle w:val="a6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4473">
        <w:rPr>
          <w:rFonts w:ascii="Times New Roman" w:eastAsia="Times New Roman" w:hAnsi="Times New Roman" w:cs="Times New Roman"/>
          <w:color w:val="000000"/>
          <w:sz w:val="28"/>
          <w:szCs w:val="28"/>
        </w:rPr>
        <w:t>риски, связанные с обеспечением прав собственности на инновационный проект.</w:t>
      </w:r>
    </w:p>
    <w:p w14:paraId="06E888BB" w14:textId="03C4F889" w:rsidR="00415578" w:rsidRPr="00415578" w:rsidRDefault="00415578" w:rsidP="003B4C84">
      <w:pPr>
        <w:pStyle w:val="2"/>
        <w:spacing w:line="360" w:lineRule="auto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4" w:name="_Toc42269573"/>
      <w:r w:rsidRPr="00415578">
        <w:rPr>
          <w:rFonts w:ascii="Times New Roman" w:hAnsi="Times New Roman" w:cs="Times New Roman"/>
          <w:b w:val="0"/>
          <w:bCs/>
          <w:sz w:val="28"/>
          <w:szCs w:val="28"/>
        </w:rPr>
        <w:t xml:space="preserve">1.2 </w:t>
      </w:r>
      <w:r>
        <w:rPr>
          <w:rFonts w:ascii="Times New Roman" w:hAnsi="Times New Roman" w:cs="Times New Roman"/>
          <w:b w:val="0"/>
          <w:bCs/>
          <w:sz w:val="28"/>
          <w:szCs w:val="28"/>
        </w:rPr>
        <w:t>ВИДЫ ЭКОНОМИЧЕСКОГО СТИМУЛИРОВАНИЯ ИННОВАЦИОННОГО ПРОЦЕССА</w:t>
      </w:r>
      <w:bookmarkEnd w:id="4"/>
      <w:r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</w:p>
    <w:p w14:paraId="367AEF27" w14:textId="2673D785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Финансирование является важным элементом инновационного механизма, обеспечивающим эффективность управления и, в конечном счете,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успех инновационной деятельности.</w:t>
      </w:r>
    </w:p>
    <w:p w14:paraId="6D82BDCE" w14:textId="7EE033DD" w:rsid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Различают две формы финансирования инноваций - прямое и косвенное. Первое, состоит из непосредственных прямых источников, второе - из косвенных.</w:t>
      </w:r>
    </w:p>
    <w:p w14:paraId="10F77281" w14:textId="4D19B006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К прямым источникам финансирования относятся:</w:t>
      </w:r>
    </w:p>
    <w:p w14:paraId="7FF08811" w14:textId="7DFF611D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бюджетные средства;</w:t>
      </w:r>
    </w:p>
    <w:p w14:paraId="49A0DFC6" w14:textId="440B16D8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внебюджетные фонды;</w:t>
      </w:r>
    </w:p>
    <w:p w14:paraId="3BB5827A" w14:textId="49D7D9A5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собственные средства предприятий;</w:t>
      </w:r>
    </w:p>
    <w:p w14:paraId="3D5B4A1A" w14:textId="73E4400E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кредиты;</w:t>
      </w:r>
    </w:p>
    <w:p w14:paraId="7236A1BB" w14:textId="0B5054A1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инновационные инвестиции;</w:t>
      </w:r>
    </w:p>
    <w:p w14:paraId="34E77E6B" w14:textId="6FF04501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фонды;</w:t>
      </w:r>
    </w:p>
    <w:p w14:paraId="2FE98F89" w14:textId="14DD357D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инновационные иностранные кредиты;</w:t>
      </w:r>
    </w:p>
    <w:p w14:paraId="2E344B3E" w14:textId="7B410309" w:rsidR="00017DD2" w:rsidRPr="006370AA" w:rsidRDefault="00017DD2" w:rsidP="006370AA">
      <w:pPr>
        <w:pStyle w:val="a6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гранты.</w:t>
      </w:r>
    </w:p>
    <w:p w14:paraId="27376683" w14:textId="086AC2E6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Сюда можно отнести и другие источники (страховые фонды, целевые благотворительные поступления и др.)</w:t>
      </w:r>
    </w:p>
    <w:p w14:paraId="13647307" w14:textId="05C59827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К косвенным источникам финансовой поддержки инноваций относятся:</w:t>
      </w:r>
    </w:p>
    <w:p w14:paraId="0F9D994E" w14:textId="10FC29CC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налоговые льготы и скидки;</w:t>
      </w:r>
    </w:p>
    <w:p w14:paraId="2C0EFCEF" w14:textId="2069C4C9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налоговые кредиты;</w:t>
      </w:r>
    </w:p>
    <w:p w14:paraId="560A2E1F" w14:textId="62ADA25C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кредитные льготы;</w:t>
      </w:r>
    </w:p>
    <w:p w14:paraId="5F98382C" w14:textId="5F6B81C6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лизинг специального научного оборудования;</w:t>
      </w:r>
    </w:p>
    <w:p w14:paraId="6DAFD2D0" w14:textId="28C8DBEB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таможенные льготы;</w:t>
      </w:r>
    </w:p>
    <w:p w14:paraId="0D3765CF" w14:textId="32C0EEFF" w:rsidR="00017DD2" w:rsidRPr="006370AA" w:rsidRDefault="00017DD2" w:rsidP="006370AA">
      <w:pPr>
        <w:pStyle w:val="a6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амортизационные льготы.</w:t>
      </w:r>
    </w:p>
    <w:p w14:paraId="21496D93" w14:textId="251C816A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Выделяя средства из бюджета, государство обладает реальной возможностью ускорять инновационные процессы, ориентировать их в нужном направлении и способствовать общему повышению эффективности использования ресурсов, формированию инновационного климата.</w:t>
      </w:r>
    </w:p>
    <w:p w14:paraId="18FD5CCC" w14:textId="31F5286C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целом законодательным путем закреплено положение о том, что ассигнования на финансирование научных исследований и разработок гражданского назначения выделяются из федерального бюджета в размере не менее 3 % от расходной части годового федерального бюджета.</w:t>
      </w:r>
    </w:p>
    <w:p w14:paraId="4ADDC105" w14:textId="7819C78F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Прямые бюджетные ассигнования осуществляются на основе сочетания двух форм прямой поддержки: в форме базового финансирования научной организации и в форме конкурсного распределения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проведение фундаментальных и поисковых исследований (система грантов) и реализацию заданий государственных научно-технических программ (система контрактов). Грант - денежные, материальные и иные ресурсы, передаваемые любыми физическими (юридическими) лицами безвозвратно и безвозмездно любому физическому (юридическому) лицу исключительно в целях осуществления научной деятельности.</w:t>
      </w:r>
    </w:p>
    <w:p w14:paraId="3842BE86" w14:textId="400FCB18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базового финансирования имеет своей задачей сохранение современной материально-технической базы, а также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высококвалифицированных и творческих кадров организации. Этот принцип распространяется как на научные организации, нацеленные на обеспечение государственных (национальных) приоритетов, так и на организации, обладающие высоким научным авторитетом, но переживающие период структурной перестройки, формирования новой тематики работ в области фундаментальных исследований.</w:t>
      </w:r>
    </w:p>
    <w:p w14:paraId="766D2282" w14:textId="6FB221BE" w:rsidR="006370AA" w:rsidRDefault="00017DD2" w:rsidP="00CF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приоритетной является форма распределения бюджетных средств на основе параллельных конкурсных исследований и разработок по наиболее важным проблемам науки и техники - форма конкурсного распределения средств, способствующая формированию конкурентной среды в инновационной сфере.</w:t>
      </w:r>
    </w:p>
    <w:p w14:paraId="0D496D4E" w14:textId="5F2DADB0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Возможна двоякая форма проведения конкурсов на получение государственных заказов для проведения исследований и разработок.</w:t>
      </w:r>
    </w:p>
    <w:p w14:paraId="54F2F252" w14:textId="68E8AE03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Во-первых, практика выделения госзаказа на конкурсной основе. В этом случае на предварительном этапе из круга претендентов на получение госзаказа выбирается организация, которая предложит наиболее эффективное решение, которой и выделяется госзаказ.</w:t>
      </w:r>
    </w:p>
    <w:p w14:paraId="07471B58" w14:textId="5644C7DE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практика выполнения госзаказа на конкурсной основе. В этом случае несколько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исполнителей, предложивших свои оригинальные и многообещающие способы решения проблемы, получают госзаказ. В дальнейшем для промышленного освоения выбирается наиболее эффективное решение. Поэтому данный вариант размещения госзаказ может быть назван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конкурсом решений.</w:t>
      </w:r>
    </w:p>
    <w:p w14:paraId="4DF0B37E" w14:textId="1378E80F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госзаказа на основе конкурса предложений является более экономной с точки зрения расходования денежных средств, вместе с тем отбор единственного из поступивших предложений по решению стоящих проблем может и не оказаться оптимальным в силу его предварительного характера.</w:t>
      </w:r>
    </w:p>
    <w:p w14:paraId="68494D77" w14:textId="13645B84" w:rsidR="006370AA" w:rsidRDefault="00017DD2" w:rsidP="00CF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госзаказа на основе конкурса готовых решений позволит выбрать наиболее эффективное решение и за счет, полученных от его реализации доходов, покрыть затраты на оплату работ нескольким исполнителям, выполнявшим государственный заказ.</w:t>
      </w:r>
    </w:p>
    <w:p w14:paraId="20769CDA" w14:textId="6070F3E4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 в отечественной практике находит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порядок финансирования проектов с выделением госбюджетных средств по этапам с нарастающим итогом. Государство стремится свести к минимуму степень риска и неопределенности, характерных для инновационных процессов. Поэтому на начальном этапе, сумма выделяемых средств, как правило, минимальна, а если по мере реализации проекта или программы будут получены обнадеживающие результаты, сумма ассигнований возрастает.</w:t>
      </w:r>
    </w:p>
    <w:p w14:paraId="016C2AAB" w14:textId="042398E4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одним способ снижения риска является поиск заказчика, непосредственно заинтересованного в результатах исследований, финансируемых из бюджета, который бы контролировал ход и качество работ, отвечал за целевое использование средств. В качестве таких заказчиков выступают специально уполномоченные коммерческие банки и фонды, промышленные предприятия и организации, а также непосредственно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государственные органы, «курирующие» научно-техническую политику.</w:t>
      </w:r>
    </w:p>
    <w:p w14:paraId="2DADA2EF" w14:textId="77777777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По мере развития рыночных отношений внебюджетные методы мобилизации финансовых ресурсов играют все более значительную роль.</w:t>
      </w:r>
    </w:p>
    <w:p w14:paraId="7950893B" w14:textId="0049EF50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Внебюджетные фонды </w:t>
      </w:r>
      <w:proofErr w:type="gramStart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-это</w:t>
      </w:r>
      <w:proofErr w:type="gramEnd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форма перераспределения и использования финансовых ресурсов, предназначенных для реализации конкретных целей (социального, экономического, научно-технического, технологического, экологического характера) и для финансирования потребностей, не предусмотренных в бюджетах разного уровня. В настоящее время они являются важным звеном финансовой системы и, в частности, системы финансирования инноваций.</w:t>
      </w:r>
    </w:p>
    <w:p w14:paraId="21ADA30B" w14:textId="1E6B44A4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Впервые внебюджетные фонды стали создаваться в России в начале 1990-х годов на базе Закона «Об основах бюджетного устройства и бюджетного процесса» от 10 октября 1991 года.</w:t>
      </w:r>
    </w:p>
    <w:p w14:paraId="1D54AFF2" w14:textId="14350E2A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Государство активно использует имеющиеся в  его распоряжении полномочия исполнительной власти, создавая внебюджетные фонды, определяя порядок их формирования и учета, направления и контроль за расходованием средств, государство в то же время не контролирует осуществление научных и инновационных программ и проектов. Приоритетные направления фонда определяются задачами целевых программ федерального, регионального и отраслевого уровней. Для осуществления поддержки инновационных программ в фонде формируется соответствующая инфраструктура, способствующая продвижению на рынок перспективных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разработок.</w:t>
      </w:r>
    </w:p>
    <w:p w14:paraId="54EE8D50" w14:textId="526D18C7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деятельностью фонда осуществляют наблюдательный или попечительских совет, что является правилом при учреждении и создании некоммерческих организаций. Председатель фонда и состав попечительского совета утверждается решением Правительства РФ (правительством субъекта федерации).</w:t>
      </w:r>
    </w:p>
    <w:p w14:paraId="5EB00AF4" w14:textId="60F213BD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Кредитование инвестиционных и инновационных программ осуществляется на льготных условиях с компенсацией соответствующей разницы кредитным организациям. Размер, порядок и условия компенсации устанавливаются договором кредитной организации и фондом.</w:t>
      </w:r>
    </w:p>
    <w:p w14:paraId="22A12B21" w14:textId="1C2FFF15" w:rsidR="00017DD2" w:rsidRPr="00017DD2" w:rsidRDefault="00017DD2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Государственные внебюджетные фонды, являясь составной частью финансовой системы, обладают рядом особенностей:</w:t>
      </w:r>
    </w:p>
    <w:p w14:paraId="1C004777" w14:textId="3A6DE625" w:rsidR="00017DD2" w:rsidRPr="006370AA" w:rsidRDefault="00017DD2" w:rsidP="00CF614B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строгую целевую направленность;</w:t>
      </w:r>
    </w:p>
    <w:p w14:paraId="51C255BA" w14:textId="5AE6B677" w:rsidR="00017DD2" w:rsidRPr="006370AA" w:rsidRDefault="00017DD2" w:rsidP="00CF614B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денежные средства фондов используются для финансирования государственных расходов, не включенных в бюджет;</w:t>
      </w:r>
    </w:p>
    <w:p w14:paraId="275FB4F0" w14:textId="1FA58C5F" w:rsidR="00017DD2" w:rsidRPr="006370AA" w:rsidRDefault="00017DD2" w:rsidP="00CF614B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в основном за счет обязательных отчислений юридических лиц;</w:t>
      </w:r>
    </w:p>
    <w:p w14:paraId="1DAD120A" w14:textId="73741D06" w:rsidR="00017DD2" w:rsidRPr="006370AA" w:rsidRDefault="00017DD2" w:rsidP="00CF614B">
      <w:pPr>
        <w:pStyle w:val="a6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взносы в фонды и взаимоотношения, возникающие при уплате, имеют налоговую природу; как и налоги, тарифы взносов устанавливаются государством и являются обязательными;</w:t>
      </w:r>
    </w:p>
    <w:p w14:paraId="1FEEBBF6" w14:textId="063F5FA8" w:rsidR="00017DD2" w:rsidRPr="006370AA" w:rsidRDefault="006370AA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</w:t>
      </w:r>
      <w:r w:rsidR="00017DD2"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енежные ресурсы фондов находятся в государственной собственности, не входят в состав бюджетов, а также других фондов и не подлежат изъятию на какие-либо цели, не предусмотренные законом.</w:t>
      </w:r>
    </w:p>
    <w:p w14:paraId="2E4FC2F1" w14:textId="7B59CFE0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Внебюджетные фоны освобождаются от уплаты налогов, государственных и таможенных пошлин.</w:t>
      </w:r>
    </w:p>
    <w:p w14:paraId="3B215541" w14:textId="3F88D091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К перспективным источникам финансирования относят лизинг и венчурное (рисковое) финансирование.</w:t>
      </w:r>
    </w:p>
    <w:p w14:paraId="33D6777B" w14:textId="77777777" w:rsidR="006370AA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Лизинг </w:t>
      </w:r>
      <w:proofErr w:type="gramStart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-это</w:t>
      </w:r>
      <w:proofErr w:type="gramEnd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особая форма аренды, связанная с передачей в пользование машин, оборудования, иных материальных средств и имущества. В широком значении под лизингом следует понимать весь комплекс возникающих имущественных  отношений, связанных с передачей  имущества во временное пользование  на основе его приобретения и последующей сдачи в долгосрочную аренду (включает договор лизинга, договор купли-продажи, договор займа).</w:t>
      </w:r>
    </w:p>
    <w:p w14:paraId="6AEA7371" w14:textId="1E2CCBF4" w:rsidR="00EE1D46" w:rsidRDefault="00EE1D46" w:rsidP="00CF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Фактически, лизинг </w:t>
      </w:r>
      <w:proofErr w:type="gramStart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- это</w:t>
      </w:r>
      <w:proofErr w:type="gramEnd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нечто среднее между арендой и кредитом, рассрочкой и прокатом. Существенной особенностью этой формы предпринимательской деятельности является разделение функций собственности, а именно - отделение использования имущества от владения им.</w:t>
      </w:r>
      <w:r w:rsidR="00CF6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Лизинг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 финансирования имеет ряд отличительных особенностей:</w:t>
      </w:r>
    </w:p>
    <w:p w14:paraId="6CC7EDFE" w14:textId="41440E6E" w:rsidR="00EE1D46" w:rsidRPr="006370AA" w:rsidRDefault="00EE1D46" w:rsidP="00CF614B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лизинг обычно не требует авансовых платежей, что немаловажно для новых и развивающихся организаций.</w:t>
      </w:r>
    </w:p>
    <w:p w14:paraId="4D0224AE" w14:textId="77777777" w:rsidR="00EE1D46" w:rsidRPr="006370AA" w:rsidRDefault="00EE1D46" w:rsidP="00CF614B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лизинг способствует быстрой замене старого оборудования на более современное, сокращает риск морального износа.</w:t>
      </w:r>
    </w:p>
    <w:p w14:paraId="25292712" w14:textId="4D803272" w:rsidR="006370AA" w:rsidRPr="00CF614B" w:rsidRDefault="00EE1D46" w:rsidP="00CF614B">
      <w:pPr>
        <w:pStyle w:val="a6"/>
        <w:widowControl w:val="0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left="0"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лизинг часто является более гибким, так как лизинговые соглашения содержат гораздо меньше ограничительных статей, чем обычные кредитные соглашения.</w:t>
      </w:r>
    </w:p>
    <w:p w14:paraId="27949688" w14:textId="09E8058A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Выделяют финансовый и оперативный лизинг:</w:t>
      </w:r>
    </w:p>
    <w:p w14:paraId="151EB9E4" w14:textId="7C13AF04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инансовый лизинг представляет собой лизинг имущества с полной окупаемостью или с полной выплатой его стоимости. Данный вид имеет место тогда, когда в течение срока договора лизингодатель возвращает себе всю стоимость имущества и получает прибыль от лизинговой операции. При финансовом лизинге срок, на который оборудование передается во временное пользование,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продолжительности совпадает со сроком его полной амортизации;</w:t>
      </w:r>
    </w:p>
    <w:p w14:paraId="56CE104E" w14:textId="3ECFB544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оперативном лизинге срок договора короче, чем экономический срок службы имущества. Объект оперативного лизинга – оборудование с высокими темпами морального старения. При этом виде происходит частичная выплата стоимости данного арендуемого имущества, </w:t>
      </w:r>
      <w:proofErr w:type="gramStart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proofErr w:type="gramEnd"/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лизингодатель за время действия данного договора возмещает лишь часть стоимости оборудования и поэтому он вынужден сдавать его во временное пользование несколько раз.</w:t>
      </w:r>
    </w:p>
    <w:p w14:paraId="5413BF7D" w14:textId="10316861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Венчурное финансирование можно представить как источник долгосрочных инвестиций, предоставляемых обычно на 5-7 лет вновь создающимся или функционирующим в составе крупных корпораций организациям для их модернизации и расширения.</w:t>
      </w:r>
    </w:p>
    <w:p w14:paraId="3FF4CC9E" w14:textId="527E0E74" w:rsidR="00EE1D46" w:rsidRPr="00EE1D46" w:rsidRDefault="00EE1D4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Венчурный капитал представляет собой товарищество с ограниченной ответственностью, формируемое за счет личных средств состоятельных партнеров, средств пенсионных и благотворительных фондов, страховых организаций, свободных средств крупных корпораций.</w:t>
      </w:r>
    </w:p>
    <w:p w14:paraId="5C3D85B3" w14:textId="486C2EB1" w:rsidR="004129C1" w:rsidRDefault="00EE1D46" w:rsidP="00CF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1D4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принцип деятельности заключается в финансировании сравнительно небольших и несвязанных между собой проектов в расчете на окупаемость инвестиций с высокой нормой прибыли на инвестированный капитал без каких-либо гарантий или обеспечения. По этой причине такое финансирование носит название рискованного, так как инвесторы берут на себя все риски, характерные для ссудного капитала. Венчурное финансирование осуществляется в расчете не на процент и не на регулярные доходы на инвестированный капитал, а на развитие самих рисковых организаций и их инноваций, доход от повышения цены акций или массового выпуска новых акций успешных инновационных организаций и размещение их через фондовые биржи.</w:t>
      </w:r>
    </w:p>
    <w:p w14:paraId="0B54AABD" w14:textId="0F1EF627" w:rsidR="00415578" w:rsidRDefault="00017DD2" w:rsidP="004129C1">
      <w:pPr>
        <w:pStyle w:val="1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5" w:name="_Toc42269574"/>
      <w:r>
        <w:rPr>
          <w:rFonts w:ascii="Times New Roman" w:eastAsia="Times New Roman" w:hAnsi="Times New Roman" w:cs="Times New Roman"/>
          <w:b w:val="0"/>
          <w:bCs/>
          <w:sz w:val="28"/>
          <w:szCs w:val="28"/>
        </w:rPr>
        <w:lastRenderedPageBreak/>
        <w:t>2</w:t>
      </w:r>
      <w:r w:rsidRPr="00017DD2">
        <w:t xml:space="preserve"> </w:t>
      </w:r>
      <w:r w:rsidRPr="00017DD2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АНАЛИЗ </w:t>
      </w:r>
      <w:r w:rsidR="00EE1D46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ЭКОНОМИЧЕСКОГО </w:t>
      </w:r>
      <w:r w:rsidRPr="00017DD2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СТИМУЛИРОВАНИЯ ИННОВАЦИОННОГО ПРОЦЕССА НА ПРИМЕРЕ РАЗВИТЫХ </w:t>
      </w:r>
      <w:r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И РАЗВИВАЮЩИХСЯ </w:t>
      </w:r>
      <w:r w:rsidRPr="00017DD2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>СТРАН</w:t>
      </w:r>
      <w:bookmarkEnd w:id="5"/>
    </w:p>
    <w:p w14:paraId="279762D2" w14:textId="22220B79" w:rsidR="00017DD2" w:rsidRDefault="00017DD2" w:rsidP="004129C1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6" w:name="_Toc42269575"/>
      <w:r w:rsidRPr="00EE1D46">
        <w:rPr>
          <w:rFonts w:ascii="Times New Roman" w:hAnsi="Times New Roman" w:cs="Times New Roman"/>
          <w:b w:val="0"/>
          <w:bCs/>
          <w:sz w:val="28"/>
          <w:szCs w:val="28"/>
        </w:rPr>
        <w:t>2.1</w:t>
      </w:r>
      <w:r w:rsidR="00EE1D46" w:rsidRPr="00EE1D46">
        <w:rPr>
          <w:rFonts w:ascii="Times New Roman" w:hAnsi="Times New Roman" w:cs="Times New Roman"/>
          <w:b w:val="0"/>
          <w:bCs/>
          <w:sz w:val="28"/>
          <w:szCs w:val="28"/>
        </w:rPr>
        <w:t xml:space="preserve"> ПРИМЕРЫ </w:t>
      </w:r>
      <w:r w:rsidR="00EE1D46">
        <w:rPr>
          <w:rFonts w:ascii="Times New Roman" w:hAnsi="Times New Roman" w:cs="Times New Roman"/>
          <w:b w:val="0"/>
          <w:bCs/>
          <w:sz w:val="28"/>
          <w:szCs w:val="28"/>
        </w:rPr>
        <w:t xml:space="preserve">ЭКОНОМИЧЕСКОГО </w:t>
      </w:r>
      <w:r w:rsidR="00EE1D46" w:rsidRPr="00EE1D46">
        <w:rPr>
          <w:rFonts w:ascii="Times New Roman" w:hAnsi="Times New Roman" w:cs="Times New Roman"/>
          <w:b w:val="0"/>
          <w:bCs/>
          <w:sz w:val="28"/>
          <w:szCs w:val="28"/>
        </w:rPr>
        <w:t>СТИМУЛИРОВАНИЯ РАЗВИТЫХ СТРАН</w:t>
      </w:r>
      <w:bookmarkEnd w:id="6"/>
    </w:p>
    <w:p w14:paraId="4A26CA89" w14:textId="77777777" w:rsidR="00415578" w:rsidRPr="00017DD2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особенности регулирования инновационной деятельности в США. Органами государственного регулирования инновационной деятельности в США являются: Американский научный фонд (курирует фундаментальные исследования); Американский научный совет (курирует промышленность и университеты); НАСА; Национальное бюро стандартов; Министерство обороны; Национальный центр промышленных исследований; Национальная академия наук; Национальная техническая академия; Американская ассоциация содействия развитию науки.</w:t>
      </w:r>
    </w:p>
    <w:p w14:paraId="4D34B43F" w14:textId="77777777" w:rsidR="00415578" w:rsidRPr="00017DD2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Государство стимулирует создание венчурных фондов и исследовательских центров. По представлению Национального научного фонда США наиболее эффективные исследовательские центры и венчурные фонды могут первые 5 лет полностью или частично финансироваться из федерального бюджета. Самые эффективные и наукоемкие исследования государство финансирует полностью из-за их сложности, высоких издержек, риска, сильной международной конкуренции.</w:t>
      </w:r>
    </w:p>
    <w:p w14:paraId="79F3C3DA" w14:textId="19DA050D" w:rsidR="00415578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США существует практика бесплатной выдачи лицензий на коммерческое использование изобретений, запатентованных в ходе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бюджетных исследований и являющихся собственностью федерального правительства</w:t>
      </w:r>
      <w:r w:rsidR="004129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67EB414" w14:textId="4A35C446" w:rsidR="00415578" w:rsidRPr="00017DD2" w:rsidRDefault="00415578" w:rsidP="004129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Япония также имеет свои особенности в сфере государственного регулирования инновационной деятельности. Ключевую роль в определении стратегии развития промышленности Японии, разработке промышленных НИОКР и их внедрении играет Министерство внешней торговли и промышленности (МВТП). Контроль за выполнением конкретных направлений НТП осуществляет Управление по науке и технике. Под эгидой МВТП находится</w:t>
      </w:r>
      <w:r w:rsidR="00412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Японская ассоциация промышленных технологий, которая занимается экспортом и импортом лицензий. Имеется долговременная программа </w:t>
      </w:r>
      <w:proofErr w:type="spellStart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научнотехнического</w:t>
      </w:r>
      <w:proofErr w:type="spellEnd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 страны, осуществляется стимулирование прикладных исследований и закупок лицензий.</w:t>
      </w:r>
    </w:p>
    <w:p w14:paraId="75CF4E69" w14:textId="77777777" w:rsidR="00415578" w:rsidRPr="00017DD2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Государственное регулирование инновационными процессами в Японии также характеризуется индикативным планированием НИОКР, высокими импортными таможенными тарифами, предоставлением налоговых и кредитных льгот в финансировании НИОКР, протекционистской политикой в продвижении новой наукоемкой продукции.</w:t>
      </w:r>
    </w:p>
    <w:p w14:paraId="2D0008C2" w14:textId="1AFDF778" w:rsidR="00415578" w:rsidRPr="00017DD2" w:rsidRDefault="00E409BA" w:rsidP="00E409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415578"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рассмотрим государственное регулирование инновационного процесса в Германии, Англии и Франции. Евросоюз большое внимание уделяет активизации инновационной деятельности. К основным направлениям инновационной политики Евросоюза относятся: выработка единого антимонопольного законодательства, использование системы ускоренной амортизации оборудования, льготное налогообложение НИОКР, поощрение </w:t>
      </w:r>
      <w:r w:rsidR="00415578"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малого наукоемкого бизнеса, прямое финансирование организаций для поощрения инноваций в области новейшей технологии, стимулирование сотрудничества университетской науки и организаций, производящих наукоемкую продукцию.</w:t>
      </w:r>
    </w:p>
    <w:p w14:paraId="755CC2A1" w14:textId="77777777" w:rsidR="00415578" w:rsidRPr="00017DD2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Основой инновационной политики Евросоюза является «План развития международной инфраструктуры инноваций и передачи технологий», принятый в 1985 году. Главная цель данного документа – ускорение и упрощение процессов воплощения результатов научных исследований в готовых продуктах на национальном и наднациональном уровнях, а также содействие распространению инноваций в Евросоюзе. С 1988 года действует программа «ВЭЛЬЮ» по распространению в Евросоюзе результатов НИОКР. В ответ на падение доли европейских компаний на рынках высоких технологий были приняты: ЭСПРИТ – Европейская стратегическая программа научных исследований в сфере технологии информационных систем; РАСЕ – исследование передовых способов связи в Европе (цель – проведение совместных НИР в области интегрированной широкополосной связи); ЭВРИКА – комплексная программа, направленная на стимулирование появления путем альянсов между европейскими группами мощных промышленных компаний, способных противостоять конкуренции, особенно со стороны американских и японских корпораций и организовать скоординированные европейские НИОКР в шести областях: </w:t>
      </w:r>
      <w:proofErr w:type="spellStart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оптроника</w:t>
      </w:r>
      <w:proofErr w:type="spellEnd"/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t>, новые материалы, большие ЭВМ, мощные лазеры, ускорители частиц, искусственный интеллект. Стимулирование инновационной деятельности в Евросоюзе осуществляется примерно на тех же принципах, которые приняты в мировой практике.</w:t>
      </w:r>
    </w:p>
    <w:p w14:paraId="58FC6F6C" w14:textId="22B21F4A" w:rsidR="00415578" w:rsidRDefault="00415578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7D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Китае в студенческих городках получили распространение научно-технические центры, которые представляют собой независимые организации, финансируемые промышленностью и ориентированные на рынок.</w:t>
      </w:r>
    </w:p>
    <w:p w14:paraId="266717DA" w14:textId="574A4CFB" w:rsidR="00E15176" w:rsidRDefault="00E15176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5176">
        <w:rPr>
          <w:rFonts w:ascii="Times New Roman" w:eastAsia="Times New Roman" w:hAnsi="Times New Roman" w:cs="Times New Roman"/>
          <w:color w:val="000000"/>
          <w:sz w:val="28"/>
          <w:szCs w:val="28"/>
        </w:rPr>
        <w:t>В 1984 году в Индии создаются технопарки. За 25 лет правительство создало несколько десятков таких парков, которые были ориентированы, в первую очередь, на экспорт. Основателям технопарков предоставляются серьезные таможенные и налоговые льготы, недорогие офисы. Однако два крупнейших индийских IT-парка были организованы не агентством STEP, а администрациями штатов. Научно-производственный территориальный комплекс в Керале, открытый 17 лет назад, в настоящее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5176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15176">
        <w:rPr>
          <w:rFonts w:ascii="Times New Roman" w:eastAsia="Times New Roman" w:hAnsi="Times New Roman" w:cs="Times New Roman"/>
          <w:color w:val="000000"/>
          <w:sz w:val="28"/>
          <w:szCs w:val="28"/>
        </w:rPr>
        <w:t>агентирует 120 компаний и 16000 сотрудников, а также включает в себя бизнес-инкубатор для стартапов и 2 университета, концентрирующихся на техническом образовании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E740A7" w14:textId="61053806" w:rsidR="002D5338" w:rsidRPr="002D5338" w:rsidRDefault="002D5338" w:rsidP="002D5338">
      <w:pPr>
        <w:pStyle w:val="2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7" w:name="_Toc42269576"/>
      <w:r w:rsidRPr="002D5338">
        <w:rPr>
          <w:rFonts w:ascii="Times New Roman" w:hAnsi="Times New Roman" w:cs="Times New Roman"/>
          <w:b w:val="0"/>
          <w:bCs/>
          <w:sz w:val="28"/>
          <w:szCs w:val="28"/>
        </w:rPr>
        <w:t>2.2 ПРИМЕР ЭКОНОМИЧЕСКОГО СТИМУЛИРОВАНИЯ ИННВОЦИОННОГО ПРОЦЕССА РАЗВИВАЮЩИХСЯ СТРАН.</w:t>
      </w:r>
      <w:bookmarkEnd w:id="7"/>
    </w:p>
    <w:p w14:paraId="00000083" w14:textId="765D04F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сегодняшний день,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ключевое место в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стимулировании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инновационной деятельности России по-прежнему занимает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государство . </w:t>
      </w:r>
    </w:p>
    <w:p w14:paraId="00000084" w14:textId="77777777" w:rsidR="005910AC" w:rsidRPr="006370AA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Во-первых, причиной выступает затянувшийся переход страны от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лановой к рыночной форме экономической модели, продолжающийся последние тридцать лет и находящийся, на сегодняшний день в фазе застоя. </w:t>
      </w:r>
    </w:p>
    <w:p w14:paraId="00000085" w14:textId="672420ED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известно, направляющей силой всех преобразований,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осуществляющихся в системе командно-административной экономики, производятся по воле органов власти, не оставляя места для частного сектора и создавая предпосылки для развития одних отраслей (ВПК, космическая сфера и т. д.)  и притормаживая другие (легкая промышленность, текстиль, розничная торговля). Продолжающаяся экономическая «перестройка», замедляемая рядом второстепенных факторов, не оставляет минимум инвестиционного пространства для других участников рынка, помимо государства. </w:t>
      </w:r>
    </w:p>
    <w:p w14:paraId="00000086" w14:textId="7F8A5198" w:rsidR="005910AC" w:rsidRPr="006370AA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Во-вторых, поступление частных финансовых потоков в российский инновационный сектор задерживается сложившейся бюрократической и коррупционной системой , создавшей негативные условия для ведения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частного бизнеса. </w:t>
      </w:r>
    </w:p>
    <w:p w14:paraId="00000087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В-третьих, действия России в сфере внешней политики предельно осложнили международные отношения страны с большинством крупных инвестиционных игроков мирового рынка, как стран, так и частных компаний. Отечественная экономика, испытывавшая недостаток финансирования из-за границы, сейчас столкнулась с еще большим уменьшением этого показателя, особенно в сфере передовых инновационных проектов. </w:t>
      </w:r>
    </w:p>
    <w:p w14:paraId="00000088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финансовое стимулирование из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центральным элементом государственного регулирования инновационной деятельности. </w:t>
      </w:r>
    </w:p>
    <w:p w14:paraId="00000089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Наибольшую часть финансирования из федерального бюджета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составляют бюджетные ассигнования, выделяемые министерствам и ведомствам для базовой поддержки (базового финансирования) научных организаций. </w:t>
      </w:r>
    </w:p>
    <w:p w14:paraId="0000008A" w14:textId="0A6C1AA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Меньшую часть ассигнований из федерального бюджета на науку составляют отчисления в целевые бюджетные фонды и финансирование научно-исследовательских разработок по приоритетным направлениям развития науки и техники . Эти бюджетные средства научно- исследовательские и опытно-конструкторские организации получают на конкурсной основе для разработки приоритетных инновационных проектов. </w:t>
      </w:r>
    </w:p>
    <w:p w14:paraId="0000008B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счет средств федерального бюджета финансируются также затраты российской стороны на реализацию международных контрактов. </w:t>
      </w:r>
    </w:p>
    <w:p w14:paraId="0000008C" w14:textId="13D9ABB8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Преимущественно за счет средств федерального бюджета формируется ряд фондов, участвующих в финансовой поддержке инновационной деятельности в России. Это, прежде всего, Российский фонд фундаментальных исследований (РФФИ) и Российский гуманитарный научный фонд (РГНФ). Эти два фонда предназначены для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финансового стимулирования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фундаментальных исследований . РФФИ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первым примером финансирования научных исследований через специальный фонд. Его прообразом послужил Национальный научный фонд США, действующий с 1950 г. Средства РФФИ формируются за счет государственных ассигнований в виде фиксированного процента от суммы, предусмотренной на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науки в бюджете Российской Федерации, а также за счет добровольных взносов российских и иностранных юридических и физических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лиц, иных источников. </w:t>
      </w:r>
    </w:p>
    <w:p w14:paraId="0000008D" w14:textId="58780EC0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1995 г. из РФФИ выделился и стал самостоятельным РГНФ, ориентированный на поддержку фундаментальных исследований в области гуманитарных и общественных наук. Являясь государственными структурами, РФФИ и РГНФ обеспечивают целевую адресную поддержку передовых ученых, независимо от того, к какому ведомству они относятся. Главным направлением деятельности этих фондов является поддержка инициативных исследовательских проектов в области фундаментальных исследований: на них направляется не менее 60% средств РФФИ и более 50% средств РГНФ. </w:t>
      </w:r>
    </w:p>
    <w:p w14:paraId="0000008E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Размеры инициативных грантов небольшие (средний размер гранта 300–500 тыс. руб. на год на группу численностью до 10 человек). Средства инициативного гранта обычно расходуются на обновление компьютерной и оргтехники, покупку материалов и комплектующих, заработную плату, поездки на конференции. Закупать дорогостоящее оборудование на средства инициативных грантов невозможно. Еще один фонд – Фонд содействия развитию малых форм предприятий в научно-технической сфере (ФСРМФП в НТС) – комплексный. За счет его средств финансируются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атраты, связанные с осуществлением всех стадий (этапов) инновационной деятельности. </w:t>
      </w:r>
    </w:p>
    <w:p w14:paraId="0000008F" w14:textId="787428A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Источником формирования средств фонда являются бюджетные ассигнования. С момента создания в 1994 г. в него ежегодно направлялось 0,5% ассигнований бюджета; с 2000 г. постановлением правительства предусмотрено направлять ежегодно 1,5% ассигнований . Кроме того,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средства фонда формируются за счет добровольных взносов предприятий,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учреждений, организаций и граждан, в том числе иностранных юридических и физических лиц, иных поступлений от деятельности фонда. Поскольку фонд финансирует инновационные предприятия на возвратной основе, его ресурсы пополняются также за счет погашения ранее выданных кредитов. </w:t>
      </w:r>
    </w:p>
    <w:p w14:paraId="00000090" w14:textId="0BE8EB6D" w:rsidR="005910AC" w:rsidRPr="006370AA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средства ФСРМФП в НТС направляются на проекты НИОКР, остальные средства (около 15,0%) – на создание сети инновационно- технологических центров (создано по России 29 ИТЦ площадью свыше 100 тыс. кв. м, предоставленных для размещения на льготных условиях сотням предприятий), на развитие инфраструктуры трансфера технологий, на вовлечение студенчества и молодых ученых РАН и университетов в инновационное предпринимательство, на поддержку участия компаний в выставках, семинарах, на подготовку менеджеров . Средний объем финансирования одного проекта из средств фонда составляет 3,5 млн руб. </w:t>
      </w:r>
    </w:p>
    <w:p w14:paraId="00000091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поддержки государственных инновационных проектов приоритетных направлений предназначен Федеральный фонд производственных инноваций (ФФПИ), который занимается поддержкой инновационной деятельности путем фина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нсового стимулирования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строительства, реконструкции и технического перевооружения объектов, участвует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высокорисковом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финансировании инновационных наукоемких проектов за счет средств, полученных на возвратной основе. Выделение государственных средств в ФФПИ предусмотрено отдельной строкой в Федеральной инвестиционной программе в размере 1,5% государственных централизованных капитальных вложений. </w:t>
      </w:r>
    </w:p>
    <w:p w14:paraId="00000093" w14:textId="794821AD" w:rsidR="005910AC" w:rsidRDefault="005F7C20" w:rsidP="00CF61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Наряду с бюджетным финансированием важным элементом системы финансовой поддержки инноваций являются внебюджетные фонды. При формировании ресурсов внебюджетного финансирования используются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методы прямого госбюджетного финансирования НИОКР, так и смешанное государственно-коммерческое финансирование . В России в целях обеспечения финансирования общеотраслевых, межотраслевых и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региональных научно-технических программ, а также мероприятий по освоению новых видов промышленной продукции предусмотрена возможность создания внебюджетных фондов финансирования НИОКР и поддержки инноваций. </w:t>
      </w:r>
    </w:p>
    <w:p w14:paraId="00000094" w14:textId="30FB044F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Такие фонды могут создаваться в министерствах, в крупных городах и регионах, а также в рамках концернов, холдингов, ФПГ. Так, Российский фонд технологического развития (РФТР) оказывает финансовую поддержку прикладным научно-исследовательским и опытно- конструкторским работам, соответствующим приоритетным направлениям развития науки и техники, ориентированным на внедрение и реализацию конкретных конечных результатов.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Финансовое стимулирование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научных исследований и Н.П.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Макашева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166 экспериментальных разработок , имеющих исключительное государственное и социальное значение, осуществляется на безвозвратной основе по решению Правительства Российской Федерации или Минпромнауки России. Средства РФТР не являются бюджетными и формируются за счет добровольных отчислений российских предприятий и организаций. Средства РФТР предоставляются организациям в форме беспроцентного целевого займа на срок, необходимый для проведения НИОКР и внедрения полученных результатов. Плюсом использования данного фонда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является тот факт, что он прописан в налоговом законодательстве (взносы в него освобождены от налогообложения), и на его счетах находится объем средств, достаточных для его эффективной деятельности. </w:t>
      </w:r>
    </w:p>
    <w:p w14:paraId="00000095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 в настоящее время в силу правовой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неурегулированности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 Бюджетного кодекса, препятствующих его полноценной деятельности, РФТР фактически не функционирует. Российский фонд технологического развития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вляется головной организацией в системе внебюджетных фондов поддержки науки и технологий. На РФТР возложены функции регистрации внебюджетных, прежде всего отраслевых, фондов и контроль над их деятельностью. Система внебюджетных фондов исследований и разработок в настоящее время включает 29 фондов, из которых 16 образованы федеральными органам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исполнительной власти, а остальные – коммерческими организациями. Надо отметить, что в общей структуре внутренних затрат доля таких фондов незначительна. </w:t>
      </w:r>
    </w:p>
    <w:p w14:paraId="00000096" w14:textId="030A138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Подобный способ финансирования НИОКР берет свое начало еще с советских времен, когда отраслевые специализированные научно- исследовательские разработки финансировались за счет налоговых сборов, взимаемых со всех производственных единиц этой отрасли пропорционально их обороту. 25% от общей суммы этих сборов были сосредоточены в Российском (едином) фонде развития технологий (РФРТ), которые предполагалось использовать для финан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сового стимулирования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межотраслевых исследований и на разработку новых технологий. Остальные 75% поступивших сборов направлялись на финансирование научных исследований, относящихся к этой отдельной отрасли, часто в форме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исследовательского оборудования. В ходе налоговой реформы 2002 г. система специальных сборов была заменена системой, позволяющей компаниям выбор при уплате взносов (не превышающих 0,5% их валового дохода) в РФРТ или отраслевой фонд по их выбору, который они могут вычесть из налогооблагаемой прибыли. В результате объем ресурсов, поступающих в эти внебюджетные фонды, стал резко сокращаться. За последние годы отчисления во внебюджетные фонды финансирования исследований и разработок фактически прекратились. В 2004 г. доля средств внебюджетных фондов в общем объеме внутренних затрат на исследования и разработки составляла 2,5%, в 2007 г. – 1,8%. Эта тенденция сохраняется – к 2009 г. доля средств внебюджетных фондов сократилась до 1,6% . </w:t>
      </w:r>
    </w:p>
    <w:p w14:paraId="56FE364D" w14:textId="77777777" w:rsidR="00CF614B" w:rsidRDefault="00CF614B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97" w14:textId="5F40E0D5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Инновационные процессы зарождаются в сфере фундаментальной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науки, а завершаются в сфере производства и рынка. В России наиболее слабым звеном было и остается взаимодействие фундаментальной науки со сферой прикладных исследований и разработок, а также внедрение их результатов в производство. В международной практике к косвенному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финансовому стимулированию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инноваций относятся налоговые кредиты и другие налоговые и таможенно-тарифные льготы на проведение НИОКР, приобретение научного оборудования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литературы, государственные гарантии на коммерческие кредиты и котируемые ценные бумаги наукоемких фирм и др. Подобные меры применяются сейчас во многих странах мира. </w:t>
      </w:r>
    </w:p>
    <w:p w14:paraId="00000098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обобщенном виде можно выделить три основные группы налоговых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инструментов, стимулирующих инновации: освобождение от налогов государственных и частных некоммерческих организаций (налоги на добавленную стоимость, на имущество, на землю, а также отмена таможенных пошлин при импорте научного оборудования и т.п.); налоговые льготы, стимулирующие компании к увеличению расходов на исследования и разработки; налоговые льготы для начинающих компаний на ранних этапах их деятельности. </w:t>
      </w:r>
    </w:p>
    <w:p w14:paraId="00000099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показывает опыт, налоговые льготы, включенные в первую группу, не дают каких-либо серьезных стимулов к дополнительному инвестированию в сферу НИОКР. Если государственные и частные некоммерческие организации вынуждены будут платить все предусмотренные законодательством налоги, то государство должно компенсировать эти затраты путем увеличения объемов финансирования. </w:t>
      </w:r>
    </w:p>
    <w:p w14:paraId="0000009A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Единственное преимущество этой группы налоговых льгот состоит в том, что общая структура затрат государственных организаций станет относительно ниже, чем у других организаций, что будет способствовать повышению их конкурентоспособности. Как и во многих других странах, российские государственные научно- исследовательские институты и университеты освобождены от уплаты налога на добавленную стоимость. </w:t>
      </w:r>
    </w:p>
    <w:p w14:paraId="0000009B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распространяется на исследования, финансируемые государством, а также исследования, выполняемые по контрактам с бизнесом. Налоговые льготы на прибыль не распространяются на государственные научные учреждения и университеты, поскольку целью их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деятельности не является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получение прибыли. </w:t>
      </w:r>
    </w:p>
    <w:p w14:paraId="0000009C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2000–2002 гг. государственные научные организации пользовались льготами по земельному налогу и налогу на имущество, которые впоследствии были отменены, что негативно сказалось на их финансово- экономическом положении. К главным косвенным способам поощрения инновационной активности относятся налоговые кредиты и льготное налогообложение для корпораций, осуществляющих государственные или собственные программы НИОКР. Эти меры иногда называют «налоговыми расходами». </w:t>
      </w:r>
    </w:p>
    <w:p w14:paraId="0000009D" w14:textId="017EC7E6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последние годы в практике налогового стимулирования НИОКР в странах ОЭСР произошло заметное смещение акцентов от пользования налоговыми льготами в сторону налоговых кредитов. Во Франции с 2005 г. объем средств, выделенных французским компаниям по налоговому исследовательскому кредиту, начал превышать величину прямой государственной поддержки высокотехнологичного бизнеса. В налоговых системах большинства стран ОЭСР, в том числе в США, расходы на исследования и разработки рассматриваются либо как капитальные затраты и подлежат амортизации в течение 5 лет с момента их осуществления, либо как расходы бизнеса и вычитаются из налогооблагаемой базы в текущем отчетном периоде . </w:t>
      </w:r>
    </w:p>
    <w:p w14:paraId="0000009E" w14:textId="1FAAA4D9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Выбор метода списания затрат на НИОКР остается за самим предпринимателем. В США налоговый кредит на НИОКР позволяет вернуть из уже уплаченного налога сумму, равную до 20% приращения расходов на НИОКР в текущем году. Эта льгота применяется только к НИОКР,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проводящихся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США . </w:t>
      </w:r>
    </w:p>
    <w:p w14:paraId="0000009F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Налоговый кредит оказывает мощное стимулирующее воздействие на эффективное проведение компаниями долгосрочных исследований, критически важных для новой экономики. Подобные кредиты имеют позитивное влияние на ранних стадиях развития фирм и особенно эффективны в малом бизнесе. В ряде стран применяются дополнительные налоговые стимулы – производственные налоговые кредиты (снижающие себестоимость производства товаров и услуг),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инвестиционные налоговые кредиты, связанные с приобретением основным покупателем высокотехнологичных товаров и услуг. В этом случае влияние льгот на развитие приоритетных технологий проявляется как в снижении риска производителей и потребителей, так и в формировании взаимодействия и кооперации в инновационной системе. </w:t>
      </w:r>
    </w:p>
    <w:p w14:paraId="000000A0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Меры налогового стимулирования частных расходов на НИОКР в настоящее время применяются во многих странах мира. С 2002 по 2004 г. Бельгия, Ирландия и Норвегия ввели новые схемы налоговой мотивации. К настоящему времени общее количество стран ОЭСР, использующих подобные стимулы, достигло 21. </w:t>
      </w:r>
    </w:p>
    <w:p w14:paraId="000000A2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ряде стран активно применяются налоговые инструменты, поощряющие вложения граждан, в том числе так называемых бизнес- ангелов, в высокотехнологичные проекты. Так, в США лицам, инвестирующим в венчурные предприятия с капиталом менее 1 млн. долл., разрешается учитывать потери от таких вложений при расчете подоходного налога. 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Франции, Бельгии и Канаде действуют налоговые схемы, стимулирующие вложения граждан в венчурные фонды. В Великобритании индивидуальные инвесторы могут получить частичное возмещение налогов в счет затрат на НИОКР. </w:t>
      </w:r>
    </w:p>
    <w:p w14:paraId="000000A4" w14:textId="77777777" w:rsidR="005910AC" w:rsidRPr="006370AA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в развитых странах – лидерах мировой науки, с одной стороны, государство напрямую финансирует научные исследования, а с другой – с помощью налоговых мер стимулирует расходы на НИОКР частного сектора. В России, по данным ОЭСР, налоговая система не поощряет, а ущемляет расходы на НИОКР. </w:t>
      </w:r>
    </w:p>
    <w:p w14:paraId="000000A5" w14:textId="77777777" w:rsidR="005910AC" w:rsidRPr="006370AA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Перспективным механизмом государственно-частного партнерства и сти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улирования инвестиций являются особые экономические зоны (ОЭЗ). Федеральным законом от 22 июля 2005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116-ФЗ «Об особых экономических зонах в Российской Федерации» предусмотрено предоставление резидентам ОЭЗ таможенных льгот, освобождение от уплаты налога на имущество организаций и земельного налога в течение 5 лет с момента регистрации в качестве резидентов ОЭЗ, значительное снижение ставки единого социального налога. В соответствии с законом на территории России могут создаваться ОЭЗ трех типов – промышленно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производственные, туристско-рекреационные и технико-внедренческие. </w:t>
      </w:r>
    </w:p>
    <w:p w14:paraId="000000A6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Именно технико-внедренческие ОЭЗ должны стать одним из важных инструментов инновационного развития, предусматривающего государственно- частное партнерство в инновационной сфере. </w:t>
      </w:r>
    </w:p>
    <w:p w14:paraId="000000A7" w14:textId="77777777" w:rsidR="005910AC" w:rsidRDefault="005F7C20" w:rsidP="006370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360" w:lineRule="auto"/>
        <w:ind w:right="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2005 г. победителями конкурса по выбору технико-внедренческих ОЭЗ стали четыре региона России: Москва (Зеленоград), Санкт-Петербург, Московская область (Дубна) и Томск. В Томской области в соответствии с 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становлением Правительства РФ от 21 декабря 2005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783 «О создании на территории г. Томска особой экономической зоны технико-внедренческого типа» создана особая экономическая зона, преимущественными направлениями которой являются информационно- коммуникационные и электронные Государственная поддержка и финансирование инновационной деятельности 171 технологии, технологии производства новых материалов и нанотехнологий, биотехнологии и медицински</w:t>
      </w:r>
      <w:r w:rsidRPr="006370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технологии. Бюджетное финансирование особой экономической зоны технико-внедренческого типа г. Томска в 2005– 2010 гг. составило почти 7,2 млрд руб. (в том числе 4,3 млрд руб. за счет средств федерального бюджета). </w:t>
      </w:r>
    </w:p>
    <w:p w14:paraId="000000D0" w14:textId="07FF736A" w:rsidR="005910AC" w:rsidRPr="00E32859" w:rsidRDefault="005B2A6E" w:rsidP="005B2A6E">
      <w:pPr>
        <w:pStyle w:val="2"/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</w:pPr>
      <w:bookmarkStart w:id="8" w:name="_Toc42269577"/>
      <w:r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>2.3</w:t>
      </w:r>
      <w:r w:rsidR="005F7C20" w:rsidRPr="00E32859">
        <w:rPr>
          <w:rFonts w:ascii="Times New Roman" w:hAnsi="Times New Roman" w:cs="Times New Roman"/>
          <w:b w:val="0"/>
          <w:bCs/>
          <w:color w:val="000000"/>
          <w:sz w:val="28"/>
          <w:szCs w:val="28"/>
        </w:rPr>
        <w:t xml:space="preserve"> </w:t>
      </w:r>
      <w:r w:rsidR="00E32859" w:rsidRPr="00E32859">
        <w:rPr>
          <w:rFonts w:ascii="Times New Roman" w:hAnsi="Times New Roman" w:cs="Times New Roman"/>
          <w:b w:val="0"/>
          <w:bCs/>
          <w:sz w:val="28"/>
          <w:szCs w:val="28"/>
        </w:rPr>
        <w:t>РЕКОМЕНДАЦИИ ПО ЭКОНОМИЧЕСКОМУ СТИМУЛИРОВАНИ ИННОВОЦИОННОГО ПРОЦЕСС</w:t>
      </w:r>
      <w:r w:rsidR="00E32859">
        <w:rPr>
          <w:rFonts w:ascii="Times New Roman" w:hAnsi="Times New Roman" w:cs="Times New Roman"/>
          <w:b w:val="0"/>
          <w:bCs/>
          <w:sz w:val="28"/>
          <w:szCs w:val="28"/>
        </w:rPr>
        <w:t>А</w:t>
      </w:r>
      <w:r w:rsidR="00E32859" w:rsidRPr="00E32859">
        <w:rPr>
          <w:rFonts w:ascii="Times New Roman" w:hAnsi="Times New Roman" w:cs="Times New Roman"/>
          <w:b w:val="0"/>
          <w:bCs/>
          <w:sz w:val="28"/>
          <w:szCs w:val="28"/>
        </w:rPr>
        <w:t xml:space="preserve"> В ТЕХНОЛОГИЧЕСКИ НЕРАЗВ</w:t>
      </w:r>
      <w:r w:rsidR="00E32859">
        <w:rPr>
          <w:rFonts w:ascii="Times New Roman" w:hAnsi="Times New Roman" w:cs="Times New Roman"/>
          <w:b w:val="0"/>
          <w:bCs/>
          <w:sz w:val="28"/>
          <w:szCs w:val="28"/>
        </w:rPr>
        <w:t>И</w:t>
      </w:r>
      <w:r w:rsidR="00E32859" w:rsidRPr="00E32859">
        <w:rPr>
          <w:rFonts w:ascii="Times New Roman" w:hAnsi="Times New Roman" w:cs="Times New Roman"/>
          <w:b w:val="0"/>
          <w:bCs/>
          <w:sz w:val="28"/>
          <w:szCs w:val="28"/>
        </w:rPr>
        <w:t>ТЫХ СТРАНАХ</w:t>
      </w:r>
      <w:bookmarkEnd w:id="8"/>
    </w:p>
    <w:p w14:paraId="3AD5A7C7" w14:textId="078E5818" w:rsidR="00650584" w:rsidRDefault="002A37FA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Первым делом нужно наладить </w:t>
      </w:r>
      <w:r w:rsidR="007E779E">
        <w:rPr>
          <w:rFonts w:ascii="Times New Roman" w:eastAsia="Times New Roman" w:hAnsi="Times New Roman" w:cs="Times New Roman"/>
          <w:bCs/>
          <w:sz w:val="28"/>
          <w:szCs w:val="28"/>
        </w:rPr>
        <w:t>государственную поддержку</w:t>
      </w:r>
      <w:r w:rsidR="007E779E" w:rsidRPr="007E779E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7E779E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именно это</w:t>
      </w:r>
      <w:r w:rsidR="0065058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E779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налоговые льготы, таможенные льготы, амортизационные льготы, увеличить госзакупки, научные гранты, финансирование НИИ и университетов, создание бизнес инкубаторов, снижение или полное освобождение от налогов для инвесторов, помощь с конкуренцией на международном уровне. </w:t>
      </w:r>
    </w:p>
    <w:p w14:paraId="69B15DFD" w14:textId="71760987" w:rsidR="00650584" w:rsidRDefault="007E779E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того как государство создаст идеальные условия для создания большого количества инновационных проектов, в инновационную деятельность начнут инвестировать не только, </w:t>
      </w:r>
      <w:r w:rsidR="00A97284">
        <w:rPr>
          <w:rFonts w:ascii="Times New Roman" w:eastAsia="Times New Roman" w:hAnsi="Times New Roman" w:cs="Times New Roman"/>
          <w:bCs/>
          <w:sz w:val="28"/>
          <w:szCs w:val="28"/>
        </w:rPr>
        <w:t>национальные фонды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но и иностранные фонды</w:t>
      </w:r>
      <w:r w:rsidR="003B42A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ангелы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поспособствует не только активному росту, но и </w:t>
      </w:r>
      <w:r w:rsidR="00650584">
        <w:rPr>
          <w:rFonts w:ascii="Times New Roman" w:eastAsia="Times New Roman" w:hAnsi="Times New Roman" w:cs="Times New Roman"/>
          <w:bCs/>
          <w:sz w:val="28"/>
          <w:szCs w:val="28"/>
        </w:rPr>
        <w:t xml:space="preserve">усилит конкурентоспособность на мировом уровне. </w:t>
      </w:r>
    </w:p>
    <w:p w14:paraId="5BDE1537" w14:textId="676980CA" w:rsidR="00650584" w:rsidRPr="007E779E" w:rsidRDefault="00650584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4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 последнем этапе инновационной деятельностью </w:t>
      </w:r>
      <w:r w:rsidR="003B42AC">
        <w:rPr>
          <w:rFonts w:ascii="Times New Roman" w:eastAsia="Times New Roman" w:hAnsi="Times New Roman" w:cs="Times New Roman"/>
          <w:bCs/>
          <w:sz w:val="28"/>
          <w:szCs w:val="28"/>
        </w:rPr>
        <w:t>заинтересуются пенсионные фонды и обычные инвесторы.</w:t>
      </w:r>
      <w:r w:rsidR="00407A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00000E5" w14:textId="319244ED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6B0473" w14:textId="77777777" w:rsidR="00650584" w:rsidRDefault="00650584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6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7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8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9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A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B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C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D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E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EF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0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1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3969"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2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right="312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06A285" w14:textId="77777777" w:rsidR="00A97284" w:rsidRDefault="00A97284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right="-56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F3" w14:textId="65C3FEA8" w:rsidR="005910AC" w:rsidRPr="001B2CA4" w:rsidRDefault="005F7C20" w:rsidP="001B2CA4">
      <w:pPr>
        <w:pStyle w:val="1"/>
        <w:spacing w:line="360" w:lineRule="auto"/>
        <w:jc w:val="center"/>
        <w:rPr>
          <w:b w:val="0"/>
          <w:bCs/>
        </w:rPr>
      </w:pPr>
      <w:bookmarkStart w:id="9" w:name="_Toc42269578"/>
      <w:r w:rsidRPr="001B2CA4">
        <w:rPr>
          <w:rFonts w:ascii="Times New Roman" w:hAnsi="Times New Roman" w:cs="Times New Roman"/>
          <w:b w:val="0"/>
          <w:bCs/>
          <w:sz w:val="28"/>
          <w:szCs w:val="28"/>
        </w:rPr>
        <w:t>ЗАКЛЮЧЕНИ</w:t>
      </w:r>
      <w:r w:rsidR="001B2CA4">
        <w:rPr>
          <w:rFonts w:ascii="Times New Roman" w:hAnsi="Times New Roman" w:cs="Times New Roman"/>
          <w:b w:val="0"/>
          <w:bCs/>
          <w:sz w:val="28"/>
          <w:szCs w:val="28"/>
        </w:rPr>
        <w:t>Е</w:t>
      </w:r>
      <w:bookmarkEnd w:id="9"/>
    </w:p>
    <w:p w14:paraId="000000F4" w14:textId="53572400" w:rsidR="005910AC" w:rsidRDefault="005F7C20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360" w:lineRule="auto"/>
        <w:ind w:right="-57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курсовой работе были рассмотрены основные виды источников финансирования инновационно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Был произведен анализ 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эконмического стимулирования инновационного процесса в развитых</w:t>
      </w:r>
      <w:r w:rsidR="00412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>и ещё только развивающихся стран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ходе этого анализа был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>а правильная стратегия по экономическому стимулированию инновационного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Благодаря тернистому опыту развивающихся стран мы смогли построить правильную модель,</w:t>
      </w:r>
      <w:r w:rsidR="00EC3D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благодаря которой можно увеличить НТП не только отдельно взятой компании или страны, а целого мира.</w:t>
      </w:r>
      <w:r w:rsidR="000C27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00000F7" w14:textId="40DCE094" w:rsidR="005910AC" w:rsidRDefault="00EC3D49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63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каждом этапе инновационного процесса должен использоваться свой метод стимулирования. Благодаря эту инновационный процесс станет менее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рисковым и более продуктивным. Так на этапе фундаментальных исследований большая часть финансирования должна приходить от государства или собственного капитала. На этапе прикладных научных исследовательских работ должны инвестировать </w:t>
      </w:r>
      <w:r w:rsidR="00A972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инвестиционные фонды и ангелы. А на последнем этапе большую часть финансирования на себя берет непосредственный заказчик. </w:t>
      </w:r>
    </w:p>
    <w:p w14:paraId="000000F8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4" w:hanging="195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9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A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B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C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D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E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FF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0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1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2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3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4" w14:textId="77777777" w:rsidR="005910AC" w:rsidRDefault="005910AC" w:rsidP="005B2A6E">
      <w:pPr>
        <w:widowControl w:val="0"/>
        <w:pBdr>
          <w:top w:val="nil"/>
          <w:left w:val="nil"/>
          <w:bottom w:val="nil"/>
          <w:right w:val="nil"/>
          <w:between w:val="nil"/>
        </w:pBdr>
        <w:ind w:left="1958" w:right="112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105" w14:textId="26238325" w:rsidR="005910AC" w:rsidRPr="001B2CA4" w:rsidRDefault="005F7C20" w:rsidP="001B2CA4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  <w:bookmarkStart w:id="10" w:name="_Toc42269579"/>
      <w:r w:rsidRPr="001B2CA4">
        <w:rPr>
          <w:rFonts w:ascii="Times New Roman" w:hAnsi="Times New Roman" w:cs="Times New Roman"/>
          <w:b w:val="0"/>
          <w:bCs/>
          <w:sz w:val="28"/>
          <w:szCs w:val="28"/>
        </w:rPr>
        <w:t>СПИСОК ИСПОЛЬЗОВАННЫХ ИСТОЧНИКОВ</w:t>
      </w:r>
      <w:bookmarkEnd w:id="10"/>
    </w:p>
    <w:p w14:paraId="3B6AF430" w14:textId="77777777" w:rsidR="000B63E8" w:rsidRPr="000B63E8" w:rsidRDefault="000B63E8" w:rsidP="000B63E8"/>
    <w:p w14:paraId="12150F7B" w14:textId="2C2AB089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</w:t>
      </w:r>
      <w:proofErr w:type="spellStart"/>
      <w:r w:rsidRPr="000B63E8">
        <w:rPr>
          <w:color w:val="000000"/>
          <w:sz w:val="28"/>
          <w:szCs w:val="28"/>
        </w:rPr>
        <w:t>Аганина</w:t>
      </w:r>
      <w:proofErr w:type="spellEnd"/>
      <w:r w:rsidRPr="000B63E8">
        <w:rPr>
          <w:color w:val="000000"/>
          <w:sz w:val="28"/>
          <w:szCs w:val="28"/>
        </w:rPr>
        <w:t xml:space="preserve"> Л.С. Методы реализации государственной инновационной политики. // Материалы научной конференции «Ломоносовские чтения - 2006». - М.: ТЕИС, 2006, с. 133-134.Иванова </w:t>
      </w:r>
      <w:proofErr w:type="gramStart"/>
      <w:r w:rsidRPr="000B63E8">
        <w:rPr>
          <w:color w:val="000000"/>
          <w:sz w:val="28"/>
          <w:szCs w:val="28"/>
        </w:rPr>
        <w:t>Н.И.</w:t>
      </w:r>
      <w:proofErr w:type="gramEnd"/>
      <w:r w:rsidRPr="000B63E8">
        <w:rPr>
          <w:color w:val="000000"/>
          <w:sz w:val="28"/>
          <w:szCs w:val="28"/>
        </w:rPr>
        <w:t xml:space="preserve"> Национальная инновационная система. - М.: Наука, 2006.</w:t>
      </w:r>
    </w:p>
    <w:p w14:paraId="4CFF9396" w14:textId="0FDDB741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Инвестиции и инновации в России: проблемы в начале XXI века (</w:t>
      </w:r>
      <w:proofErr w:type="spellStart"/>
      <w:r w:rsidRPr="000B63E8">
        <w:rPr>
          <w:color w:val="000000"/>
          <w:sz w:val="28"/>
          <w:szCs w:val="28"/>
        </w:rPr>
        <w:t>макроэкон</w:t>
      </w:r>
      <w:proofErr w:type="spellEnd"/>
      <w:r w:rsidRPr="000B63E8">
        <w:rPr>
          <w:color w:val="000000"/>
          <w:sz w:val="28"/>
          <w:szCs w:val="28"/>
        </w:rPr>
        <w:t xml:space="preserve">., </w:t>
      </w:r>
      <w:proofErr w:type="spellStart"/>
      <w:r w:rsidRPr="000B63E8">
        <w:rPr>
          <w:color w:val="000000"/>
          <w:sz w:val="28"/>
          <w:szCs w:val="28"/>
        </w:rPr>
        <w:t>социал</w:t>
      </w:r>
      <w:proofErr w:type="spellEnd"/>
      <w:r w:rsidRPr="000B63E8">
        <w:rPr>
          <w:color w:val="000000"/>
          <w:sz w:val="28"/>
          <w:szCs w:val="28"/>
        </w:rPr>
        <w:t xml:space="preserve">., </w:t>
      </w:r>
      <w:proofErr w:type="spellStart"/>
      <w:r w:rsidRPr="000B63E8">
        <w:rPr>
          <w:color w:val="000000"/>
          <w:sz w:val="28"/>
          <w:szCs w:val="28"/>
        </w:rPr>
        <w:t>институцион</w:t>
      </w:r>
      <w:proofErr w:type="spellEnd"/>
      <w:proofErr w:type="gramStart"/>
      <w:r w:rsidRPr="000B63E8">
        <w:rPr>
          <w:color w:val="000000"/>
          <w:sz w:val="28"/>
          <w:szCs w:val="28"/>
        </w:rPr>
        <w:t>.</w:t>
      </w:r>
      <w:proofErr w:type="gramEnd"/>
      <w:r w:rsidRPr="000B63E8">
        <w:rPr>
          <w:color w:val="000000"/>
          <w:sz w:val="28"/>
          <w:szCs w:val="28"/>
        </w:rPr>
        <w:t xml:space="preserve"> и </w:t>
      </w:r>
      <w:proofErr w:type="spellStart"/>
      <w:r w:rsidRPr="000B63E8">
        <w:rPr>
          <w:color w:val="000000"/>
          <w:sz w:val="28"/>
          <w:szCs w:val="28"/>
        </w:rPr>
        <w:t>методол</w:t>
      </w:r>
      <w:proofErr w:type="spellEnd"/>
      <w:r w:rsidRPr="000B63E8">
        <w:rPr>
          <w:color w:val="000000"/>
          <w:sz w:val="28"/>
          <w:szCs w:val="28"/>
        </w:rPr>
        <w:t xml:space="preserve">.): Сборник статей. / Отв. ред. </w:t>
      </w:r>
      <w:proofErr w:type="gramStart"/>
      <w:r w:rsidRPr="000B63E8">
        <w:rPr>
          <w:color w:val="000000"/>
          <w:sz w:val="28"/>
          <w:szCs w:val="28"/>
        </w:rPr>
        <w:t>Н.А.</w:t>
      </w:r>
      <w:proofErr w:type="gramEnd"/>
      <w:r w:rsidRPr="000B63E8">
        <w:rPr>
          <w:color w:val="000000"/>
          <w:sz w:val="28"/>
          <w:szCs w:val="28"/>
        </w:rPr>
        <w:t xml:space="preserve"> Новицкий. - М., 2004.</w:t>
      </w:r>
    </w:p>
    <w:p w14:paraId="03CDBA49" w14:textId="7352B55D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lastRenderedPageBreak/>
        <w:t xml:space="preserve"> Инновационный менеджмент. Учебник / Под ред. С.Д. </w:t>
      </w:r>
      <w:proofErr w:type="spellStart"/>
      <w:r w:rsidRPr="000B63E8">
        <w:rPr>
          <w:color w:val="000000"/>
          <w:sz w:val="28"/>
          <w:szCs w:val="28"/>
        </w:rPr>
        <w:t>Ильенковой</w:t>
      </w:r>
      <w:proofErr w:type="spellEnd"/>
      <w:r w:rsidRPr="000B63E8">
        <w:rPr>
          <w:color w:val="000000"/>
          <w:sz w:val="28"/>
          <w:szCs w:val="28"/>
        </w:rPr>
        <w:t xml:space="preserve">, - М.: </w:t>
      </w:r>
      <w:proofErr w:type="spellStart"/>
      <w:r w:rsidRPr="000B63E8">
        <w:rPr>
          <w:color w:val="000000"/>
          <w:sz w:val="28"/>
          <w:szCs w:val="28"/>
        </w:rPr>
        <w:t>Юнити</w:t>
      </w:r>
      <w:proofErr w:type="spellEnd"/>
      <w:r w:rsidRPr="000B63E8">
        <w:rPr>
          <w:color w:val="000000"/>
          <w:sz w:val="28"/>
          <w:szCs w:val="28"/>
        </w:rPr>
        <w:t>, 2007.</w:t>
      </w:r>
    </w:p>
    <w:p w14:paraId="06703F5D" w14:textId="18601E98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Меньшиков С. Анатомия российского капитализма. - М.: </w:t>
      </w:r>
      <w:proofErr w:type="spellStart"/>
      <w:r w:rsidRPr="000B63E8">
        <w:rPr>
          <w:color w:val="000000"/>
          <w:sz w:val="28"/>
          <w:szCs w:val="28"/>
        </w:rPr>
        <w:t>Междунар</w:t>
      </w:r>
      <w:proofErr w:type="spellEnd"/>
      <w:r w:rsidRPr="000B63E8">
        <w:rPr>
          <w:color w:val="000000"/>
          <w:sz w:val="28"/>
          <w:szCs w:val="28"/>
        </w:rPr>
        <w:t>. отношения, 2004, глава 1 (1.10. - 1.12.), Глава 2 (2.1. - 2.3.) и с. 401-402.</w:t>
      </w:r>
    </w:p>
    <w:p w14:paraId="1B3B9925" w14:textId="3B3F4ABC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Санто Б. Инновация как средство экономического развития. Пер. с венг. - М.: Прогресс. - 2007.</w:t>
      </w:r>
    </w:p>
    <w:p w14:paraId="586EE96C" w14:textId="04EB2FFC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Современный менеджмент: принципы и правила. - М.-Нижний Новгород, 2005.</w:t>
      </w:r>
    </w:p>
    <w:p w14:paraId="31FDAAED" w14:textId="09707978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Хаустов </w:t>
      </w:r>
      <w:proofErr w:type="gramStart"/>
      <w:r w:rsidRPr="000B63E8">
        <w:rPr>
          <w:color w:val="000000"/>
          <w:sz w:val="28"/>
          <w:szCs w:val="28"/>
        </w:rPr>
        <w:t>Ю.И.</w:t>
      </w:r>
      <w:proofErr w:type="gramEnd"/>
      <w:r w:rsidRPr="000B63E8">
        <w:rPr>
          <w:color w:val="000000"/>
          <w:sz w:val="28"/>
          <w:szCs w:val="28"/>
        </w:rPr>
        <w:t>, Соловьев Б.А., Бочаров В.П. Инновационный процесс в системе общественных отношений. - Воронеж: Изд-во Воронежского гос. ун-та, 2006, с. 189.</w:t>
      </w:r>
    </w:p>
    <w:p w14:paraId="6B932601" w14:textId="3AE78E54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</w:t>
      </w:r>
      <w:proofErr w:type="spellStart"/>
      <w:r w:rsidRPr="000B63E8">
        <w:rPr>
          <w:color w:val="000000"/>
          <w:sz w:val="28"/>
          <w:szCs w:val="28"/>
        </w:rPr>
        <w:t>Аммосов</w:t>
      </w:r>
      <w:proofErr w:type="spellEnd"/>
      <w:r w:rsidRPr="000B63E8">
        <w:rPr>
          <w:color w:val="000000"/>
          <w:sz w:val="28"/>
          <w:szCs w:val="28"/>
        </w:rPr>
        <w:t xml:space="preserve"> Ю. Калифорния ставит на нас // Эксперт. - 2009. - №32. - с. 46-50.</w:t>
      </w:r>
    </w:p>
    <w:p w14:paraId="1A114AC5" w14:textId="5A7D90A7" w:rsidR="000B63E8" w:rsidRPr="000B63E8" w:rsidRDefault="000B63E8" w:rsidP="000B63E8">
      <w:pPr>
        <w:pStyle w:val="a5"/>
        <w:numPr>
          <w:ilvl w:val="0"/>
          <w:numId w:val="23"/>
        </w:numPr>
        <w:shd w:val="clear" w:color="auto" w:fill="FFFFFF"/>
        <w:spacing w:before="0" w:beforeAutospacing="0" w:after="285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0B63E8">
        <w:rPr>
          <w:color w:val="000000"/>
          <w:sz w:val="28"/>
          <w:szCs w:val="28"/>
        </w:rPr>
        <w:t xml:space="preserve"> Белоусов Д. Проектная экономика // Эксперт. - 2009. - №38. - с. 54.</w:t>
      </w:r>
    </w:p>
    <w:p w14:paraId="00000106" w14:textId="3118A8D2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96"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Анищик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В.М., </w:t>
      </w: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Русецкий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А.В., Толочко </w:t>
      </w:r>
      <w:proofErr w:type="gram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Н.К.</w:t>
      </w:r>
      <w:proofErr w:type="gram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Инновационная </w:t>
      </w:r>
    </w:p>
    <w:p w14:paraId="00000107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и научно-технологическое развитие - Мн.: Изд. центр БГУ, 2013 </w:t>
      </w:r>
    </w:p>
    <w:p w14:paraId="00000108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Венчурная Россия: Всероссийский информационно- аналитический портал [Электронный ресурс]. URL: </w:t>
      </w:r>
    </w:p>
    <w:p w14:paraId="00000109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Вольский, А. Инновационный фактор обеспечения устойчивого экономического развития / А. Вольский. — М., 2014 </w:t>
      </w:r>
    </w:p>
    <w:p w14:paraId="0000010A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Кузнецов </w:t>
      </w:r>
      <w:proofErr w:type="gram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И.А.</w:t>
      </w:r>
      <w:proofErr w:type="gram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Финансовое обеспечение активизации</w:t>
      </w:r>
      <w:r w:rsidRPr="000B6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инновационно-инвестиционного процесса в реальном секторе экономики в</w:t>
      </w:r>
      <w:r w:rsidRPr="000B6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условиях глобальной трансформации//Финансовый менеджмент. 2013. 183 с. </w:t>
      </w:r>
    </w:p>
    <w:p w14:paraId="0000010B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7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Миндели Л., Черных С. Проблемы и перспективы финансирования науки и инноваций в России. 2012. </w:t>
      </w:r>
    </w:p>
    <w:p w14:paraId="0000010C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повышении эффективности использования средств, направляемых на инновационную деятельность: материалы к заседанию Правительственной комиссии по высоким технологиям и инновациям. М.: Минэкономразвития России, 2013. 117 с. </w:t>
      </w:r>
    </w:p>
    <w:p w14:paraId="0000010D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7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Россия 2012: стат. </w:t>
      </w: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cправочник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Росстат. М.: Федеральная служба государственной статистики, 2012. 59 с. </w:t>
      </w:r>
    </w:p>
    <w:p w14:paraId="0000010E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Стратегия инновационного развития Российской Федерации на период до 2020 года. Утв. Распоряжением Правительства РФ от 08.12.2011 г. </w:t>
      </w:r>
      <w:r w:rsidRPr="000B63E8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Электронный ресурс]. URL: old.mon.gov.ru </w:t>
      </w:r>
    </w:p>
    <w:p w14:paraId="0000010F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Тебекин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В. Инновационный менеджмент; </w:t>
      </w: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Москва, 2013. – 480c. </w:t>
      </w:r>
    </w:p>
    <w:p w14:paraId="00000110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Тюрина А. В. Инновационное финансирование как фактор</w:t>
      </w:r>
      <w:r w:rsidRPr="000B63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социально-экономического развития стран// Финансовый менеджмент. 2012. С. 88-95. </w:t>
      </w:r>
    </w:p>
    <w:p w14:paraId="00000111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Учет специфики инвестиционных проектов при оценке их эффективности Смоляк С.А. No1-2013 </w:t>
      </w:r>
    </w:p>
    <w:p w14:paraId="00000112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Фатхутдинов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 А. Инновационный менеджмент. учебник для ВУЗов; Книга по Требованию - Москва, 2012. - 448 c. </w:t>
      </w:r>
    </w:p>
    <w:p w14:paraId="00000113" w14:textId="77777777" w:rsidR="005910AC" w:rsidRPr="000B63E8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Хлебников, К.В. Аналитическая модель факторов инновационного развития высокотехнологичного сектора // Экономические науки. - 2016. </w:t>
      </w:r>
    </w:p>
    <w:p w14:paraId="00000114" w14:textId="04FC3929" w:rsidR="005910AC" w:rsidRDefault="005F7C20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Черняк, В.З. Принципы управления проектами: монография / Москва : </w:t>
      </w:r>
      <w:proofErr w:type="spell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Русайнс</w:t>
      </w:r>
      <w:proofErr w:type="spell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2017. </w:t>
      </w:r>
    </w:p>
    <w:p w14:paraId="114E9EDA" w14:textId="77777777" w:rsidR="000B63E8" w:rsidRPr="000B63E8" w:rsidRDefault="000B63E8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 инноваций не обойтись. Редакционная статья // Эксперт. 2007. № </w:t>
      </w: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19.</w:t>
      </w:r>
    </w:p>
    <w:p w14:paraId="1030C93F" w14:textId="77777777" w:rsidR="000B63E8" w:rsidRPr="000B63E8" w:rsidRDefault="000B63E8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Гордеева </w:t>
      </w:r>
      <w:proofErr w:type="gramStart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О.В.</w:t>
      </w:r>
      <w:proofErr w:type="gramEnd"/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Инструменты налогового регулирования </w:t>
      </w:r>
    </w:p>
    <w:p w14:paraId="3AA52445" w14:textId="77777777" w:rsidR="000B63E8" w:rsidRPr="000B63E8" w:rsidRDefault="000B63E8" w:rsidP="000B63E8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63E8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инновационной деятельности // Налоги. – 2009. – № 48.</w:t>
      </w:r>
    </w:p>
    <w:p w14:paraId="5B297EE8" w14:textId="77777777" w:rsidR="000B63E8" w:rsidRPr="000B63E8" w:rsidRDefault="000B63E8" w:rsidP="000B63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0B63E8" w:rsidRPr="000B63E8">
      <w:footerReference w:type="default" r:id="rId9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E9217" w14:textId="77777777" w:rsidR="0084130E" w:rsidRDefault="0084130E">
      <w:pPr>
        <w:spacing w:line="240" w:lineRule="auto"/>
      </w:pPr>
      <w:r>
        <w:separator/>
      </w:r>
    </w:p>
  </w:endnote>
  <w:endnote w:type="continuationSeparator" w:id="0">
    <w:p w14:paraId="69E46465" w14:textId="77777777" w:rsidR="0084130E" w:rsidRDefault="008413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5" w14:textId="7F74B889" w:rsidR="005910AC" w:rsidRDefault="005F7C20">
    <w:pPr>
      <w:jc w:val="center"/>
    </w:pPr>
    <w:r>
      <w:fldChar w:fldCharType="begin"/>
    </w:r>
    <w:r>
      <w:instrText>PAGE</w:instrText>
    </w:r>
    <w:r>
      <w:fldChar w:fldCharType="separate"/>
    </w:r>
    <w:r w:rsidR="00531AA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B8360E" w14:textId="77777777" w:rsidR="0084130E" w:rsidRDefault="0084130E">
      <w:pPr>
        <w:spacing w:line="240" w:lineRule="auto"/>
      </w:pPr>
      <w:r>
        <w:separator/>
      </w:r>
    </w:p>
  </w:footnote>
  <w:footnote w:type="continuationSeparator" w:id="0">
    <w:p w14:paraId="510B284C" w14:textId="77777777" w:rsidR="0084130E" w:rsidRDefault="008413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D09E2"/>
    <w:multiLevelType w:val="hybridMultilevel"/>
    <w:tmpl w:val="A2AC3FCC"/>
    <w:lvl w:ilvl="0" w:tplc="0419000F">
      <w:start w:val="1"/>
      <w:numFmt w:val="decimal"/>
      <w:lvlText w:val="%1."/>
      <w:lvlJc w:val="left"/>
      <w:pPr>
        <w:ind w:left="1439" w:hanging="360"/>
      </w:p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1" w15:restartNumberingAfterBreak="0">
    <w:nsid w:val="0CCF15D4"/>
    <w:multiLevelType w:val="hybridMultilevel"/>
    <w:tmpl w:val="4970D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93466"/>
    <w:multiLevelType w:val="multilevel"/>
    <w:tmpl w:val="EA30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EB28C2"/>
    <w:multiLevelType w:val="hybridMultilevel"/>
    <w:tmpl w:val="C3FE59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5E99"/>
    <w:multiLevelType w:val="multilevel"/>
    <w:tmpl w:val="DF4049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A766AD"/>
    <w:multiLevelType w:val="hybridMultilevel"/>
    <w:tmpl w:val="B46E4F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8B46F0A"/>
    <w:multiLevelType w:val="hybridMultilevel"/>
    <w:tmpl w:val="541E9958"/>
    <w:lvl w:ilvl="0" w:tplc="0419000F">
      <w:start w:val="1"/>
      <w:numFmt w:val="decimal"/>
      <w:lvlText w:val="%1."/>
      <w:lvlJc w:val="left"/>
      <w:pPr>
        <w:ind w:left="1439" w:hanging="360"/>
      </w:p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7" w15:restartNumberingAfterBreak="0">
    <w:nsid w:val="195E51FE"/>
    <w:multiLevelType w:val="hybridMultilevel"/>
    <w:tmpl w:val="9C8E594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29E45E0"/>
    <w:multiLevelType w:val="multilevel"/>
    <w:tmpl w:val="DF0C6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2245D3"/>
    <w:multiLevelType w:val="hybridMultilevel"/>
    <w:tmpl w:val="4CD860B0"/>
    <w:lvl w:ilvl="0" w:tplc="A23660EA">
      <w:numFmt w:val="bullet"/>
      <w:lvlText w:val="•"/>
      <w:lvlJc w:val="left"/>
      <w:pPr>
        <w:ind w:left="143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0" w15:restartNumberingAfterBreak="0">
    <w:nsid w:val="34DB7ED7"/>
    <w:multiLevelType w:val="hybridMultilevel"/>
    <w:tmpl w:val="B074FD18"/>
    <w:lvl w:ilvl="0" w:tplc="F914FC2C">
      <w:numFmt w:val="bullet"/>
      <w:lvlText w:val="•"/>
      <w:lvlJc w:val="left"/>
      <w:pPr>
        <w:ind w:left="143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35D277E8"/>
    <w:multiLevelType w:val="hybridMultilevel"/>
    <w:tmpl w:val="BC42E2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A4E7F06"/>
    <w:multiLevelType w:val="multilevel"/>
    <w:tmpl w:val="DE54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AC472B"/>
    <w:multiLevelType w:val="hybridMultilevel"/>
    <w:tmpl w:val="4B103A8A"/>
    <w:lvl w:ilvl="0" w:tplc="3E9C3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16911A6"/>
    <w:multiLevelType w:val="hybridMultilevel"/>
    <w:tmpl w:val="A294B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C58FC"/>
    <w:multiLevelType w:val="hybridMultilevel"/>
    <w:tmpl w:val="A4BC3406"/>
    <w:lvl w:ilvl="0" w:tplc="5E94A8A0">
      <w:numFmt w:val="bullet"/>
      <w:lvlText w:val="•"/>
      <w:lvlJc w:val="left"/>
      <w:pPr>
        <w:ind w:left="143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6" w15:restartNumberingAfterBreak="0">
    <w:nsid w:val="4C4E10C2"/>
    <w:multiLevelType w:val="multilevel"/>
    <w:tmpl w:val="4E4E7D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F53205"/>
    <w:multiLevelType w:val="multilevel"/>
    <w:tmpl w:val="403489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6A95753"/>
    <w:multiLevelType w:val="hybridMultilevel"/>
    <w:tmpl w:val="9BDE09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EA8216A"/>
    <w:multiLevelType w:val="hybridMultilevel"/>
    <w:tmpl w:val="8028F4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BFB4B4D"/>
    <w:multiLevelType w:val="hybridMultilevel"/>
    <w:tmpl w:val="1C4010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14D7899"/>
    <w:multiLevelType w:val="hybridMultilevel"/>
    <w:tmpl w:val="8FFAD2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31041A"/>
    <w:multiLevelType w:val="hybridMultilevel"/>
    <w:tmpl w:val="0E7C2A4C"/>
    <w:lvl w:ilvl="0" w:tplc="0419000F">
      <w:start w:val="1"/>
      <w:numFmt w:val="decimal"/>
      <w:lvlText w:val="%1."/>
      <w:lvlJc w:val="left"/>
      <w:pPr>
        <w:ind w:left="1439" w:hanging="360"/>
      </w:pPr>
    </w:lvl>
    <w:lvl w:ilvl="1" w:tplc="04190019" w:tentative="1">
      <w:start w:val="1"/>
      <w:numFmt w:val="lowerLetter"/>
      <w:lvlText w:val="%2."/>
      <w:lvlJc w:val="left"/>
      <w:pPr>
        <w:ind w:left="2159" w:hanging="360"/>
      </w:pPr>
    </w:lvl>
    <w:lvl w:ilvl="2" w:tplc="0419001B" w:tentative="1">
      <w:start w:val="1"/>
      <w:numFmt w:val="lowerRoman"/>
      <w:lvlText w:val="%3."/>
      <w:lvlJc w:val="right"/>
      <w:pPr>
        <w:ind w:left="2879" w:hanging="180"/>
      </w:pPr>
    </w:lvl>
    <w:lvl w:ilvl="3" w:tplc="0419000F" w:tentative="1">
      <w:start w:val="1"/>
      <w:numFmt w:val="decimal"/>
      <w:lvlText w:val="%4."/>
      <w:lvlJc w:val="left"/>
      <w:pPr>
        <w:ind w:left="3599" w:hanging="360"/>
      </w:pPr>
    </w:lvl>
    <w:lvl w:ilvl="4" w:tplc="04190019" w:tentative="1">
      <w:start w:val="1"/>
      <w:numFmt w:val="lowerLetter"/>
      <w:lvlText w:val="%5."/>
      <w:lvlJc w:val="left"/>
      <w:pPr>
        <w:ind w:left="4319" w:hanging="360"/>
      </w:pPr>
    </w:lvl>
    <w:lvl w:ilvl="5" w:tplc="0419001B" w:tentative="1">
      <w:start w:val="1"/>
      <w:numFmt w:val="lowerRoman"/>
      <w:lvlText w:val="%6."/>
      <w:lvlJc w:val="right"/>
      <w:pPr>
        <w:ind w:left="5039" w:hanging="180"/>
      </w:pPr>
    </w:lvl>
    <w:lvl w:ilvl="6" w:tplc="0419000F" w:tentative="1">
      <w:start w:val="1"/>
      <w:numFmt w:val="decimal"/>
      <w:lvlText w:val="%7."/>
      <w:lvlJc w:val="left"/>
      <w:pPr>
        <w:ind w:left="5759" w:hanging="360"/>
      </w:pPr>
    </w:lvl>
    <w:lvl w:ilvl="7" w:tplc="04190019" w:tentative="1">
      <w:start w:val="1"/>
      <w:numFmt w:val="lowerLetter"/>
      <w:lvlText w:val="%8."/>
      <w:lvlJc w:val="left"/>
      <w:pPr>
        <w:ind w:left="6479" w:hanging="360"/>
      </w:pPr>
    </w:lvl>
    <w:lvl w:ilvl="8" w:tplc="0419001B" w:tentative="1">
      <w:start w:val="1"/>
      <w:numFmt w:val="lowerRoman"/>
      <w:lvlText w:val="%9."/>
      <w:lvlJc w:val="right"/>
      <w:pPr>
        <w:ind w:left="7199" w:hanging="180"/>
      </w:pPr>
    </w:lvl>
  </w:abstractNum>
  <w:num w:numId="1">
    <w:abstractNumId w:val="17"/>
  </w:num>
  <w:num w:numId="2">
    <w:abstractNumId w:val="4"/>
  </w:num>
  <w:num w:numId="3">
    <w:abstractNumId w:val="16"/>
  </w:num>
  <w:num w:numId="4">
    <w:abstractNumId w:val="21"/>
  </w:num>
  <w:num w:numId="5">
    <w:abstractNumId w:val="13"/>
  </w:num>
  <w:num w:numId="6">
    <w:abstractNumId w:val="2"/>
  </w:num>
  <w:num w:numId="7">
    <w:abstractNumId w:val="8"/>
  </w:num>
  <w:num w:numId="8">
    <w:abstractNumId w:val="12"/>
  </w:num>
  <w:num w:numId="9">
    <w:abstractNumId w:val="14"/>
  </w:num>
  <w:num w:numId="10">
    <w:abstractNumId w:val="3"/>
  </w:num>
  <w:num w:numId="11">
    <w:abstractNumId w:val="19"/>
  </w:num>
  <w:num w:numId="12">
    <w:abstractNumId w:val="7"/>
  </w:num>
  <w:num w:numId="13">
    <w:abstractNumId w:val="0"/>
  </w:num>
  <w:num w:numId="14">
    <w:abstractNumId w:val="15"/>
  </w:num>
  <w:num w:numId="15">
    <w:abstractNumId w:val="22"/>
  </w:num>
  <w:num w:numId="16">
    <w:abstractNumId w:val="10"/>
  </w:num>
  <w:num w:numId="17">
    <w:abstractNumId w:val="6"/>
  </w:num>
  <w:num w:numId="18">
    <w:abstractNumId w:val="9"/>
  </w:num>
  <w:num w:numId="19">
    <w:abstractNumId w:val="5"/>
  </w:num>
  <w:num w:numId="20">
    <w:abstractNumId w:val="20"/>
  </w:num>
  <w:num w:numId="21">
    <w:abstractNumId w:val="11"/>
  </w:num>
  <w:num w:numId="22">
    <w:abstractNumId w:val="18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0AC"/>
    <w:rsid w:val="00017DD2"/>
    <w:rsid w:val="000B63E8"/>
    <w:rsid w:val="000C27D3"/>
    <w:rsid w:val="00106C8A"/>
    <w:rsid w:val="00151DC6"/>
    <w:rsid w:val="00184473"/>
    <w:rsid w:val="001B2CA4"/>
    <w:rsid w:val="002A37FA"/>
    <w:rsid w:val="002B6E3B"/>
    <w:rsid w:val="002D5338"/>
    <w:rsid w:val="003B42AC"/>
    <w:rsid w:val="003B4C84"/>
    <w:rsid w:val="003F2721"/>
    <w:rsid w:val="00407A25"/>
    <w:rsid w:val="004129C1"/>
    <w:rsid w:val="00415578"/>
    <w:rsid w:val="0049628D"/>
    <w:rsid w:val="004E60C7"/>
    <w:rsid w:val="004F5078"/>
    <w:rsid w:val="00531AAB"/>
    <w:rsid w:val="005910AC"/>
    <w:rsid w:val="005B2A6E"/>
    <w:rsid w:val="005F7C20"/>
    <w:rsid w:val="006370AA"/>
    <w:rsid w:val="00650584"/>
    <w:rsid w:val="00682744"/>
    <w:rsid w:val="00707ADA"/>
    <w:rsid w:val="00763C36"/>
    <w:rsid w:val="007A4095"/>
    <w:rsid w:val="007D637B"/>
    <w:rsid w:val="007E779E"/>
    <w:rsid w:val="0084130E"/>
    <w:rsid w:val="009D4930"/>
    <w:rsid w:val="009E0FAD"/>
    <w:rsid w:val="00A97284"/>
    <w:rsid w:val="00AA0E1D"/>
    <w:rsid w:val="00B5263F"/>
    <w:rsid w:val="00B85527"/>
    <w:rsid w:val="00BF7823"/>
    <w:rsid w:val="00CF614B"/>
    <w:rsid w:val="00DA614F"/>
    <w:rsid w:val="00DF2C13"/>
    <w:rsid w:val="00E15176"/>
    <w:rsid w:val="00E32859"/>
    <w:rsid w:val="00E409BA"/>
    <w:rsid w:val="00EC3D49"/>
    <w:rsid w:val="00ED6CFB"/>
    <w:rsid w:val="00EE1D46"/>
    <w:rsid w:val="00EE4166"/>
    <w:rsid w:val="00F4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4447"/>
  <w15:docId w15:val="{694A898B-BD31-4C7E-80B3-B120F3DC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DF2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E1D4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29C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29C1"/>
  </w:style>
  <w:style w:type="paragraph" w:styleId="a9">
    <w:name w:val="footer"/>
    <w:basedOn w:val="a"/>
    <w:link w:val="aa"/>
    <w:uiPriority w:val="99"/>
    <w:unhideWhenUsed/>
    <w:rsid w:val="004129C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29C1"/>
  </w:style>
  <w:style w:type="paragraph" w:styleId="ab">
    <w:name w:val="TOC Heading"/>
    <w:basedOn w:val="1"/>
    <w:next w:val="a"/>
    <w:uiPriority w:val="39"/>
    <w:unhideWhenUsed/>
    <w:qFormat/>
    <w:rsid w:val="00F4607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46072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F46072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F46072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F460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47BDE-510B-44C2-BEBB-6EA6349A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39</Pages>
  <Words>7196</Words>
  <Characters>41022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27</cp:revision>
  <cp:lastPrinted>2020-06-05T14:12:00Z</cp:lastPrinted>
  <dcterms:created xsi:type="dcterms:W3CDTF">2020-06-01T17:28:00Z</dcterms:created>
  <dcterms:modified xsi:type="dcterms:W3CDTF">2020-06-05T17:43:00Z</dcterms:modified>
</cp:coreProperties>
</file>