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9C" w:rsidRDefault="00A63D9C" w:rsidP="00A63D9C">
      <w:pPr>
        <w:tabs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B5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ИНИСТЕРСТВО НАУКИ И ВЫСШЕГО ОБРАЗОВАНИЯ РОССИЙСКОЙ ФЕДЕРАЦИИ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Экономический факультет 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Допустить к защите 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д-р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наук, проф.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</w:t>
      </w:r>
      <w:r w:rsidR="00BA1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И.В. Шевченко 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A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(подпись)         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</w:t>
      </w:r>
      <w:r w:rsidR="00BA1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_____2024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3D9C" w:rsidRDefault="00A63D9C" w:rsidP="00A63D9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63D9C" w:rsidRDefault="00A63D9C" w:rsidP="00A63D9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ВЫПУСКНАЯ КВАЛИФИКАЦИОННАЯ РАБОТА</w:t>
      </w:r>
    </w:p>
    <w:p w:rsidR="00A63D9C" w:rsidRDefault="00A63D9C" w:rsidP="00A63D9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(ДИПЛОМНАЯ РАБОТА)</w:t>
      </w:r>
    </w:p>
    <w:p w:rsidR="00A63D9C" w:rsidRDefault="00A63D9C" w:rsidP="00A63D9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63D9C" w:rsidRDefault="00A63D9C" w:rsidP="00A63D9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63D9C" w:rsidRDefault="00A63D9C" w:rsidP="00A63D9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 xml:space="preserve">ОБЕСПЕЧЕНИЕ ЭКОНОМИЧЕСКОЙ БЕЗОПАСНОСТИ КОММЕРЧЕСКОГО БАНКА </w:t>
      </w:r>
      <w:bookmarkStart w:id="0" w:name="_Hlk156137344"/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В УСЛОВИЯХ ФИНАНСОВОЙ НЕСТАБИЛЬНОСТИ</w:t>
      </w:r>
    </w:p>
    <w:bookmarkEnd w:id="0"/>
    <w:p w:rsidR="00A63D9C" w:rsidRDefault="00A63D9C" w:rsidP="00A63D9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3D9C" w:rsidRDefault="00BA1AB4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Работу выполнила __</w:t>
      </w:r>
      <w:r w:rsidR="00A63D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CE72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="00CE40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</w:t>
      </w:r>
      <w:r w:rsidR="00CE72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</w:t>
      </w:r>
      <w:r w:rsidR="00A63D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="00CE72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Д.В.</w:t>
      </w:r>
      <w:r w:rsidR="00B131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Покидко</w:t>
      </w:r>
      <w:proofErr w:type="spellEnd"/>
    </w:p>
    <w:p w:rsidR="00A63D9C" w:rsidRDefault="00BA1AB4" w:rsidP="00BA1A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38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6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D9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63D9C" w:rsidRDefault="00407BE1" w:rsidP="00A63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</w:t>
      </w:r>
      <w:r w:rsidRPr="0040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</w:t>
      </w:r>
      <w:r w:rsidR="00BA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D9C" w:rsidRPr="00407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38.05.01 Экономическая безопасность</w:t>
      </w:r>
    </w:p>
    <w:p w:rsidR="00A63D9C" w:rsidRDefault="00A63D9C" w:rsidP="00A63D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(код, наименование)</w:t>
      </w:r>
    </w:p>
    <w:p w:rsidR="00A63D9C" w:rsidRDefault="00A63D9C" w:rsidP="00A63D9C">
      <w:pPr>
        <w:tabs>
          <w:tab w:val="left" w:pos="1125"/>
          <w:tab w:val="center" w:pos="4819"/>
        </w:tabs>
        <w:spacing w:after="0" w:line="240" w:lineRule="auto"/>
        <w:ind w:left="2127" w:right="-284" w:hanging="2552"/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</w:pPr>
    </w:p>
    <w:p w:rsidR="00A63D9C" w:rsidRDefault="00407BE1" w:rsidP="00A63D9C">
      <w:pPr>
        <w:tabs>
          <w:tab w:val="left" w:pos="1125"/>
          <w:tab w:val="center" w:pos="4819"/>
        </w:tabs>
        <w:spacing w:after="0" w:line="240" w:lineRule="auto"/>
        <w:ind w:left="2127" w:right="-284" w:hanging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Направленность (профиль)</w:t>
      </w:r>
      <w:r w:rsidR="00A63D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3D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Экономико-правовое обеспечение </w:t>
      </w:r>
      <w:proofErr w:type="gramStart"/>
      <w:r w:rsidR="00A63D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экономической</w:t>
      </w:r>
      <w:proofErr w:type="gramEnd"/>
      <w:r w:rsidR="00A63D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A63D9C" w:rsidRDefault="00407BE1" w:rsidP="00A63D9C">
      <w:pPr>
        <w:tabs>
          <w:tab w:val="left" w:pos="1125"/>
          <w:tab w:val="center" w:pos="4819"/>
        </w:tabs>
        <w:spacing w:after="0" w:line="240" w:lineRule="auto"/>
        <w:ind w:left="4536" w:right="-284" w:hanging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580F4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</w:t>
      </w:r>
      <w:r w:rsidR="00A63D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езопасности</w:t>
      </w:r>
    </w:p>
    <w:p w:rsidR="00A63D9C" w:rsidRDefault="00A63D9C" w:rsidP="00A63D9C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7BE1" w:rsidRDefault="00A63D9C" w:rsidP="00BA1AB4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  <w:r w:rsidR="00407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</w:t>
      </w:r>
      <w:r w:rsidR="00BA1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="00580F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</w:t>
      </w:r>
      <w:r w:rsidR="007C5F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</w:t>
      </w:r>
      <w:r w:rsidR="00CE40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</w:t>
      </w:r>
      <w:r w:rsidR="00BA1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="00CE72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</w:t>
      </w:r>
      <w:r w:rsidR="003839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В.И. </w:t>
      </w:r>
      <w:proofErr w:type="spellStart"/>
      <w:r w:rsidR="00BA1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Милета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7BE1" w:rsidRPr="00BA1AB4" w:rsidRDefault="00B13135" w:rsidP="00407BE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407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анд. </w:t>
      </w:r>
      <w:proofErr w:type="spellStart"/>
      <w:r w:rsidR="00407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="00407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наук</w:t>
      </w:r>
      <w:proofErr w:type="gramStart"/>
      <w:r w:rsidR="00407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="00407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доцент</w:t>
      </w:r>
      <w:r w:rsidR="00A63D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07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C5F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07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0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07B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A1AB4" w:rsidRDefault="00BA1AB4" w:rsidP="00BA1AB4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3D9C" w:rsidRPr="00BA1AB4" w:rsidRDefault="00BA1AB4" w:rsidP="00BA1AB4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3839E2" w:rsidRPr="009E0435" w:rsidRDefault="00A63D9C" w:rsidP="003839E2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  <w:proofErr w:type="spellEnd"/>
      <w:r w:rsidR="00383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39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</w:t>
      </w:r>
      <w:r w:rsidR="00580F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</w:t>
      </w:r>
      <w:r w:rsidR="00CE40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</w:t>
      </w:r>
      <w:r w:rsidR="00CE72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</w:t>
      </w:r>
      <w:r w:rsidR="003839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А.Б. </w:t>
      </w:r>
      <w:proofErr w:type="spellStart"/>
      <w:r w:rsidR="00580F4C">
        <w:rPr>
          <w:rFonts w:ascii="Times New Roman" w:eastAsia="Calibri" w:hAnsi="Times New Roman" w:cs="Times New Roman"/>
          <w:sz w:val="28"/>
          <w:szCs w:val="28"/>
          <w:lang w:eastAsia="ru-RU"/>
        </w:rPr>
        <w:t>Катрюхина</w:t>
      </w:r>
      <w:proofErr w:type="spellEnd"/>
    </w:p>
    <w:p w:rsidR="003839E2" w:rsidRPr="00BA1AB4" w:rsidRDefault="00B13135" w:rsidP="003839E2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07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реподаватель </w:t>
      </w:r>
      <w:r w:rsidR="00383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07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383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E40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3839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63D9C" w:rsidRDefault="00A63D9C" w:rsidP="00A63D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3D9C" w:rsidRDefault="00A63D9C" w:rsidP="00A63D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3D9C" w:rsidRDefault="00A63D9C" w:rsidP="00A63D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3D9C" w:rsidRDefault="00A63D9C" w:rsidP="00A63D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07BE1" w:rsidRDefault="00407BE1" w:rsidP="00407BE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63D9C" w:rsidRDefault="00A63D9C" w:rsidP="00A63D9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Краснодар</w:t>
      </w:r>
    </w:p>
    <w:p w:rsidR="00A63D9C" w:rsidRPr="00A63D9C" w:rsidRDefault="00A63D9C" w:rsidP="00A63D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2024</w:t>
      </w:r>
    </w:p>
    <w:p w:rsidR="00A63D9C" w:rsidRDefault="00A63D9C" w:rsidP="00A63D9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2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63D9C" w:rsidRPr="00BE02C7" w:rsidRDefault="00A63D9C" w:rsidP="00CE72B2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1E0"/>
      </w:tblPr>
      <w:tblGrid>
        <w:gridCol w:w="431"/>
        <w:gridCol w:w="703"/>
        <w:gridCol w:w="16"/>
        <w:gridCol w:w="8631"/>
        <w:gridCol w:w="425"/>
      </w:tblGrid>
      <w:tr w:rsidR="00A63D9C" w:rsidRPr="00BE02C7" w:rsidTr="00F82D72">
        <w:trPr>
          <w:trHeight w:val="227"/>
        </w:trPr>
        <w:tc>
          <w:tcPr>
            <w:tcW w:w="9781" w:type="dxa"/>
            <w:gridSpan w:val="4"/>
          </w:tcPr>
          <w:p w:rsidR="00A63D9C" w:rsidRPr="00BE02C7" w:rsidRDefault="00A63D9C" w:rsidP="00B0352B">
            <w:pPr>
              <w:keepNext/>
              <w:spacing w:after="0" w:line="240" w:lineRule="auto"/>
              <w:ind w:right="-25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1" w:name="_Toc158719802"/>
            <w:bookmarkStart w:id="2" w:name="_Toc158719979"/>
            <w:bookmarkStart w:id="3" w:name="_Toc158720230"/>
            <w:bookmarkStart w:id="4" w:name="_Toc160523552"/>
            <w:bookmarkStart w:id="5" w:name="_Toc160524092"/>
            <w:bookmarkStart w:id="6" w:name="_Toc161564614"/>
            <w:bookmarkStart w:id="7" w:name="_Toc161645553"/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ведение</w:t>
            </w:r>
            <w:r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…………………………………………………………………………………………………………........</w:t>
            </w:r>
          </w:p>
        </w:tc>
        <w:tc>
          <w:tcPr>
            <w:tcW w:w="425" w:type="dxa"/>
            <w:vAlign w:val="bottom"/>
          </w:tcPr>
          <w:p w:rsidR="00A63D9C" w:rsidRPr="00BE02C7" w:rsidRDefault="00F82D72" w:rsidP="00B0352B">
            <w:pPr>
              <w:keepNext/>
              <w:tabs>
                <w:tab w:val="left" w:pos="-23482"/>
                <w:tab w:val="left" w:pos="-11874"/>
              </w:tabs>
              <w:spacing w:after="0" w:line="240" w:lineRule="auto"/>
              <w:ind w:right="-108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A63D9C" w:rsidRPr="00BE02C7" w:rsidTr="00F82D72">
        <w:trPr>
          <w:trHeight w:val="983"/>
        </w:trPr>
        <w:tc>
          <w:tcPr>
            <w:tcW w:w="431" w:type="dxa"/>
          </w:tcPr>
          <w:p w:rsidR="00A63D9C" w:rsidRPr="00BE02C7" w:rsidRDefault="00A63D9C" w:rsidP="00B0352B">
            <w:pPr>
              <w:tabs>
                <w:tab w:val="right" w:leader="dot" w:pos="-2235"/>
                <w:tab w:val="left" w:pos="0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350" w:type="dxa"/>
            <w:gridSpan w:val="3"/>
          </w:tcPr>
          <w:p w:rsidR="00A63D9C" w:rsidRPr="00290C05" w:rsidRDefault="00A63D9C" w:rsidP="00B0352B">
            <w:pPr>
              <w:tabs>
                <w:tab w:val="right" w:leader="dot" w:pos="-2235"/>
                <w:tab w:val="left" w:pos="0"/>
              </w:tabs>
              <w:spacing w:after="0" w:line="360" w:lineRule="auto"/>
              <w:ind w:right="3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90C0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Теоретические основы </w:t>
            </w:r>
            <w:r w:rsidR="00F51F36" w:rsidRPr="00290C0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обеспечения</w:t>
            </w:r>
            <w:r w:rsidRPr="00290C0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экономической безопасности коммерческого банка</w:t>
            </w:r>
            <w:r w:rsidR="00F51F36" w:rsidRPr="00290C0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в условиях финансовой нестабильности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………………</w:t>
            </w:r>
            <w:r w:rsidR="00C32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425" w:type="dxa"/>
            <w:vAlign w:val="bottom"/>
          </w:tcPr>
          <w:p w:rsidR="00A63D9C" w:rsidRPr="00BE02C7" w:rsidRDefault="00F82D72" w:rsidP="00B0352B">
            <w:pPr>
              <w:tabs>
                <w:tab w:val="left" w:pos="-11874"/>
                <w:tab w:val="left" w:pos="-11732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63D9C" w:rsidRPr="00BE02C7" w:rsidTr="00F82D72">
        <w:trPr>
          <w:trHeight w:val="303"/>
        </w:trPr>
        <w:tc>
          <w:tcPr>
            <w:tcW w:w="431" w:type="dxa"/>
          </w:tcPr>
          <w:p w:rsidR="00A63D9C" w:rsidRPr="00BE02C7" w:rsidRDefault="00A63D9C" w:rsidP="00B035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A63D9C" w:rsidRPr="00BE02C7" w:rsidRDefault="00A63D9C" w:rsidP="00B0352B">
            <w:pPr>
              <w:keepNext/>
              <w:spacing w:after="0" w:line="240" w:lineRule="auto"/>
              <w:ind w:right="-249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647" w:type="dxa"/>
            <w:gridSpan w:val="2"/>
            <w:vAlign w:val="center"/>
          </w:tcPr>
          <w:p w:rsidR="00A63D9C" w:rsidRPr="00BE02C7" w:rsidRDefault="00A63D9C" w:rsidP="00B0352B">
            <w:pPr>
              <w:keepNext/>
              <w:spacing w:after="0" w:line="36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Понятие и сущность экономической безопасности</w:t>
            </w:r>
            <w:r w:rsidR="00F51F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коммерческого банка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……..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………………………………………………………………………………………………</w:t>
            </w:r>
          </w:p>
        </w:tc>
        <w:tc>
          <w:tcPr>
            <w:tcW w:w="425" w:type="dxa"/>
            <w:vAlign w:val="bottom"/>
          </w:tcPr>
          <w:p w:rsidR="00A63D9C" w:rsidRPr="00BE02C7" w:rsidRDefault="00F82D72" w:rsidP="00B0352B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63D9C" w:rsidRPr="00BE02C7" w:rsidTr="00F82D72">
        <w:trPr>
          <w:trHeight w:val="855"/>
        </w:trPr>
        <w:tc>
          <w:tcPr>
            <w:tcW w:w="431" w:type="dxa"/>
          </w:tcPr>
          <w:p w:rsidR="00A63D9C" w:rsidRPr="00BE02C7" w:rsidRDefault="00A63D9C" w:rsidP="00B035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A63D9C" w:rsidRPr="00BE02C7" w:rsidRDefault="00A63D9C" w:rsidP="00B0352B">
            <w:pPr>
              <w:keepNext/>
              <w:spacing w:after="0" w:line="240" w:lineRule="auto"/>
              <w:ind w:right="-249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647" w:type="dxa"/>
            <w:gridSpan w:val="2"/>
            <w:vAlign w:val="center"/>
          </w:tcPr>
          <w:p w:rsidR="00A63D9C" w:rsidRPr="00290C05" w:rsidRDefault="00F51F36" w:rsidP="00B0352B">
            <w:pPr>
              <w:keepNext/>
              <w:spacing w:after="0" w:line="36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Особенности и инструментарий обеспечения </w:t>
            </w:r>
            <w:r w:rsidR="00A63D9C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экономической безопасности </w:t>
            </w:r>
            <w:r w:rsidR="00A63D9C" w:rsidRPr="00290C0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коммерческого банка</w:t>
            </w:r>
            <w:r w:rsidRPr="00290C0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в условиях финансовой нестабильности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………………………………………………………………………………</w:t>
            </w:r>
            <w:r w:rsidR="00C32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425" w:type="dxa"/>
            <w:vAlign w:val="bottom"/>
          </w:tcPr>
          <w:p w:rsidR="00A63D9C" w:rsidRDefault="00A63D9C" w:rsidP="00B0352B">
            <w:pPr>
              <w:spacing w:after="0" w:line="240" w:lineRule="auto"/>
              <w:ind w:right="-12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3D9C" w:rsidRDefault="00A63D9C" w:rsidP="00B0352B">
            <w:pPr>
              <w:spacing w:after="0" w:line="240" w:lineRule="auto"/>
              <w:ind w:right="-12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3D9C" w:rsidRPr="00BE02C7" w:rsidRDefault="00F82D72" w:rsidP="00F82D72">
            <w:pPr>
              <w:spacing w:after="0" w:line="240" w:lineRule="auto"/>
              <w:ind w:left="-108" w:right="-12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A63D9C" w:rsidRPr="00BE02C7" w:rsidRDefault="00A63D9C" w:rsidP="00B0352B">
            <w:pPr>
              <w:spacing w:after="0" w:line="240" w:lineRule="auto"/>
              <w:ind w:right="-12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3D9C" w:rsidRPr="00BE02C7" w:rsidTr="00F82D72">
        <w:trPr>
          <w:trHeight w:val="984"/>
        </w:trPr>
        <w:tc>
          <w:tcPr>
            <w:tcW w:w="431" w:type="dxa"/>
          </w:tcPr>
          <w:p w:rsidR="00A63D9C" w:rsidRPr="00BE02C7" w:rsidRDefault="00A63D9C" w:rsidP="00B035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A63D9C" w:rsidRPr="00BE02C7" w:rsidRDefault="00A63D9C" w:rsidP="00B035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8647" w:type="dxa"/>
            <w:gridSpan w:val="2"/>
            <w:vAlign w:val="center"/>
          </w:tcPr>
          <w:p w:rsidR="00A63D9C" w:rsidRPr="00290C05" w:rsidRDefault="00A63D9C" w:rsidP="00B0352B">
            <w:pPr>
              <w:tabs>
                <w:tab w:val="left" w:pos="4184"/>
              </w:tabs>
              <w:spacing w:after="0" w:line="36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  <w:r w:rsidR="00F51F36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-индикаторы</w:t>
            </w:r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уровня экономической безопасности </w:t>
            </w:r>
            <w:r w:rsidRPr="00290C0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коммерческого банка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………………………………………………………………</w:t>
            </w:r>
            <w:r w:rsidR="00C32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425" w:type="dxa"/>
            <w:vAlign w:val="bottom"/>
          </w:tcPr>
          <w:p w:rsidR="00A63D9C" w:rsidRPr="007F18D0" w:rsidRDefault="00F82D72" w:rsidP="004D6CD3">
            <w:pPr>
              <w:tabs>
                <w:tab w:val="left" w:pos="176"/>
                <w:tab w:val="left" w:pos="367"/>
              </w:tabs>
              <w:spacing w:after="0" w:line="240" w:lineRule="auto"/>
              <w:ind w:left="-16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63D9C" w:rsidRPr="00BE02C7" w:rsidTr="00F82D72">
        <w:trPr>
          <w:trHeight w:val="583"/>
        </w:trPr>
        <w:tc>
          <w:tcPr>
            <w:tcW w:w="431" w:type="dxa"/>
          </w:tcPr>
          <w:p w:rsidR="00A63D9C" w:rsidRPr="00BE02C7" w:rsidRDefault="00A63D9C" w:rsidP="00B0352B">
            <w:pPr>
              <w:tabs>
                <w:tab w:val="right" w:leader="dot" w:pos="-2235"/>
                <w:tab w:val="left" w:pos="0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0" w:type="dxa"/>
            <w:gridSpan w:val="3"/>
            <w:vAlign w:val="center"/>
          </w:tcPr>
          <w:p w:rsidR="00A63D9C" w:rsidRPr="00290C05" w:rsidRDefault="00A63D9C" w:rsidP="00B0352B">
            <w:pPr>
              <w:tabs>
                <w:tab w:val="left" w:pos="4184"/>
              </w:tabs>
              <w:spacing w:after="0" w:line="360" w:lineRule="auto"/>
              <w:ind w:right="17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Анализ </w:t>
            </w:r>
            <w:r w:rsidR="00DA0B73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уровня и системы </w:t>
            </w:r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обеспечения экономической безопасности </w:t>
            </w:r>
            <w:r w:rsidR="00983F56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 </w:t>
            </w:r>
            <w:r w:rsidR="00983F56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983F56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Газпромбанк</w:t>
            </w:r>
            <w:proofErr w:type="spellEnd"/>
            <w:r w:rsidR="00983F56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983F56" w:rsidRPr="00290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….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</w:t>
            </w:r>
            <w:r w:rsidR="00B131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……………………………………………………………………</w:t>
            </w:r>
            <w:r w:rsidR="00C32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vAlign w:val="bottom"/>
          </w:tcPr>
          <w:p w:rsidR="00A63D9C" w:rsidRPr="00BE02C7" w:rsidRDefault="00F82D72" w:rsidP="004D6CD3">
            <w:pPr>
              <w:spacing w:after="0" w:line="240" w:lineRule="auto"/>
              <w:ind w:right="-1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3D9C" w:rsidRPr="00BE02C7" w:rsidTr="00F82D72">
        <w:trPr>
          <w:trHeight w:val="241"/>
        </w:trPr>
        <w:tc>
          <w:tcPr>
            <w:tcW w:w="431" w:type="dxa"/>
          </w:tcPr>
          <w:p w:rsidR="00A63D9C" w:rsidRPr="00BE02C7" w:rsidRDefault="00A63D9C" w:rsidP="00B035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8" w:name="_Hlk154769662"/>
          </w:p>
        </w:tc>
        <w:tc>
          <w:tcPr>
            <w:tcW w:w="703" w:type="dxa"/>
          </w:tcPr>
          <w:p w:rsidR="00A63D9C" w:rsidRPr="00BE02C7" w:rsidRDefault="00A63D9C" w:rsidP="00B035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2C7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47" w:type="dxa"/>
            <w:gridSpan w:val="2"/>
            <w:vAlign w:val="center"/>
          </w:tcPr>
          <w:p w:rsidR="00A63D9C" w:rsidRPr="00BE02C7" w:rsidRDefault="00A63D9C" w:rsidP="00B0352B">
            <w:pPr>
              <w:tabs>
                <w:tab w:val="left" w:pos="41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Организационно-экономическая характеристика </w:t>
            </w:r>
            <w:r w:rsidR="00983F56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АО «</w:t>
            </w:r>
            <w:proofErr w:type="spellStart"/>
            <w:r w:rsidR="00983F56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Газпромбанк</w:t>
            </w:r>
            <w:proofErr w:type="spellEnd"/>
            <w:r w:rsidR="00983F56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8F0331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3B7C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его места в банковской системе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………………………………………………</w:t>
            </w:r>
            <w:r w:rsidR="00C32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</w:t>
            </w:r>
            <w:r w:rsidR="00B131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</w:t>
            </w:r>
            <w:r w:rsidR="00C32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425" w:type="dxa"/>
            <w:vAlign w:val="bottom"/>
          </w:tcPr>
          <w:p w:rsidR="00A63D9C" w:rsidRPr="00BE02C7" w:rsidRDefault="00F82D72" w:rsidP="004D6CD3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3D9C" w:rsidRPr="00BE02C7" w:rsidTr="00F82D72">
        <w:trPr>
          <w:trHeight w:val="220"/>
        </w:trPr>
        <w:tc>
          <w:tcPr>
            <w:tcW w:w="431" w:type="dxa"/>
          </w:tcPr>
          <w:p w:rsidR="00A63D9C" w:rsidRPr="00BE02C7" w:rsidRDefault="00A63D9C" w:rsidP="00B035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_Hlk154751373"/>
          </w:p>
        </w:tc>
        <w:tc>
          <w:tcPr>
            <w:tcW w:w="703" w:type="dxa"/>
          </w:tcPr>
          <w:p w:rsidR="00A63D9C" w:rsidRPr="00BE02C7" w:rsidRDefault="00A63D9C" w:rsidP="00B0352B">
            <w:pPr>
              <w:keepNext/>
              <w:spacing w:after="0" w:line="240" w:lineRule="auto"/>
              <w:ind w:right="-250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647" w:type="dxa"/>
            <w:gridSpan w:val="2"/>
            <w:vAlign w:val="center"/>
          </w:tcPr>
          <w:p w:rsidR="00A63D9C" w:rsidRPr="00BE02C7" w:rsidRDefault="00A63D9C" w:rsidP="00B1313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оценка основных показателей </w:t>
            </w:r>
            <w:r w:rsidR="001A69DD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уровня </w:t>
            </w:r>
            <w:r w:rsidR="00DA0B73"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экономической безопасности</w:t>
            </w:r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83F56"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 w:rsidR="00983F56"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Газпромбанк</w:t>
            </w:r>
            <w:proofErr w:type="spellEnd"/>
            <w:r w:rsidR="00983F56"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</w:t>
            </w:r>
            <w:r w:rsidR="00B13135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…….</w:t>
            </w:r>
            <w:r w:rsidRPr="00BE02C7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r w:rsidRPr="00BE02C7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r w:rsidR="00983F56" w:rsidRPr="00BE02C7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  <w:r w:rsidR="00B13135">
              <w:rPr>
                <w:rFonts w:ascii="Times New Roman" w:eastAsia="Calibri" w:hAnsi="Times New Roman" w:cs="Times New Roman"/>
                <w:sz w:val="20"/>
                <w:szCs w:val="20"/>
              </w:rPr>
              <w:t>………….</w:t>
            </w:r>
            <w:r w:rsidRPr="00BE02C7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425" w:type="dxa"/>
            <w:vAlign w:val="bottom"/>
          </w:tcPr>
          <w:p w:rsidR="00A63D9C" w:rsidRPr="007F18D0" w:rsidRDefault="00F82D72" w:rsidP="00636715">
            <w:pPr>
              <w:spacing w:after="0" w:line="240" w:lineRule="auto"/>
              <w:ind w:right="-12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367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bookmarkEnd w:id="9"/>
      <w:tr w:rsidR="00A63D9C" w:rsidRPr="00BE02C7" w:rsidTr="00F82D72">
        <w:trPr>
          <w:trHeight w:val="425"/>
        </w:trPr>
        <w:tc>
          <w:tcPr>
            <w:tcW w:w="431" w:type="dxa"/>
          </w:tcPr>
          <w:p w:rsidR="00A63D9C" w:rsidRPr="00BE02C7" w:rsidRDefault="00A63D9C" w:rsidP="00B035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A63D9C" w:rsidRPr="00BE02C7" w:rsidRDefault="00A63D9C" w:rsidP="00B035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647" w:type="dxa"/>
            <w:gridSpan w:val="2"/>
            <w:vAlign w:val="center"/>
          </w:tcPr>
          <w:p w:rsidR="00A63D9C" w:rsidRPr="00290C05" w:rsidRDefault="00DA0B73" w:rsidP="00B0352B">
            <w:pPr>
              <w:tabs>
                <w:tab w:val="left" w:pos="4184"/>
              </w:tabs>
              <w:spacing w:after="0" w:line="36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 механизма и инструментария обеспечения экономической безопасности АО «</w:t>
            </w:r>
            <w:proofErr w:type="spellStart"/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Газпромбанк</w:t>
            </w:r>
            <w:proofErr w:type="spellEnd"/>
            <w:r w:rsidRPr="00290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в современных условиях</w:t>
            </w:r>
            <w:r w:rsidR="00A63D9C" w:rsidRPr="00290C0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………………………………………………………………………………………………</w:t>
            </w:r>
          </w:p>
        </w:tc>
        <w:tc>
          <w:tcPr>
            <w:tcW w:w="425" w:type="dxa"/>
            <w:vAlign w:val="bottom"/>
          </w:tcPr>
          <w:p w:rsidR="00A63D9C" w:rsidRPr="007F18D0" w:rsidRDefault="004D6CD3" w:rsidP="004D6CD3">
            <w:pPr>
              <w:tabs>
                <w:tab w:val="left" w:pos="180"/>
                <w:tab w:val="left" w:pos="367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41</w:t>
            </w:r>
          </w:p>
        </w:tc>
      </w:tr>
      <w:bookmarkEnd w:id="8"/>
      <w:tr w:rsidR="00A63D9C" w:rsidRPr="00BE02C7" w:rsidTr="00F82D72">
        <w:trPr>
          <w:trHeight w:val="749"/>
        </w:trPr>
        <w:tc>
          <w:tcPr>
            <w:tcW w:w="431" w:type="dxa"/>
          </w:tcPr>
          <w:p w:rsidR="00A63D9C" w:rsidRPr="00BE02C7" w:rsidRDefault="00A63D9C" w:rsidP="00B0352B">
            <w:pPr>
              <w:tabs>
                <w:tab w:val="right" w:leader="dot" w:pos="-2235"/>
                <w:tab w:val="left" w:pos="0"/>
              </w:tabs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0" w:type="dxa"/>
            <w:gridSpan w:val="3"/>
            <w:vAlign w:val="center"/>
          </w:tcPr>
          <w:p w:rsidR="00A63D9C" w:rsidRPr="00983F56" w:rsidRDefault="00983F56" w:rsidP="00B13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ения экономической безопасности </w:t>
            </w:r>
            <w:r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Газпромбанк</w:t>
            </w:r>
            <w:proofErr w:type="spellEnd"/>
            <w:r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финансовой нестабильности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  <w:r w:rsidR="00B13135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25" w:type="dxa"/>
            <w:vAlign w:val="bottom"/>
          </w:tcPr>
          <w:p w:rsidR="00A63D9C" w:rsidRPr="007F18D0" w:rsidRDefault="00F82D72" w:rsidP="004D6CD3">
            <w:pPr>
              <w:tabs>
                <w:tab w:val="left" w:pos="367"/>
                <w:tab w:val="left" w:pos="513"/>
              </w:tabs>
              <w:spacing w:after="0" w:line="240" w:lineRule="auto"/>
              <w:ind w:left="-10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3D9C" w:rsidRPr="00BE02C7" w:rsidTr="00F82D72">
        <w:trPr>
          <w:trHeight w:val="273"/>
        </w:trPr>
        <w:tc>
          <w:tcPr>
            <w:tcW w:w="431" w:type="dxa"/>
          </w:tcPr>
          <w:p w:rsidR="00A63D9C" w:rsidRPr="00BE02C7" w:rsidRDefault="00A63D9C" w:rsidP="00B035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A63D9C" w:rsidRPr="00BE02C7" w:rsidRDefault="00A63D9C" w:rsidP="00B0352B">
            <w:pPr>
              <w:keepNext/>
              <w:spacing w:after="0" w:line="240" w:lineRule="auto"/>
              <w:ind w:right="-250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0" w:name="_Toc158719819"/>
            <w:bookmarkStart w:id="11" w:name="_Toc158719996"/>
            <w:bookmarkStart w:id="12" w:name="_Toc158720247"/>
            <w:bookmarkStart w:id="13" w:name="_Toc160523569"/>
            <w:bookmarkStart w:id="14" w:name="_Toc160524109"/>
            <w:bookmarkStart w:id="15" w:name="_Toc161564631"/>
            <w:bookmarkStart w:id="16" w:name="_Toc161645570"/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3.1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8631" w:type="dxa"/>
            <w:vAlign w:val="center"/>
          </w:tcPr>
          <w:p w:rsidR="00A63D9C" w:rsidRPr="00C329B9" w:rsidRDefault="00A63D9C" w:rsidP="00B0352B">
            <w:pPr>
              <w:tabs>
                <w:tab w:val="left" w:pos="4184"/>
              </w:tabs>
              <w:spacing w:after="0" w:line="360" w:lineRule="auto"/>
              <w:ind w:right="-10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Основные мероприятия по </w:t>
            </w:r>
            <w:r w:rsidR="00DA0B73"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нейтрализации угроз и </w:t>
            </w:r>
            <w:r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повышению уровня </w:t>
            </w:r>
            <w:r w:rsidR="00983F56"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экономической безопасности</w:t>
            </w:r>
            <w:r w:rsidR="00DA0B73"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АО «</w:t>
            </w:r>
            <w:proofErr w:type="spellStart"/>
            <w:r w:rsidR="00DA0B73"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Газпромбанк</w:t>
            </w:r>
            <w:proofErr w:type="spellEnd"/>
            <w:r w:rsidR="00DA0B73"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………………………………</w:t>
            </w:r>
          </w:p>
        </w:tc>
        <w:tc>
          <w:tcPr>
            <w:tcW w:w="425" w:type="dxa"/>
            <w:vAlign w:val="bottom"/>
          </w:tcPr>
          <w:p w:rsidR="00A63D9C" w:rsidRPr="00BE02C7" w:rsidRDefault="00F82D72" w:rsidP="004D6CD3">
            <w:pPr>
              <w:tabs>
                <w:tab w:val="left" w:pos="180"/>
                <w:tab w:val="left" w:pos="367"/>
              </w:tabs>
              <w:spacing w:after="0" w:line="240" w:lineRule="auto"/>
              <w:ind w:left="-2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3D9C" w:rsidRPr="00BE02C7" w:rsidTr="00F82D72">
        <w:trPr>
          <w:trHeight w:val="132"/>
        </w:trPr>
        <w:tc>
          <w:tcPr>
            <w:tcW w:w="431" w:type="dxa"/>
          </w:tcPr>
          <w:p w:rsidR="00A63D9C" w:rsidRPr="00BE02C7" w:rsidRDefault="00A63D9C" w:rsidP="00B035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A63D9C" w:rsidRPr="00BE02C7" w:rsidRDefault="00A63D9C" w:rsidP="00B0352B">
            <w:pPr>
              <w:keepNext/>
              <w:spacing w:after="0" w:line="240" w:lineRule="auto"/>
              <w:ind w:right="-250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631" w:type="dxa"/>
            <w:vAlign w:val="center"/>
          </w:tcPr>
          <w:p w:rsidR="00A63D9C" w:rsidRPr="00C329B9" w:rsidRDefault="00DA0B73" w:rsidP="00B0352B">
            <w:pPr>
              <w:numPr>
                <w:ilvl w:val="0"/>
                <w:numId w:val="1"/>
              </w:numPr>
              <w:tabs>
                <w:tab w:val="left" w:pos="4184"/>
              </w:tabs>
              <w:spacing w:after="0" w:line="360" w:lineRule="auto"/>
              <w:ind w:left="0" w:right="-109" w:hanging="35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э</w:t>
            </w:r>
            <w:r w:rsidR="00A63D9C"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кономическ</w:t>
            </w:r>
            <w:r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="00A63D9C"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эффективност</w:t>
            </w:r>
            <w:r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A63D9C"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 предлагаемых</w:t>
            </w:r>
            <w:r w:rsidR="00A63D9C" w:rsidRPr="00C3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мероприятий</w:t>
            </w:r>
            <w:r w:rsidR="00C329B9"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………………………………………………………………………………</w:t>
            </w:r>
            <w:r w:rsidR="00C32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425" w:type="dxa"/>
            <w:vAlign w:val="bottom"/>
          </w:tcPr>
          <w:p w:rsidR="00A63D9C" w:rsidRPr="007F18D0" w:rsidRDefault="00F82D72" w:rsidP="004D6CD3">
            <w:pPr>
              <w:tabs>
                <w:tab w:val="left" w:pos="180"/>
                <w:tab w:val="left" w:pos="367"/>
              </w:tabs>
              <w:spacing w:after="0" w:line="240" w:lineRule="auto"/>
              <w:ind w:left="-2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63D9C" w:rsidRPr="00BE02C7" w:rsidTr="00F82D72">
        <w:trPr>
          <w:trHeight w:val="440"/>
        </w:trPr>
        <w:tc>
          <w:tcPr>
            <w:tcW w:w="9781" w:type="dxa"/>
            <w:gridSpan w:val="4"/>
          </w:tcPr>
          <w:p w:rsidR="00A63D9C" w:rsidRPr="00BE02C7" w:rsidRDefault="00A63D9C" w:rsidP="00B0352B">
            <w:pPr>
              <w:keepNext/>
              <w:spacing w:before="120" w:after="0" w:line="240" w:lineRule="auto"/>
              <w:ind w:right="-249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Заключение</w:t>
            </w:r>
            <w:r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……………………………………………………………………………………………………............</w:t>
            </w:r>
          </w:p>
        </w:tc>
        <w:tc>
          <w:tcPr>
            <w:tcW w:w="425" w:type="dxa"/>
            <w:vAlign w:val="bottom"/>
          </w:tcPr>
          <w:p w:rsidR="00A63D9C" w:rsidRPr="00AD02AF" w:rsidRDefault="00F82D72" w:rsidP="004D6CD3">
            <w:pPr>
              <w:tabs>
                <w:tab w:val="left" w:pos="-216"/>
                <w:tab w:val="left" w:pos="367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C2B3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63D9C" w:rsidRPr="00BE02C7" w:rsidTr="00F82D72">
        <w:trPr>
          <w:trHeight w:val="440"/>
        </w:trPr>
        <w:tc>
          <w:tcPr>
            <w:tcW w:w="9781" w:type="dxa"/>
            <w:gridSpan w:val="4"/>
          </w:tcPr>
          <w:p w:rsidR="00A63D9C" w:rsidRPr="00BE02C7" w:rsidRDefault="00A63D9C" w:rsidP="00B0352B">
            <w:pPr>
              <w:keepNext/>
              <w:spacing w:before="120" w:after="0" w:line="240" w:lineRule="auto"/>
              <w:ind w:right="-249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Список использованных источников</w:t>
            </w:r>
            <w:r w:rsidRPr="00BE02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………….........................................................................................</w:t>
            </w:r>
          </w:p>
        </w:tc>
        <w:tc>
          <w:tcPr>
            <w:tcW w:w="425" w:type="dxa"/>
            <w:vAlign w:val="bottom"/>
          </w:tcPr>
          <w:p w:rsidR="00A63D9C" w:rsidRPr="00AD02AF" w:rsidRDefault="00F82D72" w:rsidP="004D6CD3">
            <w:pPr>
              <w:tabs>
                <w:tab w:val="left" w:pos="-216"/>
                <w:tab w:val="left" w:pos="367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63D9C" w:rsidRPr="00BE02C7" w:rsidTr="00F82D72">
        <w:trPr>
          <w:trHeight w:val="440"/>
        </w:trPr>
        <w:tc>
          <w:tcPr>
            <w:tcW w:w="9781" w:type="dxa"/>
            <w:gridSpan w:val="4"/>
          </w:tcPr>
          <w:p w:rsidR="00A63D9C" w:rsidRPr="00BE02C7" w:rsidRDefault="00A63D9C" w:rsidP="00B0352B">
            <w:pPr>
              <w:keepNext/>
              <w:spacing w:before="120" w:after="0" w:line="240" w:lineRule="auto"/>
              <w:ind w:right="-249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Приложение</w:t>
            </w:r>
            <w:proofErr w:type="gramStart"/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E02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D02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Бухгалтерская (финансовая) отчетность </w:t>
            </w:r>
            <w:r w:rsidR="00983F56"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 w:rsidR="00983F56"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Газпромбанк</w:t>
            </w:r>
            <w:proofErr w:type="spellEnd"/>
            <w:r w:rsidR="00983F56" w:rsidRPr="00983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83F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5" w:type="dxa"/>
            <w:vAlign w:val="bottom"/>
          </w:tcPr>
          <w:p w:rsidR="00A63D9C" w:rsidRPr="00BE02C7" w:rsidRDefault="008C2B33" w:rsidP="004D6CD3">
            <w:pPr>
              <w:tabs>
                <w:tab w:val="left" w:pos="-216"/>
                <w:tab w:val="left" w:pos="367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D6CD3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</w:tbl>
    <w:p w:rsidR="00C329B9" w:rsidRDefault="00C329B9">
      <w:pPr>
        <w:rPr>
          <w:rFonts w:ascii="Times New Roman" w:hAnsi="Times New Roman" w:cs="Times New Roman"/>
          <w:sz w:val="28"/>
          <w:szCs w:val="28"/>
        </w:rPr>
      </w:pPr>
    </w:p>
    <w:p w:rsidR="00C329B9" w:rsidRPr="00C364CE" w:rsidRDefault="00C329B9" w:rsidP="00C329B9">
      <w:pPr>
        <w:spacing w:after="0" w:line="360" w:lineRule="auto"/>
        <w:jc w:val="center"/>
        <w:outlineLvl w:val="0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C364CE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Введение</w:t>
      </w:r>
    </w:p>
    <w:p w:rsidR="00C329B9" w:rsidRDefault="00C329B9" w:rsidP="00C32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07F" w:rsidRDefault="00BA5124" w:rsidP="00C32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 исследования заключается в том, что банковская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центр финансово-кредитной системы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которой нацелена</w:t>
      </w:r>
      <w:r w:rsidR="00F07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BA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эффективную трансформацию сбережений и временно свободных денежных средств в инвестиции, обеспечение конкурентоспособности российской экономики и ее финансового суверенитета. Она также </w:t>
      </w:r>
      <w:r w:rsidR="0099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отношение к различным в своем роде угрозам и рискам, к формированию благоприятных факторов и условий целесообразного расходования ресурсов, к преувеличению потока клиентов, к росту прибыли, к возврату выданных ссуд.</w:t>
      </w:r>
    </w:p>
    <w:p w:rsidR="00C329B9" w:rsidRDefault="00BA5124" w:rsidP="00C329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банками своих функций разрушает экономические связи и создает угрозы экономической безопасности государства, способно дестабилизировать экономическую и политическую ситуацию в нем. В условиях современной международной обстановки устойчивость банковской системы и входящих в нее банков является ключевым условием национальной экономической безопасности. Санкции и нестабильность на финансовых рынках повышает значимость внутренних источников инвестиций и, прежде всего, ресурсов банковского сектора. Сложившаяся ситуация требует от банков глубокого анализа внешней и внутренней среды, поиска действенных мер по поддержанию своей экономической безопасности. В этой связи тема выпускной квалификационной работы представляется важной и нужной.</w:t>
      </w:r>
    </w:p>
    <w:p w:rsidR="00C329B9" w:rsidRDefault="00BA5124" w:rsidP="00C329B9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данной работы – на основе исследования теоретических вопросов темы и анализа практики выявить факторы и угрозы экономической безопасности коммерческого банка в условиях финансовой нестабильности и разработать рекомендации по ее укреплению.</w:t>
      </w:r>
    </w:p>
    <w:p w:rsidR="00C329B9" w:rsidRPr="0064087D" w:rsidRDefault="00BA5124" w:rsidP="00C32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</w:t>
      </w:r>
      <w:r w:rsidR="00C329B9" w:rsidRPr="0064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решение следующих задач:</w:t>
      </w:r>
    </w:p>
    <w:p w:rsidR="00C329B9" w:rsidRPr="0064087D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раскрыть </w:t>
      </w:r>
      <w:r w:rsidR="004601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понятие и сущность экономической безопасности коммерческого банка</w:t>
      </w:r>
      <w:r w:rsidRPr="0064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29B9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изучить </w:t>
      </w:r>
      <w:r w:rsidR="00460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60130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собенности и инструментарий обеспечения экономической безопасности </w:t>
      </w:r>
      <w:r w:rsidR="00460130" w:rsidRPr="00290C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коммерческого банка в условиях финансовой нестабильности</w:t>
      </w:r>
      <w:r w:rsidRPr="0064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29B9" w:rsidRPr="0064087D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рассмотреть </w:t>
      </w:r>
      <w:r w:rsidR="00460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60130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оказатели-индикаторы уровня экономической безопасности </w:t>
      </w:r>
      <w:r w:rsidR="00460130" w:rsidRPr="00290C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коммерческого 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9B9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0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</w:t>
      </w:r>
      <w:r w:rsidR="00B0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0352B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рганизационно-экономическ</w:t>
      </w:r>
      <w:r w:rsidR="00B0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B0352B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характеристик</w:t>
      </w:r>
      <w:r w:rsidR="00B0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3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АО «</w:t>
      </w:r>
      <w:proofErr w:type="spellStart"/>
      <w:r w:rsidR="0003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Газпромбанк</w:t>
      </w:r>
      <w:proofErr w:type="spellEnd"/>
      <w:r w:rsidR="0003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0352B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 места в банковской 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29B9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0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B0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дать оценку основных показателей </w:t>
      </w:r>
      <w:r w:rsidR="00B0352B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уровня экономической безопасности </w:t>
      </w:r>
      <w:r w:rsidR="00B0352B" w:rsidRPr="0098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</w:t>
      </w:r>
      <w:proofErr w:type="spellStart"/>
      <w:r w:rsidR="00B0352B" w:rsidRPr="0098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Газпромбанк</w:t>
      </w:r>
      <w:proofErr w:type="spellEnd"/>
      <w:r w:rsidR="00B0352B" w:rsidRPr="0098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9B9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0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исследовать</w:t>
      </w:r>
      <w:r w:rsidR="00B0352B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механизм и инструментари</w:t>
      </w:r>
      <w:r w:rsidR="00B0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B0352B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обеспечения экономической безопасности АО «</w:t>
      </w:r>
      <w:proofErr w:type="spellStart"/>
      <w:r w:rsidR="00B0352B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Газпромбанк</w:t>
      </w:r>
      <w:proofErr w:type="spellEnd"/>
      <w:r w:rsidR="00B0352B" w:rsidRPr="0029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современных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9B9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B0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0352B" w:rsidRPr="00C3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сновные мероприятия по нейтрализации угроз и повышению уровня экономической безопасности АО «</w:t>
      </w:r>
      <w:proofErr w:type="spellStart"/>
      <w:r w:rsidR="00B0352B" w:rsidRPr="00C3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Газпромбанк</w:t>
      </w:r>
      <w:proofErr w:type="spellEnd"/>
      <w:r w:rsidR="00B0352B" w:rsidRPr="00C3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9B9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0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</w:t>
      </w:r>
      <w:r w:rsidR="00B0352B" w:rsidRPr="00C3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</w:t>
      </w:r>
      <w:r w:rsidR="00B0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B0352B" w:rsidRPr="00C3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</w:t>
      </w:r>
      <w:r w:rsidR="00B0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B0352B" w:rsidRPr="00C3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предлагаемых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9B9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исследования является </w:t>
      </w:r>
      <w:r w:rsidR="00B0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0352B" w:rsidRPr="00C3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</w:t>
      </w:r>
      <w:proofErr w:type="spellStart"/>
      <w:r w:rsidR="00B0352B" w:rsidRPr="00C3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Газпромбанк</w:t>
      </w:r>
      <w:proofErr w:type="spellEnd"/>
      <w:r w:rsidR="00B0352B" w:rsidRPr="00C32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0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финансовой нестабильности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329B9" w:rsidRDefault="00C329B9" w:rsidP="00C329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исследования являются экономические отношения, складывающиеся по поводу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0352B" w:rsidRPr="00BA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B0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0352B" w:rsidRPr="00BA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экономической безопасности </w:t>
      </w:r>
      <w:r w:rsidR="00B0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коммерческого банка в условиях финансовой нестабильности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124" w:rsidRPr="00BA5124" w:rsidRDefault="00BA5124" w:rsidP="00BA5124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Теоретико-методологической основой исследования выступают труды ученых, посвященные вопросам экономической безопасности коммерческих банков.</w:t>
      </w:r>
    </w:p>
    <w:p w:rsidR="00C329B9" w:rsidRDefault="00BA5124" w:rsidP="00BA5124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 базой послужили законы и нормативные акты РФ, нормативные документы Банка России.</w:t>
      </w:r>
    </w:p>
    <w:p w:rsidR="00BA5124" w:rsidRPr="00BA5124" w:rsidRDefault="00BA5124" w:rsidP="00BA5124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A51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Информационная база работы </w:t>
      </w:r>
      <w:r w:rsidRPr="00BA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 результатами исследований ведущих отечественных ученых и практиков, посвященны</w:t>
      </w:r>
      <w:r w:rsidR="005B18D6" w:rsidRPr="006C6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B1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экономической безопасности банков в </w:t>
      </w:r>
      <w:r w:rsidRPr="00BA51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период финансовой нестабильности, информационными материалами Банка России, публичной финансовой отчетностью АО «</w:t>
      </w:r>
      <w:proofErr w:type="spellStart"/>
      <w:r w:rsidRPr="00BA51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Газпромбанк</w:t>
      </w:r>
      <w:proofErr w:type="spellEnd"/>
      <w:r w:rsidRPr="00BA51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BA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Интернет-ресурсами.</w:t>
      </w:r>
    </w:p>
    <w:p w:rsidR="00BA5124" w:rsidRPr="00BA5124" w:rsidRDefault="00BA5124" w:rsidP="00BA51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выполнении </w:t>
      </w:r>
      <w:r w:rsidRPr="00BA51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выпускной квалификационной работы </w:t>
      </w:r>
      <w:r w:rsidRPr="00BA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применялись методы научного исследования: анализ, причинно-следственные методы, сравнение, дедукция, графической интерпретации изученной информации, аналогии, прогнозирования.</w:t>
      </w:r>
    </w:p>
    <w:p w:rsidR="00BA5124" w:rsidRPr="00BA5124" w:rsidRDefault="00BA5124" w:rsidP="00BA51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состоит из введения, трех глав (8 параграфов), заключения, списка использованных источников.</w:t>
      </w:r>
    </w:p>
    <w:p w:rsidR="00C329B9" w:rsidRDefault="00C329B9" w:rsidP="00C32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29B9" w:rsidRDefault="00C329B9" w:rsidP="00C329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B0352B" w:rsidRPr="00B0352B">
        <w:rPr>
          <w:rFonts w:ascii="Times New Roman" w:hAnsi="Times New Roman" w:cs="Times New Roman"/>
          <w:b/>
          <w:sz w:val="28"/>
          <w:szCs w:val="28"/>
        </w:rPr>
        <w:t>Теоретические основы обеспечения экономической безопасности коммерческого банка в условиях финансовой нестабильности</w:t>
      </w:r>
    </w:p>
    <w:p w:rsidR="00C329B9" w:rsidRPr="003C2EF7" w:rsidRDefault="00C329B9" w:rsidP="00C329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9B9" w:rsidRPr="003C2EF7" w:rsidRDefault="00C329B9" w:rsidP="00C329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F7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B0352B" w:rsidRPr="00B0352B">
        <w:rPr>
          <w:rFonts w:ascii="Times New Roman" w:hAnsi="Times New Roman" w:cs="Times New Roman"/>
          <w:b/>
          <w:sz w:val="28"/>
          <w:szCs w:val="28"/>
        </w:rPr>
        <w:t>Понятие и сущность экономической безопасности коммерческого банка</w:t>
      </w:r>
    </w:p>
    <w:p w:rsidR="00C329B9" w:rsidRPr="003C2EF7" w:rsidRDefault="00C329B9" w:rsidP="00C329B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9B9" w:rsidRDefault="00D94A63" w:rsidP="009920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A63">
        <w:rPr>
          <w:rFonts w:ascii="Times New Roman" w:hAnsi="Times New Roman" w:cs="Times New Roman"/>
          <w:sz w:val="28"/>
          <w:szCs w:val="28"/>
        </w:rPr>
        <w:t xml:space="preserve">Банковская система играет важнейшую роль в современной рыночной экономике. Каждое изменение, которое претерпевает эта система, так или </w:t>
      </w:r>
      <w:proofErr w:type="gramStart"/>
      <w:r w:rsidRPr="00D94A63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D94A63">
        <w:rPr>
          <w:rFonts w:ascii="Times New Roman" w:hAnsi="Times New Roman" w:cs="Times New Roman"/>
          <w:sz w:val="28"/>
          <w:szCs w:val="28"/>
        </w:rPr>
        <w:t xml:space="preserve"> влияет на экономику в целом. </w:t>
      </w:r>
      <w:r w:rsidR="0099207F">
        <w:rPr>
          <w:rFonts w:ascii="Times New Roman" w:hAnsi="Times New Roman" w:cs="Times New Roman"/>
          <w:sz w:val="28"/>
          <w:szCs w:val="28"/>
        </w:rPr>
        <w:t xml:space="preserve">Для развития нашей страны крайне важно, чтобы банковская сфера характеризовалась стабильностью, а также могла </w:t>
      </w:r>
      <w:proofErr w:type="gramStart"/>
      <w:r w:rsidR="0099207F">
        <w:rPr>
          <w:rFonts w:ascii="Times New Roman" w:hAnsi="Times New Roman" w:cs="Times New Roman"/>
          <w:sz w:val="28"/>
          <w:szCs w:val="28"/>
        </w:rPr>
        <w:t>адаптироваться под различные условия</w:t>
      </w:r>
      <w:proofErr w:type="gramEnd"/>
      <w:r w:rsidR="0099207F">
        <w:rPr>
          <w:rFonts w:ascii="Times New Roman" w:hAnsi="Times New Roman" w:cs="Times New Roman"/>
          <w:sz w:val="28"/>
          <w:szCs w:val="28"/>
        </w:rPr>
        <w:t xml:space="preserve"> макроэкономики</w:t>
      </w:r>
      <w:r w:rsidRPr="00D94A63">
        <w:rPr>
          <w:rFonts w:ascii="Times New Roman" w:hAnsi="Times New Roman" w:cs="Times New Roman"/>
          <w:sz w:val="28"/>
          <w:szCs w:val="28"/>
        </w:rPr>
        <w:t xml:space="preserve">. </w:t>
      </w:r>
      <w:r w:rsidR="00BA5124" w:rsidRPr="00BA5124">
        <w:rPr>
          <w:rFonts w:ascii="Times New Roman" w:hAnsi="Times New Roman" w:cs="Times New Roman"/>
          <w:sz w:val="28"/>
          <w:szCs w:val="28"/>
        </w:rPr>
        <w:t>В то же время банковский сектор, как и другие сектора экономики, подвержен многочисленным угрозам и поэтому является наиболее жестко регулируемым сектором в большинстве стран с целью обеспечения его экономической безопасности и устойчивости.</w:t>
      </w:r>
    </w:p>
    <w:p w:rsidR="00D94A63" w:rsidRDefault="00BA5124" w:rsidP="00B03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124">
        <w:rPr>
          <w:rFonts w:ascii="Times New Roman" w:hAnsi="Times New Roman" w:cs="Times New Roman"/>
          <w:sz w:val="28"/>
          <w:szCs w:val="28"/>
        </w:rPr>
        <w:t>Рассмотрим понятие «экономической безопасности коммерческого банка». Формулировки, данные российскими учеными представлены в таблице 1.</w:t>
      </w:r>
    </w:p>
    <w:p w:rsidR="00D94A63" w:rsidRDefault="00D94A63" w:rsidP="00B03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A63" w:rsidRDefault="00D94A63" w:rsidP="00D9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Понятие «экономическая безопасность коммерческого банка (составлено автором по материалам </w:t>
      </w:r>
      <w:r w:rsidRPr="000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5B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2, 7, </w:t>
      </w:r>
      <w:r w:rsidR="00F8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0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7"/>
        <w:tblW w:w="9599" w:type="dxa"/>
        <w:tblInd w:w="108" w:type="dxa"/>
        <w:tblLayout w:type="fixed"/>
        <w:tblLook w:val="04A0"/>
      </w:tblPr>
      <w:tblGrid>
        <w:gridCol w:w="2244"/>
        <w:gridCol w:w="7355"/>
      </w:tblGrid>
      <w:tr w:rsidR="00D94A63" w:rsidRPr="0099207F" w:rsidTr="006C6CB5">
        <w:trPr>
          <w:trHeight w:val="809"/>
        </w:trPr>
        <w:tc>
          <w:tcPr>
            <w:tcW w:w="2244" w:type="dxa"/>
          </w:tcPr>
          <w:p w:rsidR="00B5295B" w:rsidRDefault="00B5295B" w:rsidP="002E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63" w:rsidRPr="0099207F" w:rsidRDefault="00D94A63" w:rsidP="002E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355" w:type="dxa"/>
          </w:tcPr>
          <w:p w:rsidR="00B5295B" w:rsidRDefault="00B5295B" w:rsidP="002E2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A63" w:rsidRPr="0099207F" w:rsidRDefault="00D94A63" w:rsidP="002E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B18D6" w:rsidRPr="00992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одержание</w:t>
            </w: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</w:t>
            </w:r>
          </w:p>
        </w:tc>
      </w:tr>
      <w:tr w:rsidR="00D94A63" w:rsidRPr="0099207F" w:rsidTr="00B5295B">
        <w:trPr>
          <w:trHeight w:val="1968"/>
        </w:trPr>
        <w:tc>
          <w:tcPr>
            <w:tcW w:w="2244" w:type="dxa"/>
          </w:tcPr>
          <w:p w:rsidR="00D94A63" w:rsidRPr="0099207F" w:rsidRDefault="00D94A63" w:rsidP="00D94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Мамаева Л.Н.</w:t>
            </w:r>
          </w:p>
        </w:tc>
        <w:tc>
          <w:tcPr>
            <w:tcW w:w="7355" w:type="dxa"/>
          </w:tcPr>
          <w:p w:rsidR="00D94A63" w:rsidRPr="0099207F" w:rsidRDefault="0099207F" w:rsidP="00F8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применение денежных средств наиболее рационально, чтобы смочь предотвратить негативные ситуации и угрозы банковской сфере. Также это понятие включает в себя укрепление и совершенствование функционирования банковских организаций</w:t>
            </w:r>
            <w:r w:rsidR="00D94A63"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F82D72" w:rsidRPr="0099207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94A63" w:rsidRPr="0099207F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</w:tr>
      <w:tr w:rsidR="00D94A63" w:rsidRPr="0099207F" w:rsidTr="00B5295B">
        <w:trPr>
          <w:trHeight w:val="1274"/>
        </w:trPr>
        <w:tc>
          <w:tcPr>
            <w:tcW w:w="2244" w:type="dxa"/>
          </w:tcPr>
          <w:p w:rsidR="00D94A63" w:rsidRPr="0099207F" w:rsidRDefault="00D94A63" w:rsidP="002E2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Бикташева</w:t>
            </w:r>
            <w:proofErr w:type="spellEnd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7355" w:type="dxa"/>
          </w:tcPr>
          <w:p w:rsidR="00D94A63" w:rsidRPr="0099207F" w:rsidRDefault="00D94A63" w:rsidP="00F8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это такое состояние коммерческого банка, которое характеризуется некоторыми отклонениями, связанными с влиянием внутренней и внешней сред. [</w:t>
            </w:r>
            <w:r w:rsidR="00F82D72" w:rsidRPr="00992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</w:tr>
    </w:tbl>
    <w:p w:rsidR="00F82D72" w:rsidRDefault="00F82D72" w:rsidP="00D9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D72" w:rsidRDefault="00F82D72" w:rsidP="00D9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63" w:rsidRDefault="00D94A63" w:rsidP="00D9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tbl>
      <w:tblPr>
        <w:tblStyle w:val="a7"/>
        <w:tblW w:w="0" w:type="auto"/>
        <w:tblInd w:w="108" w:type="dxa"/>
        <w:tblLook w:val="04A0"/>
      </w:tblPr>
      <w:tblGrid>
        <w:gridCol w:w="2268"/>
        <w:gridCol w:w="7195"/>
      </w:tblGrid>
      <w:tr w:rsidR="00D94A63" w:rsidRPr="0099207F" w:rsidTr="00F63A71">
        <w:trPr>
          <w:trHeight w:val="802"/>
        </w:trPr>
        <w:tc>
          <w:tcPr>
            <w:tcW w:w="2268" w:type="dxa"/>
          </w:tcPr>
          <w:p w:rsidR="00F63A71" w:rsidRPr="0099207F" w:rsidRDefault="00F63A71" w:rsidP="002E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63" w:rsidRPr="0099207F" w:rsidRDefault="00D94A63" w:rsidP="002E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195" w:type="dxa"/>
          </w:tcPr>
          <w:p w:rsidR="00F63A71" w:rsidRPr="0099207F" w:rsidRDefault="00F63A71" w:rsidP="002E2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4A63" w:rsidRPr="0099207F" w:rsidRDefault="00D94A63" w:rsidP="002E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B18D6" w:rsidRPr="00992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одержание</w:t>
            </w: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</w:t>
            </w:r>
          </w:p>
        </w:tc>
      </w:tr>
      <w:tr w:rsidR="00D94A63" w:rsidRPr="0099207F" w:rsidTr="006C6CB5">
        <w:trPr>
          <w:trHeight w:val="2259"/>
        </w:trPr>
        <w:tc>
          <w:tcPr>
            <w:tcW w:w="2268" w:type="dxa"/>
          </w:tcPr>
          <w:p w:rsidR="00D94A63" w:rsidRPr="0099207F" w:rsidRDefault="000926F0" w:rsidP="002E2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Мельника Д. Ю.</w:t>
            </w:r>
          </w:p>
        </w:tc>
        <w:tc>
          <w:tcPr>
            <w:tcW w:w="7195" w:type="dxa"/>
          </w:tcPr>
          <w:p w:rsidR="00D94A63" w:rsidRPr="0099207F" w:rsidRDefault="0099207F" w:rsidP="00F8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рациональное расходование ресурсов коммерческих банков, чтобы нейтрализовать возможные угрозы и уменьшить риски, а также повысить состояние защищенности банка и обеспечить ему нормальное стабильное функционирование, которое направлено на получение прибыли</w:t>
            </w:r>
            <w:r w:rsidR="000926F0"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F82D72" w:rsidRPr="009920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926F0" w:rsidRPr="0099207F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</w:tr>
      <w:tr w:rsidR="00D94A63" w:rsidRPr="0099207F" w:rsidTr="00151924">
        <w:tc>
          <w:tcPr>
            <w:tcW w:w="2268" w:type="dxa"/>
          </w:tcPr>
          <w:p w:rsidR="000926F0" w:rsidRPr="0099207F" w:rsidRDefault="000926F0" w:rsidP="0009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Крысин А.В., </w:t>
            </w:r>
            <w:proofErr w:type="spellStart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  <w:proofErr w:type="spellEnd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А.К., </w:t>
            </w:r>
          </w:p>
          <w:p w:rsidR="00D94A63" w:rsidRPr="0099207F" w:rsidRDefault="000926F0" w:rsidP="0009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Бендиков</w:t>
            </w:r>
            <w:proofErr w:type="spellEnd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Е.С., Лапшина Я.А.</w:t>
            </w:r>
          </w:p>
        </w:tc>
        <w:tc>
          <w:tcPr>
            <w:tcW w:w="7195" w:type="dxa"/>
          </w:tcPr>
          <w:p w:rsidR="00D94A63" w:rsidRPr="0099207F" w:rsidRDefault="0099207F" w:rsidP="00F8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защита банка, </w:t>
            </w:r>
            <w:r w:rsidR="007939A4">
              <w:rPr>
                <w:rFonts w:ascii="Times New Roman" w:hAnsi="Times New Roman" w:cs="Times New Roman"/>
                <w:sz w:val="28"/>
                <w:szCs w:val="28"/>
              </w:rPr>
              <w:t>а также определенное описание банка о том, что ему может угрожать, на каком уровне развития банк, какие есть ресурсы, насколько банк совершенствуется, а также характеристика его финансового состояния</w:t>
            </w:r>
            <w:r w:rsidR="000926F0"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F82D72" w:rsidRPr="0099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6F0" w:rsidRPr="0099207F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</w:tr>
      <w:tr w:rsidR="00D94A63" w:rsidRPr="0099207F" w:rsidTr="006C6CB5">
        <w:trPr>
          <w:trHeight w:val="1877"/>
        </w:trPr>
        <w:tc>
          <w:tcPr>
            <w:tcW w:w="2268" w:type="dxa"/>
          </w:tcPr>
          <w:p w:rsidR="00D94A63" w:rsidRPr="0099207F" w:rsidRDefault="000926F0" w:rsidP="0009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Владимирова Т.А., </w:t>
            </w:r>
            <w:proofErr w:type="spellStart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Суглобов</w:t>
            </w:r>
            <w:proofErr w:type="spellEnd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А.Е., Хмелев С.А., Светлова В.В.</w:t>
            </w:r>
          </w:p>
        </w:tc>
        <w:tc>
          <w:tcPr>
            <w:tcW w:w="7195" w:type="dxa"/>
          </w:tcPr>
          <w:p w:rsidR="00D94A63" w:rsidRPr="0099207F" w:rsidRDefault="007939A4" w:rsidP="00F8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Функция, которая направлена на обеспечение защиты банка с помощью определенного инструментария, анализом рисковых ситуаций, оценки необходимых ресурсов и мероприятий, направленных на укрепление деятельности банка</w:t>
            </w:r>
            <w:r w:rsidR="000926F0"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F82D72" w:rsidRPr="0099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6F0" w:rsidRPr="0099207F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</w:tr>
      <w:tr w:rsidR="00D94A63" w:rsidRPr="0099207F" w:rsidTr="00F63A71">
        <w:trPr>
          <w:trHeight w:val="1827"/>
        </w:trPr>
        <w:tc>
          <w:tcPr>
            <w:tcW w:w="2268" w:type="dxa"/>
          </w:tcPr>
          <w:p w:rsidR="00D94A63" w:rsidRPr="0099207F" w:rsidRDefault="000926F0" w:rsidP="002E2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Автушенко</w:t>
            </w:r>
            <w:proofErr w:type="spellEnd"/>
            <w:r w:rsidRPr="0099207F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195" w:type="dxa"/>
          </w:tcPr>
          <w:p w:rsidR="00D94A63" w:rsidRPr="0099207F" w:rsidRDefault="000926F0" w:rsidP="00F8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это результат ежедневной согласованной работы подразделений банка, включающей в себя соблюдение необходимого уровня нормативов, контролируемых регулятором, нейтрализацию внутренних и внешних угроз, способность мобилизовать ресурсы для реагирования на новые опасности для продолжения стабильной деятельности [</w:t>
            </w:r>
            <w:r w:rsidR="00F82D72" w:rsidRPr="00992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207F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</w:tr>
    </w:tbl>
    <w:p w:rsidR="00D94A63" w:rsidRDefault="00D94A63" w:rsidP="00D94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63" w:rsidRDefault="00D2543D" w:rsidP="00D254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вышесказанного видно</w:t>
      </w:r>
      <w:r w:rsidR="00BA5124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многие исследователи считают, что это состояние защищенности</w:t>
      </w:r>
      <w:r w:rsidR="005B18D6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банка от внешних и внутренних угроз</w:t>
      </w:r>
      <w:r w:rsidR="00BA5124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2543D" w:rsidRPr="00D2543D" w:rsidRDefault="00D2543D" w:rsidP="00D2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3D">
        <w:rPr>
          <w:rFonts w:ascii="Times New Roman" w:hAnsi="Times New Roman" w:cs="Times New Roman"/>
          <w:sz w:val="28"/>
          <w:szCs w:val="28"/>
        </w:rPr>
        <w:t>Для наиболее полной и совершенной защиты экономического базиса кредитной организации процесс обеспечения безопасности обязан соответствовать следующим требованиям и принципам [</w:t>
      </w:r>
      <w:r w:rsidR="00F82D72">
        <w:rPr>
          <w:rFonts w:ascii="Times New Roman" w:hAnsi="Times New Roman" w:cs="Times New Roman"/>
          <w:sz w:val="28"/>
          <w:szCs w:val="28"/>
        </w:rPr>
        <w:t>8</w:t>
      </w:r>
      <w:r w:rsidRPr="00D2543D">
        <w:rPr>
          <w:rFonts w:ascii="Times New Roman" w:hAnsi="Times New Roman" w:cs="Times New Roman"/>
          <w:sz w:val="28"/>
          <w:szCs w:val="28"/>
        </w:rPr>
        <w:t>].</w:t>
      </w:r>
    </w:p>
    <w:p w:rsidR="00D2543D" w:rsidRPr="00D2543D" w:rsidRDefault="00D2543D" w:rsidP="00D2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543D">
        <w:rPr>
          <w:rFonts w:ascii="Times New Roman" w:hAnsi="Times New Roman" w:cs="Times New Roman"/>
          <w:sz w:val="28"/>
          <w:szCs w:val="28"/>
        </w:rPr>
        <w:t xml:space="preserve"> Комплексность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543D">
        <w:rPr>
          <w:rFonts w:ascii="Times New Roman" w:hAnsi="Times New Roman" w:cs="Times New Roman"/>
          <w:sz w:val="28"/>
          <w:szCs w:val="28"/>
        </w:rPr>
        <w:t xml:space="preserve"> сохранность стабильного функционирования банка должна быть гарантирована на всех его организационных уровнях и обеспечиваться всеми доступными средствами.</w:t>
      </w:r>
    </w:p>
    <w:p w:rsidR="00D2543D" w:rsidRPr="00D2543D" w:rsidRDefault="00D2543D" w:rsidP="00D2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2543D">
        <w:rPr>
          <w:rFonts w:ascii="Times New Roman" w:hAnsi="Times New Roman" w:cs="Times New Roman"/>
          <w:sz w:val="28"/>
          <w:szCs w:val="28"/>
        </w:rPr>
        <w:t xml:space="preserve"> Непрерывность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543D">
        <w:rPr>
          <w:rFonts w:ascii="Times New Roman" w:hAnsi="Times New Roman" w:cs="Times New Roman"/>
          <w:sz w:val="28"/>
          <w:szCs w:val="28"/>
        </w:rPr>
        <w:t xml:space="preserve"> возможность продолжать деятельность по защите финансовой устойчивости постоянно и вне зависимости от негативных воздействий со стороны внешней среды.</w:t>
      </w:r>
    </w:p>
    <w:p w:rsidR="00D2543D" w:rsidRPr="00D2543D" w:rsidRDefault="00D2543D" w:rsidP="00D2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2543D">
        <w:rPr>
          <w:rFonts w:ascii="Times New Roman" w:hAnsi="Times New Roman" w:cs="Times New Roman"/>
          <w:sz w:val="28"/>
          <w:szCs w:val="28"/>
        </w:rPr>
        <w:t xml:space="preserve"> Своевременность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543D">
        <w:rPr>
          <w:rFonts w:ascii="Times New Roman" w:hAnsi="Times New Roman" w:cs="Times New Roman"/>
          <w:sz w:val="28"/>
          <w:szCs w:val="28"/>
        </w:rPr>
        <w:t xml:space="preserve"> упреждающая направленность мер обеспечения безопасности.</w:t>
      </w:r>
    </w:p>
    <w:p w:rsidR="00D2543D" w:rsidRPr="00D2543D" w:rsidRDefault="00D2543D" w:rsidP="00D2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2543D">
        <w:rPr>
          <w:rFonts w:ascii="Times New Roman" w:hAnsi="Times New Roman" w:cs="Times New Roman"/>
          <w:sz w:val="28"/>
          <w:szCs w:val="28"/>
        </w:rPr>
        <w:t xml:space="preserve"> Целесообразность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543D">
        <w:rPr>
          <w:rFonts w:ascii="Times New Roman" w:hAnsi="Times New Roman" w:cs="Times New Roman"/>
          <w:sz w:val="28"/>
          <w:szCs w:val="28"/>
        </w:rPr>
        <w:t xml:space="preserve"> сопоставимость потенциального ущерба и затрат на поддержание мер безопасности.</w:t>
      </w:r>
    </w:p>
    <w:p w:rsidR="00D2543D" w:rsidRDefault="00D2543D" w:rsidP="00D2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2543D">
        <w:rPr>
          <w:rFonts w:ascii="Times New Roman" w:hAnsi="Times New Roman" w:cs="Times New Roman"/>
          <w:sz w:val="28"/>
          <w:szCs w:val="28"/>
        </w:rPr>
        <w:t xml:space="preserve"> Правомерность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543D">
        <w:rPr>
          <w:rFonts w:ascii="Times New Roman" w:hAnsi="Times New Roman" w:cs="Times New Roman"/>
          <w:sz w:val="28"/>
          <w:szCs w:val="28"/>
        </w:rPr>
        <w:t xml:space="preserve"> принимаемые меры должны соответствовать действующему законодательству.</w:t>
      </w:r>
    </w:p>
    <w:p w:rsidR="007939A4" w:rsidRDefault="007939A4" w:rsidP="00D2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происходит формирование различных факторов, которые негативно могут оказать влияние на экономическую безопасность банка.</w:t>
      </w:r>
    </w:p>
    <w:p w:rsidR="007939A4" w:rsidRDefault="007939A4" w:rsidP="00D25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 внешние угрозы экономической безопасности банка:</w:t>
      </w:r>
    </w:p>
    <w:p w:rsidR="007939A4" w:rsidRDefault="007939A4" w:rsidP="00D2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слабая налоговая, кредитная политика;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на увеличение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инфляции;</w:t>
      </w:r>
    </w:p>
    <w:p w:rsidR="007939A4" w:rsidRDefault="007939A4" w:rsidP="00D2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экономический кризис и ситуация в стране;</w:t>
      </w:r>
    </w:p>
    <w:p w:rsidR="007939A4" w:rsidRDefault="007939A4" w:rsidP="00D2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изменения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 показателей, устанавливаемых ЦБ;</w:t>
      </w:r>
    </w:p>
    <w:p w:rsidR="00B15B16" w:rsidRDefault="007939A4" w:rsidP="00793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условия кредитования максимально не выгодные; низкий уровень инвестирования и др.</w:t>
      </w:r>
      <w:r w:rsidR="00B15B16">
        <w:rPr>
          <w:rFonts w:ascii="Times New Roman" w:hAnsi="Times New Roman" w:cs="Times New Roman"/>
          <w:sz w:val="28"/>
          <w:szCs w:val="28"/>
        </w:rPr>
        <w:t xml:space="preserve"> </w:t>
      </w:r>
      <w:r w:rsidR="00B15B16" w:rsidRPr="00B15B16">
        <w:rPr>
          <w:rFonts w:ascii="Times New Roman" w:hAnsi="Times New Roman" w:cs="Times New Roman"/>
          <w:sz w:val="28"/>
          <w:szCs w:val="28"/>
        </w:rPr>
        <w:t>[</w:t>
      </w:r>
      <w:r w:rsidR="00F82D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7939A4" w:rsidRDefault="007939A4" w:rsidP="00793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выделим внутренние факторы:</w:t>
      </w:r>
    </w:p>
    <w:p w:rsidR="007939A4" w:rsidRDefault="007939A4" w:rsidP="007939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9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утечка данных банков;</w:t>
      </w:r>
    </w:p>
    <w:p w:rsidR="00D91B32" w:rsidRDefault="00D91B32" w:rsidP="007939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нарушение сроков выплаты кредитов в банк;</w:t>
      </w:r>
    </w:p>
    <w:p w:rsidR="00D91B32" w:rsidRDefault="00D91B32" w:rsidP="007939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уменьшение ликвидности активов банка;</w:t>
      </w:r>
    </w:p>
    <w:p w:rsidR="00D91B32" w:rsidRDefault="00D91B32" w:rsidP="00D91B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управленческие ошибки, ошибки аналитиков</w:t>
      </w:r>
    </w:p>
    <w:p w:rsidR="00B15B16" w:rsidRPr="00D91B32" w:rsidRDefault="00D91B32" w:rsidP="00D91B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работники банков имеют недостаточную квалификацию</w:t>
      </w:r>
      <w:r w:rsidR="00B15B16" w:rsidRPr="00B15B16">
        <w:rPr>
          <w:rFonts w:ascii="Times New Roman" w:hAnsi="Times New Roman" w:cs="Times New Roman"/>
          <w:sz w:val="28"/>
          <w:szCs w:val="28"/>
        </w:rPr>
        <w:t xml:space="preserve"> [</w:t>
      </w:r>
      <w:r w:rsidR="00F82D72">
        <w:rPr>
          <w:rFonts w:ascii="Times New Roman" w:hAnsi="Times New Roman" w:cs="Times New Roman"/>
          <w:sz w:val="28"/>
          <w:szCs w:val="28"/>
        </w:rPr>
        <w:t>9</w:t>
      </w:r>
      <w:r w:rsidR="00B15B16" w:rsidRPr="00B15B16">
        <w:rPr>
          <w:rFonts w:ascii="Times New Roman" w:hAnsi="Times New Roman" w:cs="Times New Roman"/>
          <w:sz w:val="28"/>
          <w:szCs w:val="28"/>
        </w:rPr>
        <w:t>].</w:t>
      </w:r>
    </w:p>
    <w:p w:rsidR="00D05C22" w:rsidRDefault="00D05C22" w:rsidP="00B15B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Внешние факторы состоят из следующих элементов: социальный, политический, общеэкономический, финансовый</w:t>
      </w:r>
      <w:r w:rsidR="00550BD7">
        <w:rPr>
          <w:rFonts w:ascii="Times New Roman" w:eastAsia="Calibri" w:hAnsi="Times New Roman" w:cs="Times New Roman"/>
          <w:sz w:val="28"/>
          <w:szCs w:val="28"/>
        </w:rPr>
        <w:t>. Более подробно они отражены на рисунке 1.</w:t>
      </w:r>
    </w:p>
    <w:p w:rsidR="00550BD7" w:rsidRDefault="00550BD7" w:rsidP="00BA512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Среди всех представленных внешних факторов нужно выделить «устойчивость финансовой системы», поскольку «фундаментом» всей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экономической безопасности банка является финансовая стабильность, которая является результатом управленческих, организационных, технических мероприятий, обеспечивающих защиту прав и интересов коммерческого банка, рост уставного капитала, увеличение показателей ликвидности активов, сохранность финансовых и материальных ценностей, и деятельность коммерческого банка по обеспечению возвратности кредитов.</w:t>
      </w:r>
      <w:proofErr w:type="gramEnd"/>
    </w:p>
    <w:p w:rsidR="00D91B32" w:rsidRDefault="00D91B32" w:rsidP="00873C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C22" w:rsidRDefault="00D05C22" w:rsidP="00BA5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06058" cy="32634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7110" t="20433" r="24170" b="19479"/>
                    <a:stretch/>
                  </pic:blipFill>
                  <pic:spPr bwMode="auto">
                    <a:xfrm>
                      <a:off x="0" y="0"/>
                      <a:ext cx="4760237" cy="3301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777B" w:rsidRDefault="0051777B" w:rsidP="00873C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F30" w:rsidRPr="00E72F30" w:rsidRDefault="00E72F30" w:rsidP="007968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Внешние факторы экономической безопасности коммерческого банка </w:t>
      </w:r>
      <w:r w:rsidRPr="00E7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8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E7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D05C22" w:rsidRDefault="00D05C22" w:rsidP="00B15B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B32" w:rsidRDefault="00EE368A" w:rsidP="00B15B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Внутренние факторы относятся конкретно к самому банку и его сотрудникам. Данные факторы возникают в процессе деятельности и оказывают свое влияние на итог бизнеса. </w:t>
      </w:r>
    </w:p>
    <w:p w:rsidR="00E72F30" w:rsidRDefault="00EE368A" w:rsidP="00B15B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яркие внутренние факторы следующие: планирование и принятие решений, организация трудовой деятельности, работа с сотрудниками, дисциплина и прочее. Общая картина всех факторов изображена на рисунке 2.</w:t>
      </w:r>
    </w:p>
    <w:p w:rsidR="00EE368A" w:rsidRDefault="00EE368A" w:rsidP="00BA51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68A" w:rsidRDefault="00EE368A" w:rsidP="00234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8794" cy="22041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8260" t="20432" r="13381" b="22359"/>
                    <a:stretch/>
                  </pic:blipFill>
                  <pic:spPr bwMode="auto">
                    <a:xfrm>
                      <a:off x="0" y="0"/>
                      <a:ext cx="4037926" cy="2225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777B" w:rsidRDefault="0051777B" w:rsidP="00873C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A" w:rsidRPr="00EE368A" w:rsidRDefault="00EE368A" w:rsidP="007968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Внутренние факторы экономической безопасности коммерческого банка </w:t>
      </w:r>
      <w:r w:rsidRPr="00E7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8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E7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D91B32" w:rsidRDefault="00D91B32" w:rsidP="00B15B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B32" w:rsidRDefault="00D91B32" w:rsidP="00B15B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обеспечение экономической безопасности банка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самая важная часть его деятельности. Если защита банка не будет функционировать должным образом, тогда деятельность банка будет провальной, что нельзя допустить в настоящее время. И также экономическая безопасность банка должна поддерживать свой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внешней стороны, так и с внутренней.</w:t>
      </w:r>
    </w:p>
    <w:p w:rsidR="00EE368A" w:rsidRDefault="00EE368A" w:rsidP="00B15B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68A" w:rsidRPr="003C2EF7" w:rsidRDefault="00EE368A" w:rsidP="00EE368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F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68A">
        <w:rPr>
          <w:rFonts w:ascii="Times New Roman" w:hAnsi="Times New Roman" w:cs="Times New Roman"/>
          <w:b/>
          <w:sz w:val="28"/>
          <w:szCs w:val="28"/>
        </w:rPr>
        <w:t>Особенности и инструментарий обеспечения экономической безопасности коммерческого банка в условиях финансовой нестабильности</w:t>
      </w:r>
    </w:p>
    <w:p w:rsidR="00EE368A" w:rsidRPr="003C2EF7" w:rsidRDefault="00EE368A" w:rsidP="00EE368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B32" w:rsidRDefault="00D91B32" w:rsidP="00D876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Чтобы экономическая безопасность банка поддерживалась на должном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чтобы в деятельности банка были условия, способные уравновесить развитие банковской организации и четко определить цели для дальнейшей деятельности.</w:t>
      </w:r>
    </w:p>
    <w:p w:rsidR="009C7553" w:rsidRDefault="009C7553" w:rsidP="00D87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наиболее целесообразным направлением в совершенствовании банковской деятельности является повышение уровня развития в рамках технологий бизнес-процессов. Данное направление нацелено решить следующие задачи:</w:t>
      </w:r>
    </w:p>
    <w:p w:rsidR="009C7553" w:rsidRDefault="009C7553" w:rsidP="00D87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улучшение в области защиты банков от мошенников, хакеров, утечки данных;</w:t>
      </w:r>
    </w:p>
    <w:p w:rsidR="00D876FF" w:rsidRPr="00D876FF" w:rsidRDefault="00D876FF" w:rsidP="00D87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C7553">
        <w:rPr>
          <w:rFonts w:ascii="Times New Roman" w:hAnsi="Times New Roman" w:cs="Times New Roman"/>
          <w:sz w:val="28"/>
          <w:szCs w:val="28"/>
        </w:rPr>
        <w:t>применение базы банка для создания новейших продуктов и услуг, но так, чтобы на это уходила малая часть расходов, не принося убытки;</w:t>
      </w:r>
    </w:p>
    <w:p w:rsidR="00D876FF" w:rsidRPr="00D876FF" w:rsidRDefault="00D876FF" w:rsidP="00D87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553">
        <w:rPr>
          <w:rFonts w:ascii="Times New Roman" w:hAnsi="Times New Roman" w:cs="Times New Roman"/>
          <w:sz w:val="28"/>
          <w:szCs w:val="28"/>
        </w:rPr>
        <w:t>создание устойчивого развития финансовой части в банке, улучшение всех нормативных показателей с помощью новых технологий разработчиков, допускается применение иностранных идей;</w:t>
      </w:r>
    </w:p>
    <w:p w:rsidR="00D876FF" w:rsidRPr="00D876FF" w:rsidRDefault="00D876FF" w:rsidP="00D87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7553">
        <w:rPr>
          <w:rFonts w:ascii="Times New Roman" w:hAnsi="Times New Roman" w:cs="Times New Roman"/>
          <w:sz w:val="28"/>
          <w:szCs w:val="28"/>
        </w:rPr>
        <w:t xml:space="preserve"> формирование механизма сохранения ресурсов, а именно персонала, денежных средств и материальных ценностей;</w:t>
      </w:r>
    </w:p>
    <w:p w:rsidR="00D876FF" w:rsidRPr="00D876FF" w:rsidRDefault="00D876FF" w:rsidP="00D87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C7553">
        <w:rPr>
          <w:rFonts w:ascii="Times New Roman" w:hAnsi="Times New Roman" w:cs="Times New Roman"/>
          <w:sz w:val="28"/>
          <w:szCs w:val="28"/>
        </w:rPr>
        <w:t xml:space="preserve"> обеспечение стабильной защищенности банка от конкурентов;</w:t>
      </w:r>
    </w:p>
    <w:p w:rsidR="00D876FF" w:rsidRPr="00D876FF" w:rsidRDefault="00D876FF" w:rsidP="00D87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C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таких технологий, которые </w:t>
      </w:r>
      <w:r w:rsidR="00B8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окажут помощь в сохранении конфиденциальной информации;</w:t>
      </w:r>
    </w:p>
    <w:p w:rsidR="00D876FF" w:rsidRDefault="00D876FF" w:rsidP="00B81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8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эффективности обеспечения экономической безопасности во время деятельности банка, благодаря расширению структуры организации, добавив новые отделы по регуляции и контролю бизнес-процессов банка с помощью новых технологий</w:t>
      </w:r>
      <w:r w:rsidRPr="00D876FF">
        <w:rPr>
          <w:rFonts w:ascii="Times New Roman" w:hAnsi="Times New Roman" w:cs="Times New Roman"/>
          <w:sz w:val="28"/>
          <w:szCs w:val="28"/>
        </w:rPr>
        <w:t xml:space="preserve"> [</w:t>
      </w:r>
      <w:r w:rsidR="00F82D72">
        <w:rPr>
          <w:rFonts w:ascii="Times New Roman" w:hAnsi="Times New Roman" w:cs="Times New Roman"/>
          <w:sz w:val="28"/>
          <w:szCs w:val="28"/>
        </w:rPr>
        <w:t>30</w:t>
      </w:r>
      <w:r w:rsidRPr="00D876FF">
        <w:rPr>
          <w:rFonts w:ascii="Times New Roman" w:hAnsi="Times New Roman" w:cs="Times New Roman"/>
          <w:sz w:val="28"/>
          <w:szCs w:val="28"/>
        </w:rPr>
        <w:t>].</w:t>
      </w:r>
    </w:p>
    <w:p w:rsidR="00B81FAD" w:rsidRDefault="00B81FAD" w:rsidP="00B81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 выглядит система обеспечения безопасности банковских организаций (рисунок 3).</w:t>
      </w:r>
    </w:p>
    <w:p w:rsidR="00D876FF" w:rsidRDefault="00D876FF" w:rsidP="00D87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6FF" w:rsidRDefault="002347FD" w:rsidP="002E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34754" cy="27977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31021" t="19206" r="20488" b="19473"/>
                    <a:stretch/>
                  </pic:blipFill>
                  <pic:spPr bwMode="auto">
                    <a:xfrm>
                      <a:off x="0" y="0"/>
                      <a:ext cx="3957495" cy="281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777B" w:rsidRDefault="0051777B" w:rsidP="00873C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B3B" w:rsidRPr="00D876FF" w:rsidRDefault="002E3B3B" w:rsidP="002E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177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Состав экономической безопасности коммерческих банков </w:t>
      </w:r>
      <w:r w:rsidRPr="00D876FF">
        <w:rPr>
          <w:rFonts w:ascii="Times New Roman" w:hAnsi="Times New Roman" w:cs="Times New Roman"/>
          <w:sz w:val="28"/>
          <w:szCs w:val="28"/>
        </w:rPr>
        <w:t>[</w:t>
      </w:r>
      <w:r w:rsidR="00F82D72">
        <w:rPr>
          <w:rFonts w:ascii="Times New Roman" w:hAnsi="Times New Roman" w:cs="Times New Roman"/>
          <w:sz w:val="28"/>
          <w:szCs w:val="28"/>
        </w:rPr>
        <w:t>30</w:t>
      </w:r>
      <w:r w:rsidRPr="00D876FF">
        <w:rPr>
          <w:rFonts w:ascii="Times New Roman" w:hAnsi="Times New Roman" w:cs="Times New Roman"/>
          <w:sz w:val="28"/>
          <w:szCs w:val="28"/>
        </w:rPr>
        <w:t>]</w:t>
      </w:r>
    </w:p>
    <w:p w:rsidR="002E3B3B" w:rsidRPr="002E3B3B" w:rsidRDefault="00B81FAD" w:rsidP="000A6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Политика по минимизации воздействия угроз на банковский сектор определяет эффективные шаги </w:t>
      </w:r>
      <w:r w:rsidR="000A678E">
        <w:rPr>
          <w:rFonts w:ascii="Times New Roman" w:hAnsi="Times New Roman" w:cs="Times New Roman"/>
          <w:sz w:val="28"/>
          <w:szCs w:val="28"/>
        </w:rPr>
        <w:t>руководства страны для определения целей и задач, которые содействуют благоприятному развитию государства</w:t>
      </w:r>
      <w:r w:rsidR="002E3B3B" w:rsidRPr="002E3B3B">
        <w:rPr>
          <w:rFonts w:ascii="Times New Roman" w:hAnsi="Times New Roman" w:cs="Times New Roman"/>
          <w:sz w:val="28"/>
          <w:szCs w:val="28"/>
        </w:rPr>
        <w:t xml:space="preserve"> [</w:t>
      </w:r>
      <w:r w:rsidR="00F82D72">
        <w:rPr>
          <w:rFonts w:ascii="Times New Roman" w:hAnsi="Times New Roman" w:cs="Times New Roman"/>
          <w:sz w:val="28"/>
          <w:szCs w:val="28"/>
        </w:rPr>
        <w:t>30</w:t>
      </w:r>
      <w:r w:rsidR="000A678E">
        <w:rPr>
          <w:rFonts w:ascii="Times New Roman" w:hAnsi="Times New Roman" w:cs="Times New Roman"/>
          <w:sz w:val="28"/>
          <w:szCs w:val="28"/>
        </w:rPr>
        <w:t>]</w:t>
      </w:r>
      <w:r w:rsidR="002E3B3B" w:rsidRPr="002E3B3B">
        <w:rPr>
          <w:rFonts w:ascii="Times New Roman" w:hAnsi="Times New Roman" w:cs="Times New Roman"/>
          <w:sz w:val="28"/>
          <w:szCs w:val="28"/>
        </w:rPr>
        <w:t>:</w:t>
      </w:r>
    </w:p>
    <w:p w:rsidR="000A678E" w:rsidRDefault="002E3B3B" w:rsidP="002E3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B3B">
        <w:rPr>
          <w:rFonts w:ascii="Times New Roman" w:hAnsi="Times New Roman" w:cs="Times New Roman"/>
          <w:sz w:val="28"/>
          <w:szCs w:val="28"/>
        </w:rPr>
        <w:t xml:space="preserve">1. </w:t>
      </w:r>
      <w:r w:rsidR="000A678E">
        <w:rPr>
          <w:rFonts w:ascii="Times New Roman" w:hAnsi="Times New Roman" w:cs="Times New Roman"/>
          <w:sz w:val="28"/>
          <w:szCs w:val="28"/>
        </w:rPr>
        <w:t>Осуществление стабильности устойчивого развития банков.</w:t>
      </w:r>
    </w:p>
    <w:p w:rsidR="000A678E" w:rsidRDefault="002E3B3B" w:rsidP="002E3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B3B">
        <w:rPr>
          <w:rFonts w:ascii="Times New Roman" w:hAnsi="Times New Roman" w:cs="Times New Roman"/>
          <w:sz w:val="28"/>
          <w:szCs w:val="28"/>
        </w:rPr>
        <w:t xml:space="preserve">2. </w:t>
      </w:r>
      <w:r w:rsidR="000A678E">
        <w:rPr>
          <w:rFonts w:ascii="Times New Roman" w:hAnsi="Times New Roman" w:cs="Times New Roman"/>
          <w:sz w:val="28"/>
          <w:szCs w:val="28"/>
        </w:rPr>
        <w:t>Экономический рост банковского сектора.</w:t>
      </w:r>
    </w:p>
    <w:p w:rsidR="000A678E" w:rsidRDefault="002E3B3B" w:rsidP="002E3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678E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gramStart"/>
      <w:r w:rsidR="000A678E">
        <w:rPr>
          <w:rFonts w:ascii="Times New Roman" w:hAnsi="Times New Roman" w:cs="Times New Roman"/>
          <w:sz w:val="28"/>
          <w:szCs w:val="28"/>
        </w:rPr>
        <w:t>возможности появления угроз экономической безопасности банка</w:t>
      </w:r>
      <w:proofErr w:type="gramEnd"/>
      <w:r w:rsidR="000A678E">
        <w:rPr>
          <w:rFonts w:ascii="Times New Roman" w:hAnsi="Times New Roman" w:cs="Times New Roman"/>
          <w:sz w:val="28"/>
          <w:szCs w:val="28"/>
        </w:rPr>
        <w:t>.</w:t>
      </w:r>
    </w:p>
    <w:p w:rsidR="000A678E" w:rsidRDefault="002E3B3B" w:rsidP="002E3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B3B">
        <w:rPr>
          <w:rFonts w:ascii="Times New Roman" w:hAnsi="Times New Roman" w:cs="Times New Roman"/>
          <w:sz w:val="28"/>
          <w:szCs w:val="28"/>
        </w:rPr>
        <w:t xml:space="preserve">4. </w:t>
      </w:r>
      <w:r w:rsidR="000A678E">
        <w:rPr>
          <w:rFonts w:ascii="Times New Roman" w:hAnsi="Times New Roman" w:cs="Times New Roman"/>
          <w:sz w:val="28"/>
          <w:szCs w:val="28"/>
        </w:rPr>
        <w:t>Обеспечение защиты государства, людей и организаций от мошенников банковского сектора.</w:t>
      </w:r>
    </w:p>
    <w:p w:rsidR="000A678E" w:rsidRDefault="002E3B3B" w:rsidP="002E3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678E">
        <w:rPr>
          <w:rFonts w:ascii="Times New Roman" w:hAnsi="Times New Roman" w:cs="Times New Roman"/>
          <w:sz w:val="28"/>
          <w:szCs w:val="28"/>
        </w:rPr>
        <w:t>Увеличение доверительных отношений клиент-банк</w:t>
      </w:r>
    </w:p>
    <w:p w:rsidR="000A678E" w:rsidRDefault="002E3B3B" w:rsidP="002E3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B3B">
        <w:rPr>
          <w:rFonts w:ascii="Times New Roman" w:hAnsi="Times New Roman" w:cs="Times New Roman"/>
          <w:sz w:val="28"/>
          <w:szCs w:val="28"/>
        </w:rPr>
        <w:t xml:space="preserve">6. </w:t>
      </w:r>
      <w:r w:rsidR="000A678E">
        <w:rPr>
          <w:rFonts w:ascii="Times New Roman" w:hAnsi="Times New Roman" w:cs="Times New Roman"/>
          <w:sz w:val="28"/>
          <w:szCs w:val="28"/>
        </w:rPr>
        <w:t>Защита информации банка.</w:t>
      </w:r>
    </w:p>
    <w:p w:rsidR="002E3B3B" w:rsidRDefault="002E3B3B" w:rsidP="00EE36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3B">
        <w:rPr>
          <w:rFonts w:ascii="Times New Roman" w:hAnsi="Times New Roman" w:cs="Times New Roman"/>
          <w:sz w:val="28"/>
          <w:szCs w:val="28"/>
        </w:rPr>
        <w:t xml:space="preserve">Из-за сложившейся обстановки Российская Федерация попала в </w:t>
      </w:r>
      <w:proofErr w:type="spellStart"/>
      <w:r w:rsidRPr="002E3B3B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Pr="002E3B3B">
        <w:rPr>
          <w:rFonts w:ascii="Times New Roman" w:hAnsi="Times New Roman" w:cs="Times New Roman"/>
          <w:sz w:val="28"/>
          <w:szCs w:val="28"/>
        </w:rPr>
        <w:t xml:space="preserve"> кризис, от которого в первую очередь пострадала экономика страны, а вместе с ней и банковский сектор. </w:t>
      </w:r>
      <w:r>
        <w:rPr>
          <w:rFonts w:ascii="Times New Roman" w:hAnsi="Times New Roman" w:cs="Times New Roman"/>
          <w:sz w:val="28"/>
          <w:szCs w:val="28"/>
        </w:rPr>
        <w:t xml:space="preserve">Особенностями экономической безопасности коммерческих банков в условиях финансовой нестабильности являются замедление динамики развития банков, </w:t>
      </w:r>
      <w:r w:rsidRPr="002E3B3B">
        <w:rPr>
          <w:rFonts w:ascii="Times New Roman" w:hAnsi="Times New Roman" w:cs="Times New Roman"/>
          <w:sz w:val="28"/>
          <w:szCs w:val="28"/>
        </w:rPr>
        <w:t>разрушение цеп</w:t>
      </w:r>
      <w:r>
        <w:rPr>
          <w:rFonts w:ascii="Times New Roman" w:hAnsi="Times New Roman" w:cs="Times New Roman"/>
          <w:sz w:val="28"/>
          <w:szCs w:val="28"/>
        </w:rPr>
        <w:t xml:space="preserve">очек поставок у заемщиков;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</w:t>
      </w:r>
      <w:r w:rsidRPr="002E3B3B">
        <w:rPr>
          <w:rFonts w:ascii="Times New Roman" w:hAnsi="Times New Roman" w:cs="Times New Roman"/>
          <w:sz w:val="28"/>
          <w:szCs w:val="28"/>
        </w:rPr>
        <w:t>ционные</w:t>
      </w:r>
      <w:proofErr w:type="spellEnd"/>
      <w:r w:rsidRPr="002E3B3B">
        <w:rPr>
          <w:rFonts w:ascii="Times New Roman" w:hAnsi="Times New Roman" w:cs="Times New Roman"/>
          <w:sz w:val="28"/>
          <w:szCs w:val="28"/>
        </w:rPr>
        <w:t xml:space="preserve"> ограничения международных платежно-расчетных операций;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3B">
        <w:rPr>
          <w:rFonts w:ascii="Times New Roman" w:hAnsi="Times New Roman" w:cs="Times New Roman"/>
          <w:sz w:val="28"/>
          <w:szCs w:val="28"/>
        </w:rPr>
        <w:t>ухудшение экономической обстановки в стране; панические настроения банковских клиентов; резкое повышение стоимости заимствований и усиление конкуренции банков за устойчивое фондирование (т.е. за формирование финансовых ресурсов); усиление процентного и валютного рисков; изменение финансового поведения клиентов и др.</w:t>
      </w:r>
      <w:r>
        <w:rPr>
          <w:rFonts w:ascii="Times New Roman" w:hAnsi="Times New Roman" w:cs="Times New Roman"/>
          <w:sz w:val="28"/>
          <w:szCs w:val="28"/>
        </w:rPr>
        <w:t xml:space="preserve"> Все это и есть новые серьезные вызовы для коммерческих банков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особенность экономической безопасности на сегодняшний день.</w:t>
      </w:r>
    </w:p>
    <w:p w:rsidR="002347FD" w:rsidRPr="002347FD" w:rsidRDefault="00F4720F" w:rsidP="00234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 указанных условиях необходимы определенные инструменты обеспечения экономической безопасности коммерческого банка.</w:t>
      </w:r>
      <w:r w:rsidR="00C1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7FD" w:rsidRPr="002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 в своей деятельности постоянно сталкиваются с различными угрозами и рисками. Часть из них порождается внешними причинами, часть – внутренними. Поэтому вам следует рассмотреть две основные группы методов и инструментов:</w:t>
      </w:r>
    </w:p>
    <w:p w:rsidR="002347FD" w:rsidRPr="002347FD" w:rsidRDefault="00F82D72" w:rsidP="00234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2347FD" w:rsidRPr="002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внешние методы;</w:t>
      </w:r>
    </w:p>
    <w:p w:rsidR="002347FD" w:rsidRPr="002347FD" w:rsidRDefault="00F82D72" w:rsidP="00234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347FD" w:rsidRPr="002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внутренние методы.</w:t>
      </w:r>
    </w:p>
    <w:p w:rsidR="002347FD" w:rsidRPr="002347FD" w:rsidRDefault="002347FD" w:rsidP="00234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методы обеспечения экономической безопасности банков использует государство в целях обеспечения безопасности банковской системы. Это создание организационно-правовых условий; денежно-кредитное регулирование и банковский надзор.</w:t>
      </w:r>
    </w:p>
    <w:p w:rsidR="002347FD" w:rsidRDefault="002347FD" w:rsidP="00234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методы включают не только управление рисками, но и управление доходностью и ликвидностью банка.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720F" w:rsidRDefault="00C10DCC" w:rsidP="00234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Инструментарий может быть следующим </w:t>
      </w:r>
      <w:r w:rsidRPr="005C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8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5C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10DCC" w:rsidRDefault="00C10DCC" w:rsidP="00C10D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0DCC">
        <w:rPr>
          <w:rFonts w:ascii="Times New Roman" w:hAnsi="Times New Roman" w:cs="Times New Roman"/>
          <w:sz w:val="28"/>
          <w:szCs w:val="28"/>
        </w:rPr>
        <w:t xml:space="preserve"> управление рисками (страхование, диверсификация, хеджирование, рациональное использование собственного капитала и т.д.).</w:t>
      </w:r>
    </w:p>
    <w:p w:rsidR="002347FD" w:rsidRPr="002347FD" w:rsidRDefault="002347FD" w:rsidP="0023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FD">
        <w:rPr>
          <w:rFonts w:ascii="Times New Roman" w:hAnsi="Times New Roman" w:cs="Times New Roman"/>
          <w:sz w:val="28"/>
          <w:szCs w:val="28"/>
        </w:rPr>
        <w:t>Коммерческими банками в России создаются следующие виды резервов:</w:t>
      </w:r>
    </w:p>
    <w:p w:rsidR="002347FD" w:rsidRPr="002347FD" w:rsidRDefault="00545F6E" w:rsidP="0023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FD">
        <w:rPr>
          <w:rFonts w:ascii="Times New Roman" w:hAnsi="Times New Roman" w:cs="Times New Roman"/>
          <w:sz w:val="28"/>
          <w:szCs w:val="28"/>
        </w:rPr>
        <w:t>–</w:t>
      </w:r>
      <w:r w:rsidR="002347FD" w:rsidRPr="002347FD">
        <w:rPr>
          <w:rFonts w:ascii="Times New Roman" w:hAnsi="Times New Roman" w:cs="Times New Roman"/>
          <w:sz w:val="28"/>
          <w:szCs w:val="28"/>
        </w:rPr>
        <w:t xml:space="preserve"> обязательные резервы – средства, которые банки должны хранить на корреспондентских счетах в Центробанке;</w:t>
      </w:r>
    </w:p>
    <w:p w:rsidR="002347FD" w:rsidRPr="002347FD" w:rsidRDefault="002347FD" w:rsidP="0023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FD">
        <w:rPr>
          <w:rFonts w:ascii="Times New Roman" w:hAnsi="Times New Roman" w:cs="Times New Roman"/>
          <w:sz w:val="28"/>
          <w:szCs w:val="28"/>
        </w:rPr>
        <w:t xml:space="preserve"> – резервный фонд банка – служит для покрытия убытков банка, возникающих в результате его деятельности, а также для увеличения уставного капитала;</w:t>
      </w:r>
    </w:p>
    <w:p w:rsidR="002347FD" w:rsidRPr="002347FD" w:rsidRDefault="002347FD" w:rsidP="0023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47FD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0A678E">
        <w:rPr>
          <w:rFonts w:ascii="Times New Roman" w:hAnsi="Times New Roman" w:cs="Times New Roman"/>
          <w:sz w:val="28"/>
          <w:szCs w:val="28"/>
        </w:rPr>
        <w:t xml:space="preserve"> под возможные потери по ссудам</w:t>
      </w:r>
      <w:r w:rsidRPr="002347FD">
        <w:rPr>
          <w:rFonts w:ascii="Times New Roman" w:hAnsi="Times New Roman" w:cs="Times New Roman"/>
          <w:sz w:val="28"/>
          <w:szCs w:val="28"/>
        </w:rPr>
        <w:t>;</w:t>
      </w:r>
    </w:p>
    <w:p w:rsidR="002347FD" w:rsidRPr="002347FD" w:rsidRDefault="002347FD" w:rsidP="0023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FD">
        <w:rPr>
          <w:rFonts w:ascii="Times New Roman" w:hAnsi="Times New Roman" w:cs="Times New Roman"/>
          <w:sz w:val="28"/>
          <w:szCs w:val="28"/>
        </w:rPr>
        <w:t>– резерв под обесценение вложений в ценные бумаги – служат для покрытия возможных убытков в результате продажи ценных бумаг, числящихся на балансе банка, которые котируются на бирже или специальных аукционах;</w:t>
      </w:r>
    </w:p>
    <w:p w:rsidR="002347FD" w:rsidRDefault="002347FD" w:rsidP="0023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FD">
        <w:rPr>
          <w:rFonts w:ascii="Times New Roman" w:hAnsi="Times New Roman" w:cs="Times New Roman"/>
          <w:sz w:val="28"/>
          <w:szCs w:val="28"/>
        </w:rPr>
        <w:t>– резервы под возможные потери с целью избегания следующих рисков неисполнения обязательств со стороны контрагентов банка по операциям или заключенным сделкам.</w:t>
      </w:r>
    </w:p>
    <w:p w:rsidR="000A678E" w:rsidRPr="00C10DCC" w:rsidRDefault="000A678E" w:rsidP="00234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Диверсификация представляет собой процесс размещения актива банковской организации среди заемщиков. Это необходимо, чтобы кредитный риск снижался.</w:t>
      </w:r>
    </w:p>
    <w:p w:rsidR="002347FD" w:rsidRPr="00C10DCC" w:rsidRDefault="002347FD" w:rsidP="00C10D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FD">
        <w:rPr>
          <w:rFonts w:ascii="Times New Roman" w:hAnsi="Times New Roman" w:cs="Times New Roman"/>
          <w:sz w:val="28"/>
          <w:szCs w:val="28"/>
        </w:rPr>
        <w:lastRenderedPageBreak/>
        <w:t>Может также быть диверсификация видов активных операций, диверсификация фондового и валютного портфелей банка.</w:t>
      </w:r>
    </w:p>
    <w:p w:rsidR="000A678E" w:rsidRDefault="002347FD" w:rsidP="00C10D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FD">
        <w:rPr>
          <w:rFonts w:ascii="Times New Roman" w:hAnsi="Times New Roman" w:cs="Times New Roman"/>
          <w:color w:val="000000" w:themeColor="text1"/>
          <w:sz w:val="28"/>
          <w:szCs w:val="28"/>
        </w:rPr>
        <w:t>Минимизировать риски банка возможно за счет соблюдения соответствующих нормативов, установленных ЦБР.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78E">
        <w:rPr>
          <w:rFonts w:ascii="Times New Roman" w:hAnsi="Times New Roman" w:cs="Times New Roman"/>
          <w:sz w:val="28"/>
          <w:szCs w:val="28"/>
        </w:rPr>
        <w:t>Банк России ввел определенные критерии, которым должны следовать все коммерческие банки, что позволит им стать стабильнее, повысить обеспечение экономической безопасности, укрепить свои позиции в экономике.</w:t>
      </w:r>
    </w:p>
    <w:p w:rsidR="00C10DCC" w:rsidRPr="00C10DCC" w:rsidRDefault="002347FD" w:rsidP="000A67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инструментом является </w:t>
      </w:r>
      <w:r w:rsidR="00C10DCC" w:rsidRPr="00C10DCC">
        <w:rPr>
          <w:rFonts w:ascii="Times New Roman" w:hAnsi="Times New Roman" w:cs="Times New Roman"/>
          <w:sz w:val="28"/>
          <w:szCs w:val="28"/>
        </w:rPr>
        <w:t>организационная защита (</w:t>
      </w:r>
      <w:r w:rsidR="000A678E">
        <w:rPr>
          <w:rFonts w:ascii="Times New Roman" w:hAnsi="Times New Roman" w:cs="Times New Roman"/>
          <w:sz w:val="28"/>
          <w:szCs w:val="28"/>
        </w:rPr>
        <w:t>касается сотрудников и уровня их профессиональной деятельности)</w:t>
      </w:r>
      <w:r w:rsidR="00C10DCC" w:rsidRPr="00C10DCC">
        <w:rPr>
          <w:rFonts w:ascii="Times New Roman" w:hAnsi="Times New Roman" w:cs="Times New Roman"/>
          <w:sz w:val="28"/>
          <w:szCs w:val="28"/>
        </w:rPr>
        <w:t>.</w:t>
      </w:r>
    </w:p>
    <w:p w:rsidR="000A678E" w:rsidRDefault="000A678E" w:rsidP="00C10D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банка должен время от времени повышать свои навыки, набираться опыта и улучшать свою квалификацию. Для этого существует система управления повышением квалификации, основой которой являются следующие принципы:</w:t>
      </w:r>
    </w:p>
    <w:p w:rsidR="00C10DCC" w:rsidRPr="00C10DCC" w:rsidRDefault="00C10DCC" w:rsidP="00C10D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0DCC">
        <w:rPr>
          <w:rFonts w:ascii="Times New Roman" w:hAnsi="Times New Roman" w:cs="Times New Roman"/>
          <w:sz w:val="28"/>
          <w:szCs w:val="28"/>
        </w:rPr>
        <w:t xml:space="preserve"> планомерност</w:t>
      </w:r>
      <w:r w:rsidR="000A678E">
        <w:rPr>
          <w:rFonts w:ascii="Times New Roman" w:hAnsi="Times New Roman" w:cs="Times New Roman"/>
          <w:sz w:val="28"/>
          <w:szCs w:val="28"/>
        </w:rPr>
        <w:t>ь</w:t>
      </w:r>
      <w:r w:rsidRPr="00C10DCC">
        <w:rPr>
          <w:rFonts w:ascii="Times New Roman" w:hAnsi="Times New Roman" w:cs="Times New Roman"/>
          <w:sz w:val="28"/>
          <w:szCs w:val="28"/>
        </w:rPr>
        <w:t>;</w:t>
      </w:r>
    </w:p>
    <w:p w:rsidR="00C10DCC" w:rsidRPr="00C10DCC" w:rsidRDefault="00C10DCC" w:rsidP="00C10D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0DCC">
        <w:rPr>
          <w:rFonts w:ascii="Times New Roman" w:hAnsi="Times New Roman" w:cs="Times New Roman"/>
          <w:sz w:val="28"/>
          <w:szCs w:val="28"/>
        </w:rPr>
        <w:t xml:space="preserve"> систематичност</w:t>
      </w:r>
      <w:r w:rsidR="000A678E">
        <w:rPr>
          <w:rFonts w:ascii="Times New Roman" w:hAnsi="Times New Roman" w:cs="Times New Roman"/>
          <w:sz w:val="28"/>
          <w:szCs w:val="28"/>
        </w:rPr>
        <w:t>ь</w:t>
      </w:r>
      <w:r w:rsidRPr="00C10DCC">
        <w:rPr>
          <w:rFonts w:ascii="Times New Roman" w:hAnsi="Times New Roman" w:cs="Times New Roman"/>
          <w:sz w:val="28"/>
          <w:szCs w:val="28"/>
        </w:rPr>
        <w:t>;</w:t>
      </w:r>
    </w:p>
    <w:p w:rsidR="000A678E" w:rsidRDefault="00C10DCC" w:rsidP="00C10D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0DCC">
        <w:rPr>
          <w:rFonts w:ascii="Times New Roman" w:hAnsi="Times New Roman" w:cs="Times New Roman"/>
          <w:sz w:val="28"/>
          <w:szCs w:val="28"/>
        </w:rPr>
        <w:t xml:space="preserve"> </w:t>
      </w:r>
      <w:r w:rsidR="000A678E">
        <w:rPr>
          <w:rFonts w:ascii="Times New Roman" w:hAnsi="Times New Roman" w:cs="Times New Roman"/>
          <w:sz w:val="28"/>
          <w:szCs w:val="28"/>
        </w:rPr>
        <w:t>постоянное обновление знаний и умений.</w:t>
      </w:r>
    </w:p>
    <w:p w:rsidR="00545F6E" w:rsidRPr="00545F6E" w:rsidRDefault="00C10DCC" w:rsidP="00545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C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347FD">
        <w:rPr>
          <w:rFonts w:ascii="Times New Roman" w:hAnsi="Times New Roman" w:cs="Times New Roman"/>
          <w:sz w:val="28"/>
          <w:szCs w:val="28"/>
        </w:rPr>
        <w:t xml:space="preserve">мы изучили </w:t>
      </w:r>
      <w:r w:rsidR="002347FD" w:rsidRPr="002347FD">
        <w:rPr>
          <w:rFonts w:ascii="Times New Roman" w:hAnsi="Times New Roman" w:cs="Times New Roman"/>
          <w:sz w:val="28"/>
          <w:szCs w:val="28"/>
        </w:rPr>
        <w:t>особенности и инструментарий обеспечения экономической безопасности коммерческого банка в условиях финансовой нестабильности</w:t>
      </w:r>
      <w:r w:rsidR="002347FD">
        <w:rPr>
          <w:rFonts w:ascii="Times New Roman" w:hAnsi="Times New Roman" w:cs="Times New Roman"/>
          <w:sz w:val="28"/>
          <w:szCs w:val="28"/>
        </w:rPr>
        <w:t>.</w:t>
      </w:r>
      <w:r w:rsidR="00545F6E">
        <w:rPr>
          <w:rFonts w:ascii="Times New Roman" w:hAnsi="Times New Roman" w:cs="Times New Roman"/>
          <w:sz w:val="28"/>
          <w:szCs w:val="28"/>
        </w:rPr>
        <w:t xml:space="preserve"> </w:t>
      </w:r>
      <w:r w:rsidR="00545F6E" w:rsidRPr="00545F6E">
        <w:rPr>
          <w:rFonts w:ascii="Times New Roman" w:hAnsi="Times New Roman" w:cs="Times New Roman"/>
          <w:sz w:val="28"/>
          <w:szCs w:val="28"/>
        </w:rPr>
        <w:t>Для начала необходимо указать, что инструментарий делится на две основные группы: внешние и внутренние. Внешние методы обеспечения экономической безопасности банков использует государство в целях обеспечения безопасности банковской системы. Внутренние методы включают не только управление рисками, но и управление доходностью и ликвидностью банка.</w:t>
      </w:r>
    </w:p>
    <w:p w:rsidR="00545F6E" w:rsidRPr="00545F6E" w:rsidRDefault="00545F6E" w:rsidP="00545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F6E">
        <w:rPr>
          <w:rFonts w:ascii="Times New Roman" w:hAnsi="Times New Roman" w:cs="Times New Roman"/>
          <w:sz w:val="28"/>
          <w:szCs w:val="28"/>
        </w:rPr>
        <w:t>Перечислим основные инструменты:</w:t>
      </w:r>
    </w:p>
    <w:p w:rsidR="00545F6E" w:rsidRPr="00545F6E" w:rsidRDefault="00545F6E" w:rsidP="00545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F6E">
        <w:rPr>
          <w:rFonts w:ascii="Times New Roman" w:hAnsi="Times New Roman" w:cs="Times New Roman"/>
          <w:sz w:val="28"/>
          <w:szCs w:val="28"/>
        </w:rPr>
        <w:t>– управление рисками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F6E" w:rsidRPr="00545F6E" w:rsidRDefault="00545F6E" w:rsidP="00545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F6E">
        <w:rPr>
          <w:rFonts w:ascii="Times New Roman" w:hAnsi="Times New Roman" w:cs="Times New Roman"/>
          <w:sz w:val="28"/>
          <w:szCs w:val="28"/>
        </w:rPr>
        <w:t>– создание резервов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F6E" w:rsidRPr="00545F6E" w:rsidRDefault="00545F6E" w:rsidP="00545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F6E">
        <w:rPr>
          <w:rFonts w:ascii="Times New Roman" w:hAnsi="Times New Roman" w:cs="Times New Roman"/>
          <w:sz w:val="28"/>
          <w:szCs w:val="28"/>
        </w:rPr>
        <w:t>– диверсификация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0DCC" w:rsidRDefault="00545F6E" w:rsidP="00545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F6E">
        <w:rPr>
          <w:rFonts w:ascii="Times New Roman" w:hAnsi="Times New Roman" w:cs="Times New Roman"/>
          <w:sz w:val="28"/>
          <w:szCs w:val="28"/>
        </w:rPr>
        <w:t>– организационная защита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DCC" w:rsidRDefault="00545F6E" w:rsidP="00545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Определенные инструменты обеспечения экономической безопасности коммерческого банка необходимы, поскольку б</w:t>
      </w:r>
      <w:r w:rsidRPr="002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анки в своей деятельности постоянно сталкиваются с различными угрозами и рисками. Часть из них порождается внешними причинами, часть – внутренними.</w:t>
      </w:r>
    </w:p>
    <w:p w:rsidR="0027750E" w:rsidRPr="00C10DCC" w:rsidRDefault="0027750E" w:rsidP="00C10D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50E" w:rsidRPr="003C2EF7" w:rsidRDefault="0027750E" w:rsidP="002775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F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50E">
        <w:rPr>
          <w:rFonts w:ascii="Times New Roman" w:hAnsi="Times New Roman" w:cs="Times New Roman"/>
          <w:b/>
          <w:sz w:val="28"/>
          <w:szCs w:val="28"/>
        </w:rPr>
        <w:t>Показатели-индикаторы уровня экономической безопасности коммерческого банка</w:t>
      </w:r>
    </w:p>
    <w:p w:rsidR="0027750E" w:rsidRPr="003C2EF7" w:rsidRDefault="0027750E" w:rsidP="0027750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7A0" w:rsidRDefault="00C957A0" w:rsidP="00277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экономике выделяют различные принципы, подходы, различные инструменты, которые помогают достичь организациям финансовой устойчивости в функционировании кредитных организаций.</w:t>
      </w:r>
    </w:p>
    <w:p w:rsidR="00C957A0" w:rsidRDefault="00C957A0" w:rsidP="00277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ЦБР, осуществляя управление финансовым сектором, старается снизить системные риски, а также стремится к увеличению способности банков быть платежеспособными, иметь достаточный запас ликвидных активов, что характеризует кредитную организацию, как нормально действующее. Еще одной функцией ЦБР в рамках обеспечения экономической безопасности является факторам, которые относятся к деятельности кредитования, а именно стандарты кредитования, возможность людей выплачивать долги, увеличение резервов капитала. Все это улучшает устойчивость финансовой системы, что позволяет быть готовым к любым непредвиденным обстоятел</w:t>
      </w:r>
      <w:r w:rsidR="00B5295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ствам.</w:t>
      </w:r>
    </w:p>
    <w:p w:rsidR="00794385" w:rsidRDefault="00794385" w:rsidP="00277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анализом экономической безопасности коммерческого банка и его оценкой, важно провести анализ его хозяйственной деятельности. Для этого необходимо посчитать динамику величины активов</w:t>
      </w:r>
      <w:r w:rsidR="00E7776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пассивов</w:t>
      </w:r>
      <w:r w:rsidR="0076015A">
        <w:rPr>
          <w:rFonts w:ascii="Times New Roman" w:hAnsi="Times New Roman" w:cs="Times New Roman"/>
          <w:sz w:val="28"/>
          <w:szCs w:val="28"/>
        </w:rPr>
        <w:t>, депозитных источников финансовых ресурсов, финансовых результатов</w:t>
      </w:r>
      <w:r w:rsidR="00E77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763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сделать по получившимся результатам вывод о характеристике финансово-хозяйственной деятельности банка в целом.</w:t>
      </w:r>
    </w:p>
    <w:p w:rsidR="00545F6E" w:rsidRDefault="00545F6E" w:rsidP="00277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F6E">
        <w:rPr>
          <w:rFonts w:ascii="Times New Roman" w:hAnsi="Times New Roman" w:cs="Times New Roman"/>
          <w:sz w:val="28"/>
          <w:szCs w:val="28"/>
        </w:rPr>
        <w:t xml:space="preserve">Наиболее распространенным является индикативный (индикаторный) подход, который заключается в использовании нормативов как показателей-индикаторов, характеризующих финансовую составляющую экономической </w:t>
      </w:r>
      <w:r w:rsidRPr="00545F6E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банка, и в сравнении их фактических значений коэффициентов </w:t>
      </w:r>
      <w:proofErr w:type="gramStart"/>
      <w:r w:rsidRPr="00545F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5F6E">
        <w:rPr>
          <w:rFonts w:ascii="Times New Roman" w:hAnsi="Times New Roman" w:cs="Times New Roman"/>
          <w:sz w:val="28"/>
          <w:szCs w:val="28"/>
        </w:rPr>
        <w:t xml:space="preserve"> пороговыми.</w:t>
      </w:r>
    </w:p>
    <w:p w:rsidR="00E77763" w:rsidRPr="00E77763" w:rsidRDefault="00794385" w:rsidP="00E77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85">
        <w:rPr>
          <w:rFonts w:ascii="Times New Roman" w:hAnsi="Times New Roman" w:cs="Times New Roman"/>
          <w:sz w:val="28"/>
          <w:szCs w:val="28"/>
        </w:rPr>
        <w:t>Устойчивость банка характеризуется достаточно</w:t>
      </w:r>
      <w:r w:rsidR="00E77763">
        <w:rPr>
          <w:rFonts w:ascii="Times New Roman" w:hAnsi="Times New Roman" w:cs="Times New Roman"/>
          <w:sz w:val="28"/>
          <w:szCs w:val="28"/>
        </w:rPr>
        <w:t xml:space="preserve">стью капитала. Она оценивается </w:t>
      </w:r>
      <w:r w:rsidRPr="00794385">
        <w:rPr>
          <w:rFonts w:ascii="Times New Roman" w:hAnsi="Times New Roman" w:cs="Times New Roman"/>
          <w:sz w:val="28"/>
          <w:szCs w:val="28"/>
        </w:rPr>
        <w:t>как отношение собственн</w:t>
      </w:r>
      <w:r w:rsidR="00E77763">
        <w:rPr>
          <w:rFonts w:ascii="Times New Roman" w:hAnsi="Times New Roman" w:cs="Times New Roman"/>
          <w:sz w:val="28"/>
          <w:szCs w:val="28"/>
        </w:rPr>
        <w:t xml:space="preserve">ого капитала к </w:t>
      </w:r>
      <w:r w:rsidRPr="00794385">
        <w:rPr>
          <w:rFonts w:ascii="Times New Roman" w:hAnsi="Times New Roman" w:cs="Times New Roman"/>
          <w:sz w:val="28"/>
          <w:szCs w:val="28"/>
        </w:rPr>
        <w:t>активам, взвешенным по уровню риска.</w:t>
      </w:r>
      <w:r w:rsidR="00E77763">
        <w:rPr>
          <w:rFonts w:ascii="Times New Roman" w:hAnsi="Times New Roman" w:cs="Times New Roman"/>
          <w:sz w:val="28"/>
          <w:szCs w:val="28"/>
        </w:rPr>
        <w:t xml:space="preserve"> </w:t>
      </w:r>
      <w:r w:rsidR="00E77763" w:rsidRPr="00E77763">
        <w:rPr>
          <w:rFonts w:ascii="Times New Roman" w:hAnsi="Times New Roman" w:cs="Times New Roman"/>
          <w:sz w:val="28"/>
          <w:szCs w:val="28"/>
        </w:rPr>
        <w:t>ЦБР оценивает на основе соблюдени</w:t>
      </w:r>
      <w:r w:rsidR="00CC6890">
        <w:rPr>
          <w:rFonts w:ascii="Times New Roman" w:hAnsi="Times New Roman" w:cs="Times New Roman"/>
          <w:sz w:val="28"/>
          <w:szCs w:val="28"/>
        </w:rPr>
        <w:t>я нормативов достаточности капи</w:t>
      </w:r>
      <w:r w:rsidR="00E77763" w:rsidRPr="00E77763">
        <w:rPr>
          <w:rFonts w:ascii="Times New Roman" w:hAnsi="Times New Roman" w:cs="Times New Roman"/>
          <w:sz w:val="28"/>
          <w:szCs w:val="28"/>
        </w:rPr>
        <w:t>тала</w:t>
      </w:r>
      <w:r w:rsidR="00CC6890">
        <w:rPr>
          <w:rFonts w:ascii="Times New Roman" w:hAnsi="Times New Roman" w:cs="Times New Roman"/>
          <w:sz w:val="28"/>
          <w:szCs w:val="28"/>
        </w:rPr>
        <w:t xml:space="preserve"> (</w:t>
      </w:r>
      <w:r w:rsidR="00CC6890" w:rsidRPr="00CC6890">
        <w:rPr>
          <w:rFonts w:ascii="Times New Roman" w:hAnsi="Times New Roman" w:cs="Times New Roman"/>
          <w:sz w:val="28"/>
          <w:szCs w:val="28"/>
        </w:rPr>
        <w:t xml:space="preserve">Инструкция Банка России </w:t>
      </w:r>
      <w:r w:rsidR="00C957A0">
        <w:rPr>
          <w:rFonts w:ascii="Times New Roman" w:hAnsi="Times New Roman" w:cs="Times New Roman"/>
          <w:sz w:val="28"/>
          <w:szCs w:val="28"/>
        </w:rPr>
        <w:t>№ 180-И</w:t>
      </w:r>
      <w:r w:rsidR="00CC6890">
        <w:rPr>
          <w:rFonts w:ascii="Times New Roman" w:hAnsi="Times New Roman" w:cs="Times New Roman"/>
          <w:sz w:val="28"/>
          <w:szCs w:val="28"/>
        </w:rPr>
        <w:t>)</w:t>
      </w:r>
      <w:r w:rsidR="00E77763" w:rsidRPr="00E77763">
        <w:rPr>
          <w:rFonts w:ascii="Times New Roman" w:hAnsi="Times New Roman" w:cs="Times New Roman"/>
          <w:sz w:val="28"/>
          <w:szCs w:val="28"/>
        </w:rPr>
        <w:t>:</w:t>
      </w:r>
    </w:p>
    <w:p w:rsidR="00C957A0" w:rsidRDefault="00E77763" w:rsidP="00E77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6890">
        <w:rPr>
          <w:rFonts w:ascii="Times New Roman" w:hAnsi="Times New Roman" w:cs="Times New Roman"/>
          <w:sz w:val="28"/>
          <w:szCs w:val="28"/>
        </w:rPr>
        <w:t>Норматив</w:t>
      </w:r>
      <w:r w:rsidR="00C957A0">
        <w:rPr>
          <w:rFonts w:ascii="Times New Roman" w:hAnsi="Times New Roman" w:cs="Times New Roman"/>
          <w:sz w:val="28"/>
          <w:szCs w:val="28"/>
        </w:rPr>
        <w:t xml:space="preserve"> совокупного капитала Н</w:t>
      </w:r>
      <w:proofErr w:type="gramStart"/>
      <w:r w:rsidR="00C957A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957A0">
        <w:rPr>
          <w:rFonts w:ascii="Times New Roman" w:hAnsi="Times New Roman" w:cs="Times New Roman"/>
          <w:sz w:val="28"/>
          <w:szCs w:val="28"/>
        </w:rPr>
        <w:t>.0 ≥8 %</w:t>
      </w:r>
      <w:r w:rsidR="00CC6890" w:rsidRPr="00CC6890">
        <w:rPr>
          <w:rFonts w:ascii="Times New Roman" w:hAnsi="Times New Roman" w:cs="Times New Roman"/>
          <w:sz w:val="28"/>
          <w:szCs w:val="28"/>
        </w:rPr>
        <w:t xml:space="preserve">. </w:t>
      </w:r>
      <w:r w:rsidR="00C957A0">
        <w:rPr>
          <w:rFonts w:ascii="Times New Roman" w:hAnsi="Times New Roman" w:cs="Times New Roman"/>
          <w:sz w:val="28"/>
          <w:szCs w:val="28"/>
        </w:rPr>
        <w:t>Показывает, насколько банк может справиться с финансовыми потерями с помощью своих денег.</w:t>
      </w:r>
    </w:p>
    <w:p w:rsidR="00E77763" w:rsidRPr="00E77763" w:rsidRDefault="00E77763" w:rsidP="00E77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6890">
        <w:rPr>
          <w:rFonts w:ascii="Times New Roman" w:hAnsi="Times New Roman" w:cs="Times New Roman"/>
          <w:sz w:val="28"/>
          <w:szCs w:val="28"/>
        </w:rPr>
        <w:t>Норматив</w:t>
      </w:r>
      <w:r w:rsidRPr="00E77763">
        <w:rPr>
          <w:rFonts w:ascii="Times New Roman" w:hAnsi="Times New Roman" w:cs="Times New Roman"/>
          <w:sz w:val="28"/>
          <w:szCs w:val="28"/>
        </w:rPr>
        <w:t xml:space="preserve"> достаточности базового капитала банка Н</w:t>
      </w:r>
      <w:proofErr w:type="gramStart"/>
      <w:r w:rsidRPr="00E777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77763">
        <w:rPr>
          <w:rFonts w:ascii="Times New Roman" w:hAnsi="Times New Roman" w:cs="Times New Roman"/>
          <w:sz w:val="28"/>
          <w:szCs w:val="28"/>
        </w:rPr>
        <w:t>.1 ≥ 4,5 %.</w:t>
      </w:r>
      <w:r w:rsidR="00CC6890">
        <w:rPr>
          <w:rFonts w:ascii="Times New Roman" w:hAnsi="Times New Roman" w:cs="Times New Roman"/>
          <w:sz w:val="28"/>
          <w:szCs w:val="28"/>
        </w:rPr>
        <w:t xml:space="preserve"> </w:t>
      </w:r>
      <w:r w:rsidR="00CC6890" w:rsidRPr="00CC6890">
        <w:rPr>
          <w:rFonts w:ascii="Times New Roman" w:hAnsi="Times New Roman" w:cs="Times New Roman"/>
          <w:sz w:val="28"/>
          <w:szCs w:val="28"/>
        </w:rPr>
        <w:t>Показывает отношение базового капитала к суммарным кредитным и рыночным рискам. Это дополнительный норматив в рамках стандарта «Базель III».</w:t>
      </w:r>
    </w:p>
    <w:p w:rsidR="00E77763" w:rsidRPr="00E77763" w:rsidRDefault="00CC6890" w:rsidP="00E77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Норматив</w:t>
      </w:r>
      <w:r w:rsidR="00E77763" w:rsidRPr="00E77763">
        <w:rPr>
          <w:rFonts w:ascii="Times New Roman" w:hAnsi="Times New Roman" w:cs="Times New Roman"/>
          <w:sz w:val="28"/>
          <w:szCs w:val="28"/>
        </w:rPr>
        <w:t xml:space="preserve"> достаточности основного капитала Н</w:t>
      </w:r>
      <w:proofErr w:type="gramStart"/>
      <w:r w:rsidR="00E77763" w:rsidRPr="00E777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77763" w:rsidRPr="00E77763">
        <w:rPr>
          <w:rFonts w:ascii="Times New Roman" w:hAnsi="Times New Roman" w:cs="Times New Roman"/>
          <w:sz w:val="28"/>
          <w:szCs w:val="28"/>
        </w:rPr>
        <w:t>.2 ≥ 6 %.</w:t>
      </w:r>
    </w:p>
    <w:p w:rsidR="00794385" w:rsidRDefault="00CC6890" w:rsidP="00E77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7763" w:rsidRPr="00E7776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</w:t>
      </w:r>
      <w:r w:rsidR="00E77763" w:rsidRPr="00E77763">
        <w:rPr>
          <w:rFonts w:ascii="Times New Roman" w:hAnsi="Times New Roman" w:cs="Times New Roman"/>
          <w:sz w:val="28"/>
          <w:szCs w:val="28"/>
        </w:rPr>
        <w:t xml:space="preserve"> финансового рычага Н</w:t>
      </w:r>
      <w:proofErr w:type="gramStart"/>
      <w:r w:rsidR="00E77763" w:rsidRPr="00E777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77763" w:rsidRPr="00E77763">
        <w:rPr>
          <w:rFonts w:ascii="Times New Roman" w:hAnsi="Times New Roman" w:cs="Times New Roman"/>
          <w:sz w:val="28"/>
          <w:szCs w:val="28"/>
        </w:rPr>
        <w:t>.4 ≥3 %.</w:t>
      </w:r>
    </w:p>
    <w:p w:rsidR="005152BC" w:rsidRDefault="005152BC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8BC">
        <w:rPr>
          <w:rFonts w:ascii="Times New Roman" w:hAnsi="Times New Roman" w:cs="Times New Roman"/>
          <w:sz w:val="28"/>
          <w:szCs w:val="28"/>
        </w:rPr>
        <w:t>Нормативы</w:t>
      </w:r>
      <w:r w:rsidRPr="005152BC">
        <w:rPr>
          <w:rFonts w:ascii="Times New Roman" w:hAnsi="Times New Roman" w:cs="Times New Roman"/>
          <w:sz w:val="28"/>
          <w:szCs w:val="28"/>
        </w:rPr>
        <w:t xml:space="preserve"> устанавливают граничный ориентир для соблюдения соотношения капитала банка с активами, скорректированными на кредитный, операционный и рыночный риски.</w:t>
      </w:r>
      <w:proofErr w:type="gramEnd"/>
      <w:r w:rsidRPr="005152BC">
        <w:rPr>
          <w:rFonts w:ascii="Times New Roman" w:hAnsi="Times New Roman" w:cs="Times New Roman"/>
          <w:sz w:val="28"/>
          <w:szCs w:val="28"/>
        </w:rPr>
        <w:t xml:space="preserve"> Наряду с этим регулирование достаточности капитала занимает ключевое место в системе управления доходностью деятельности банка и рисками. Обеспечение и регулирование достаточности капитала связано с отвлечением доходных активов и дополнительными управленческими затратами, что снижает прибыль и рен</w:t>
      </w:r>
      <w:r>
        <w:rPr>
          <w:rFonts w:ascii="Times New Roman" w:hAnsi="Times New Roman" w:cs="Times New Roman"/>
          <w:sz w:val="28"/>
          <w:szCs w:val="28"/>
        </w:rPr>
        <w:t>табельность банковского бизнеса</w:t>
      </w:r>
      <w:r w:rsidRPr="005152BC">
        <w:rPr>
          <w:rFonts w:ascii="Times New Roman" w:hAnsi="Times New Roman" w:cs="Times New Roman"/>
          <w:sz w:val="28"/>
          <w:szCs w:val="28"/>
        </w:rPr>
        <w:t>.</w:t>
      </w:r>
    </w:p>
    <w:p w:rsidR="005152BC" w:rsidRDefault="005152BC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данных нормативов должны увеличиваться в динамике и быть выше отведенного значения, что будет являться положительным фактором для кредитной организации.</w:t>
      </w:r>
    </w:p>
    <w:p w:rsidR="005152BC" w:rsidRPr="005152BC" w:rsidRDefault="005152BC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2BC">
        <w:rPr>
          <w:rFonts w:ascii="Times New Roman" w:hAnsi="Times New Roman" w:cs="Times New Roman"/>
          <w:sz w:val="28"/>
          <w:szCs w:val="28"/>
        </w:rPr>
        <w:t>К обязательным нормативам деятельности банка относятся следующие [</w:t>
      </w:r>
      <w:r w:rsidR="00F82D72">
        <w:rPr>
          <w:rFonts w:ascii="Times New Roman" w:hAnsi="Times New Roman" w:cs="Times New Roman"/>
          <w:sz w:val="28"/>
          <w:szCs w:val="28"/>
        </w:rPr>
        <w:t>21</w:t>
      </w:r>
      <w:r w:rsidRPr="005152BC">
        <w:rPr>
          <w:rFonts w:ascii="Times New Roman" w:hAnsi="Times New Roman" w:cs="Times New Roman"/>
          <w:sz w:val="28"/>
          <w:szCs w:val="28"/>
        </w:rPr>
        <w:t xml:space="preserve">]: </w:t>
      </w:r>
    </w:p>
    <w:p w:rsidR="005152BC" w:rsidRPr="005152BC" w:rsidRDefault="005152BC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52BC">
        <w:rPr>
          <w:rFonts w:ascii="Times New Roman" w:hAnsi="Times New Roman" w:cs="Times New Roman"/>
          <w:sz w:val="28"/>
          <w:szCs w:val="28"/>
        </w:rPr>
        <w:t>) нормативы ликвидности:</w:t>
      </w:r>
    </w:p>
    <w:p w:rsidR="002E28D1" w:rsidRDefault="005152BC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2BC">
        <w:rPr>
          <w:rFonts w:ascii="Times New Roman" w:hAnsi="Times New Roman" w:cs="Times New Roman"/>
          <w:sz w:val="28"/>
          <w:szCs w:val="28"/>
        </w:rPr>
        <w:t>– норматив мг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28D1">
        <w:rPr>
          <w:rFonts w:ascii="Times New Roman" w:hAnsi="Times New Roman" w:cs="Times New Roman"/>
          <w:sz w:val="28"/>
          <w:szCs w:val="28"/>
        </w:rPr>
        <w:t>овенной ликвидности (Н</w:t>
      </w:r>
      <w:proofErr w:type="gramStart"/>
      <w:r w:rsidR="002E28D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E28D1">
        <w:rPr>
          <w:rFonts w:ascii="Times New Roman" w:hAnsi="Times New Roman" w:cs="Times New Roman"/>
          <w:sz w:val="28"/>
          <w:szCs w:val="28"/>
        </w:rPr>
        <w:t>) &gt; 15%;</w:t>
      </w:r>
    </w:p>
    <w:p w:rsidR="00C957A0" w:rsidRDefault="00C957A0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7A0" w:rsidRDefault="00C957A0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</w:t>
      </w:r>
      <w:r w:rsidR="00EE3163">
        <w:rPr>
          <w:rFonts w:ascii="Times New Roman" w:hAnsi="Times New Roman" w:cs="Times New Roman"/>
          <w:sz w:val="28"/>
          <w:szCs w:val="28"/>
        </w:rPr>
        <w:t>осуществляет оценку ликвидности банковского учреждения за 1 операционный день. Если показатель будет менее 15%, то это значит, что банк не обладает нормой ликвидности, чтобы покрыть отток средств.</w:t>
      </w:r>
    </w:p>
    <w:p w:rsidR="002E28D1" w:rsidRDefault="005152BC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2B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152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152BC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 xml:space="preserve"> текущей ликвидности (Н3) &gt; 50%. </w:t>
      </w:r>
    </w:p>
    <w:p w:rsidR="00EE3163" w:rsidRDefault="00EE3163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осуществляет оценку ликвидности банковского учреждения за 30 дней. С помощью данного норматива можно узнать, имеет ли возможность банковское учреждение выстоять, если половина обязательств (срок погашения </w:t>
      </w:r>
      <w:r w:rsidRPr="005152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 30 дней) будет изъята. Устоять должно за счет своих средств и активов.</w:t>
      </w:r>
    </w:p>
    <w:p w:rsidR="002E28D1" w:rsidRDefault="005152BC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2BC">
        <w:rPr>
          <w:rFonts w:ascii="Times New Roman" w:hAnsi="Times New Roman" w:cs="Times New Roman"/>
          <w:sz w:val="28"/>
          <w:szCs w:val="28"/>
        </w:rPr>
        <w:t>– норматив долгосрочной ликвидности (Н</w:t>
      </w:r>
      <w:proofErr w:type="gramStart"/>
      <w:r w:rsidRPr="005152B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152BC">
        <w:rPr>
          <w:rFonts w:ascii="Times New Roman" w:hAnsi="Times New Roman" w:cs="Times New Roman"/>
          <w:sz w:val="28"/>
          <w:szCs w:val="28"/>
        </w:rPr>
        <w:t>) &lt; 12</w:t>
      </w:r>
      <w:r w:rsidR="002E28D1">
        <w:rPr>
          <w:rFonts w:ascii="Times New Roman" w:hAnsi="Times New Roman" w:cs="Times New Roman"/>
          <w:sz w:val="28"/>
          <w:szCs w:val="28"/>
        </w:rPr>
        <w:t>0%;</w:t>
      </w:r>
      <w:r w:rsidR="00032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63" w:rsidRDefault="00EE3163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осуществляет оценку </w:t>
      </w:r>
      <w:r w:rsidRPr="000326F2">
        <w:rPr>
          <w:rFonts w:ascii="Times New Roman" w:hAnsi="Times New Roman" w:cs="Times New Roman"/>
          <w:sz w:val="28"/>
          <w:szCs w:val="28"/>
        </w:rPr>
        <w:t>долгосрочной ликвидности</w:t>
      </w:r>
      <w:r>
        <w:rPr>
          <w:rFonts w:ascii="Times New Roman" w:hAnsi="Times New Roman" w:cs="Times New Roman"/>
          <w:sz w:val="28"/>
          <w:szCs w:val="28"/>
        </w:rPr>
        <w:t xml:space="preserve"> банковского учреждения за 1 год. Если показатель высокий, то банк вкладывается в долгосрочные активы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28D1" w:rsidRDefault="005152BC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52BC">
        <w:rPr>
          <w:rFonts w:ascii="Times New Roman" w:hAnsi="Times New Roman" w:cs="Times New Roman"/>
          <w:sz w:val="28"/>
          <w:szCs w:val="28"/>
        </w:rPr>
        <w:t>) норматив максимального размера крупн</w:t>
      </w:r>
      <w:r w:rsidR="000326F2">
        <w:rPr>
          <w:rFonts w:ascii="Times New Roman" w:hAnsi="Times New Roman" w:cs="Times New Roman"/>
          <w:sz w:val="28"/>
          <w:szCs w:val="28"/>
        </w:rPr>
        <w:t>ых кредитных ри</w:t>
      </w:r>
      <w:r w:rsidR="002E28D1">
        <w:rPr>
          <w:rFonts w:ascii="Times New Roman" w:hAnsi="Times New Roman" w:cs="Times New Roman"/>
          <w:sz w:val="28"/>
          <w:szCs w:val="28"/>
        </w:rPr>
        <w:t>сков (Н</w:t>
      </w:r>
      <w:proofErr w:type="gramStart"/>
      <w:r w:rsidR="002E28D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2E28D1">
        <w:rPr>
          <w:rFonts w:ascii="Times New Roman" w:hAnsi="Times New Roman" w:cs="Times New Roman"/>
          <w:sz w:val="28"/>
          <w:szCs w:val="28"/>
        </w:rPr>
        <w:t>) &lt; 800%;</w:t>
      </w:r>
      <w:r w:rsidR="00032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63" w:rsidRDefault="00EE3163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осуществляет регулирование кредитных рисков, а также способен определить их величину и величину своего капитала.</w:t>
      </w:r>
    </w:p>
    <w:p w:rsidR="002E28D1" w:rsidRDefault="005152BC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152BC">
        <w:rPr>
          <w:rFonts w:ascii="Times New Roman" w:hAnsi="Times New Roman" w:cs="Times New Roman"/>
          <w:sz w:val="28"/>
          <w:szCs w:val="28"/>
        </w:rPr>
        <w:t>) норматив максимального размера кредитов, банковских гарантий и поручительств, предоставленных банком своим участникам (Н</w:t>
      </w:r>
      <w:proofErr w:type="gramStart"/>
      <w:r w:rsidRPr="005152B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152BC">
        <w:rPr>
          <w:rFonts w:ascii="Times New Roman" w:hAnsi="Times New Roman" w:cs="Times New Roman"/>
          <w:sz w:val="28"/>
          <w:szCs w:val="28"/>
        </w:rPr>
        <w:t xml:space="preserve">.1) </w:t>
      </w:r>
      <w:r w:rsidR="002E28D1">
        <w:rPr>
          <w:rFonts w:ascii="Times New Roman" w:hAnsi="Times New Roman" w:cs="Times New Roman"/>
          <w:sz w:val="28"/>
          <w:szCs w:val="28"/>
        </w:rPr>
        <w:t>&lt; 50%;</w:t>
      </w:r>
      <w:r w:rsidR="00032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F9" w:rsidRDefault="009B51F9" w:rsidP="00515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осуществляет регулирование кредитных рисков акционеров.</w:t>
      </w:r>
    </w:p>
    <w:p w:rsidR="002E28D1" w:rsidRDefault="005152BC" w:rsidP="00032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52BC">
        <w:rPr>
          <w:rFonts w:ascii="Times New Roman" w:hAnsi="Times New Roman" w:cs="Times New Roman"/>
          <w:sz w:val="28"/>
          <w:szCs w:val="28"/>
        </w:rPr>
        <w:t xml:space="preserve">) норматив совокупной величины риска по инсайдерам банка (Н10.1) </w:t>
      </w:r>
      <w:r w:rsidR="002E28D1">
        <w:rPr>
          <w:rFonts w:ascii="Times New Roman" w:hAnsi="Times New Roman" w:cs="Times New Roman"/>
          <w:sz w:val="28"/>
          <w:szCs w:val="28"/>
        </w:rPr>
        <w:t>&lt; 3%;</w:t>
      </w:r>
    </w:p>
    <w:p w:rsidR="009B51F9" w:rsidRDefault="009B51F9" w:rsidP="00032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осуществляет регулирование совокупного кредитного риска инсайдеров.</w:t>
      </w:r>
    </w:p>
    <w:p w:rsidR="002E28D1" w:rsidRDefault="005152BC" w:rsidP="00032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152BC">
        <w:rPr>
          <w:rFonts w:ascii="Times New Roman" w:hAnsi="Times New Roman" w:cs="Times New Roman"/>
          <w:sz w:val="28"/>
          <w:szCs w:val="28"/>
        </w:rPr>
        <w:t>) норматив использования собственных средств банков для приобретения акций дру</w:t>
      </w:r>
      <w:r w:rsidR="002E28D1">
        <w:rPr>
          <w:rFonts w:ascii="Times New Roman" w:hAnsi="Times New Roman" w:cs="Times New Roman"/>
          <w:sz w:val="28"/>
          <w:szCs w:val="28"/>
        </w:rPr>
        <w:t>гих юридических лиц (Н12) &lt; 25%;</w:t>
      </w:r>
    </w:p>
    <w:p w:rsidR="009B51F9" w:rsidRDefault="009B51F9" w:rsidP="00032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осуществляет регулирование совокупного риска вложений банка в доли </w:t>
      </w:r>
      <w:r w:rsidR="00E85153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545F6E" w:rsidRDefault="00545F6E" w:rsidP="00032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F6E">
        <w:rPr>
          <w:rFonts w:ascii="Times New Roman" w:hAnsi="Times New Roman" w:cs="Times New Roman"/>
          <w:sz w:val="28"/>
          <w:szCs w:val="28"/>
        </w:rPr>
        <w:lastRenderedPageBreak/>
        <w:t>Существуют также подходы на основе расчета интегрального рейтингового показателя. Например, такой подход предусмотрен Указанием Банка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E851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4336-У </w:t>
      </w:r>
      <w:r w:rsidRPr="00545F6E">
        <w:rPr>
          <w:rFonts w:ascii="Times New Roman" w:hAnsi="Times New Roman" w:cs="Times New Roman"/>
          <w:sz w:val="28"/>
          <w:szCs w:val="28"/>
        </w:rPr>
        <w:t>«Об оценке экономического положения банков».</w:t>
      </w:r>
    </w:p>
    <w:p w:rsidR="00794385" w:rsidRDefault="00794385" w:rsidP="00794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85">
        <w:rPr>
          <w:rFonts w:ascii="Times New Roman" w:hAnsi="Times New Roman" w:cs="Times New Roman"/>
          <w:sz w:val="28"/>
          <w:szCs w:val="28"/>
        </w:rPr>
        <w:t>Так</w:t>
      </w:r>
      <w:r w:rsidR="000326F2">
        <w:rPr>
          <w:rFonts w:ascii="Times New Roman" w:hAnsi="Times New Roman" w:cs="Times New Roman"/>
          <w:sz w:val="28"/>
          <w:szCs w:val="28"/>
        </w:rPr>
        <w:t>,</w:t>
      </w:r>
      <w:r w:rsidRPr="00794385">
        <w:rPr>
          <w:rFonts w:ascii="Times New Roman" w:hAnsi="Times New Roman" w:cs="Times New Roman"/>
          <w:sz w:val="28"/>
          <w:szCs w:val="28"/>
        </w:rPr>
        <w:t xml:space="preserve"> помимо установления нормативов Банком России</w:t>
      </w:r>
      <w:r w:rsidR="000326F2">
        <w:rPr>
          <w:rFonts w:ascii="Times New Roman" w:hAnsi="Times New Roman" w:cs="Times New Roman"/>
          <w:sz w:val="28"/>
          <w:szCs w:val="28"/>
        </w:rPr>
        <w:t>,</w:t>
      </w:r>
      <w:r w:rsidRPr="00794385">
        <w:rPr>
          <w:rFonts w:ascii="Times New Roman" w:hAnsi="Times New Roman" w:cs="Times New Roman"/>
          <w:sz w:val="28"/>
          <w:szCs w:val="28"/>
        </w:rPr>
        <w:t xml:space="preserve"> разработаны и утверждены группы различных экономических норм и регуляторных ограничений в виде пороговых з</w:t>
      </w:r>
      <w:r w:rsidR="00545F6E">
        <w:rPr>
          <w:rFonts w:ascii="Times New Roman" w:hAnsi="Times New Roman" w:cs="Times New Roman"/>
          <w:sz w:val="28"/>
          <w:szCs w:val="28"/>
        </w:rPr>
        <w:t>начений применяемых показателей.</w:t>
      </w:r>
    </w:p>
    <w:p w:rsidR="0076015A" w:rsidRDefault="0076015A" w:rsidP="00794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15A">
        <w:rPr>
          <w:rFonts w:ascii="Times New Roman" w:hAnsi="Times New Roman" w:cs="Times New Roman"/>
          <w:sz w:val="28"/>
          <w:szCs w:val="28"/>
        </w:rPr>
        <w:t>Основным видом рисков актив</w:t>
      </w:r>
      <w:r>
        <w:rPr>
          <w:rFonts w:ascii="Times New Roman" w:hAnsi="Times New Roman" w:cs="Times New Roman"/>
          <w:sz w:val="28"/>
          <w:szCs w:val="28"/>
        </w:rPr>
        <w:t>ных операций банка являются кре</w:t>
      </w:r>
      <w:r w:rsidRPr="0076015A">
        <w:rPr>
          <w:rFonts w:ascii="Times New Roman" w:hAnsi="Times New Roman" w:cs="Times New Roman"/>
          <w:sz w:val="28"/>
          <w:szCs w:val="28"/>
        </w:rPr>
        <w:t>дитные риски. Их уровень характериз</w:t>
      </w:r>
      <w:r>
        <w:rPr>
          <w:rFonts w:ascii="Times New Roman" w:hAnsi="Times New Roman" w:cs="Times New Roman"/>
          <w:sz w:val="28"/>
          <w:szCs w:val="28"/>
        </w:rPr>
        <w:t>уют не только соблюдением норма</w:t>
      </w:r>
      <w:r w:rsidRPr="0076015A">
        <w:rPr>
          <w:rFonts w:ascii="Times New Roman" w:hAnsi="Times New Roman" w:cs="Times New Roman"/>
          <w:sz w:val="28"/>
          <w:szCs w:val="28"/>
        </w:rPr>
        <w:t>тивов крупных кредитных рисков, но и качеством кредитного портфеля, наличием просроченной ссудной задолженности, величиной и динамикой резервов на возможные потери по ссу</w:t>
      </w:r>
      <w:r>
        <w:rPr>
          <w:rFonts w:ascii="Times New Roman" w:hAnsi="Times New Roman" w:cs="Times New Roman"/>
          <w:sz w:val="28"/>
          <w:szCs w:val="28"/>
        </w:rPr>
        <w:t>дам.</w:t>
      </w:r>
    </w:p>
    <w:p w:rsidR="00E85153" w:rsidRDefault="00E85153" w:rsidP="00794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 коэффициенты, которые могут показать, насколько качественен кредитный портфель.</w:t>
      </w:r>
    </w:p>
    <w:p w:rsidR="00E85153" w:rsidRDefault="00E85153" w:rsidP="00794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покрытия определяет долю резерва, которая приходится на 1руб. просроченной задолженности (отношение резервов к просроченной задолженности).</w:t>
      </w:r>
    </w:p>
    <w:p w:rsidR="00E85153" w:rsidRDefault="00497924" w:rsidP="00794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924">
        <w:rPr>
          <w:rFonts w:ascii="Times New Roman" w:hAnsi="Times New Roman" w:cs="Times New Roman"/>
          <w:sz w:val="28"/>
          <w:szCs w:val="28"/>
        </w:rPr>
        <w:t>Ко</w:t>
      </w:r>
      <w:r w:rsidR="00E85153">
        <w:rPr>
          <w:rFonts w:ascii="Times New Roman" w:hAnsi="Times New Roman" w:cs="Times New Roman"/>
          <w:sz w:val="28"/>
          <w:szCs w:val="28"/>
        </w:rPr>
        <w:t>эффициент просроченных платежей определяет часть просроченных вложений по основному долгу на 1руб. кредитного портфеля (отношение задолженности к кредитному портфелю).</w:t>
      </w:r>
    </w:p>
    <w:p w:rsidR="00E85153" w:rsidRDefault="00497924" w:rsidP="00794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924">
        <w:rPr>
          <w:rFonts w:ascii="Times New Roman" w:hAnsi="Times New Roman" w:cs="Times New Roman"/>
          <w:sz w:val="28"/>
          <w:szCs w:val="28"/>
        </w:rPr>
        <w:t xml:space="preserve"> </w:t>
      </w:r>
      <w:r w:rsidR="00E85153">
        <w:rPr>
          <w:rFonts w:ascii="Times New Roman" w:hAnsi="Times New Roman" w:cs="Times New Roman"/>
          <w:sz w:val="28"/>
          <w:szCs w:val="28"/>
        </w:rPr>
        <w:t>Коэффициент резервирования определяет часть резерва на 1руб. кредитного портфеля (отношение резерва к кредитному портфелю).</w:t>
      </w:r>
      <w:r w:rsidRPr="0049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924" w:rsidRDefault="00E85153" w:rsidP="00E851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доходности определяет реальную доходность кредитного портфеля на 1ед. активов (отношение доходов по кредитам к кредитному портфелю).</w:t>
      </w:r>
    </w:p>
    <w:p w:rsidR="0076015A" w:rsidRDefault="0076015A" w:rsidP="00860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6015A">
        <w:rPr>
          <w:rFonts w:ascii="Times New Roman" w:hAnsi="Times New Roman" w:cs="Times New Roman"/>
          <w:sz w:val="28"/>
          <w:szCs w:val="28"/>
        </w:rPr>
        <w:t>еждународное рейтинговое агентства Акционерное общество «Рейтинговое агентство «Эксперт РА»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15A">
        <w:rPr>
          <w:rFonts w:ascii="Times New Roman" w:hAnsi="Times New Roman" w:cs="Times New Roman"/>
          <w:sz w:val="28"/>
          <w:szCs w:val="28"/>
        </w:rPr>
        <w:t xml:space="preserve">Кредитные рейтинги являются неотъемлемой частью финансового рынка. Для инвестора рейтинг </w:t>
      </w:r>
      <w:r w:rsidRPr="005152BC">
        <w:rPr>
          <w:rFonts w:ascii="Times New Roman" w:hAnsi="Times New Roman" w:cs="Times New Roman"/>
          <w:sz w:val="28"/>
          <w:szCs w:val="28"/>
        </w:rPr>
        <w:t>–</w:t>
      </w:r>
      <w:r w:rsidRPr="0076015A">
        <w:rPr>
          <w:rFonts w:ascii="Times New Roman" w:hAnsi="Times New Roman" w:cs="Times New Roman"/>
          <w:sz w:val="28"/>
          <w:szCs w:val="28"/>
        </w:rPr>
        <w:t xml:space="preserve"> это индикатор, показывающий рискованность вложений, а для эмитента </w:t>
      </w:r>
      <w:r w:rsidRPr="005152BC">
        <w:rPr>
          <w:rFonts w:ascii="Times New Roman" w:hAnsi="Times New Roman" w:cs="Times New Roman"/>
          <w:sz w:val="28"/>
          <w:szCs w:val="28"/>
        </w:rPr>
        <w:t>–</w:t>
      </w:r>
      <w:r w:rsidRPr="0076015A">
        <w:rPr>
          <w:rFonts w:ascii="Times New Roman" w:hAnsi="Times New Roman" w:cs="Times New Roman"/>
          <w:sz w:val="28"/>
          <w:szCs w:val="28"/>
        </w:rPr>
        <w:t xml:space="preserve"> заявление о своей финансовой устойчивости. Выгода эмитента заключается в расширении круга потенциальных инвесторов, поднятии своего имиджа и </w:t>
      </w:r>
      <w:r w:rsidRPr="0076015A">
        <w:rPr>
          <w:rFonts w:ascii="Times New Roman" w:hAnsi="Times New Roman" w:cs="Times New Roman"/>
          <w:sz w:val="28"/>
          <w:szCs w:val="28"/>
        </w:rPr>
        <w:lastRenderedPageBreak/>
        <w:t>увеличении клиентской базы.</w:t>
      </w:r>
      <w:r w:rsidR="0086004D">
        <w:rPr>
          <w:rFonts w:ascii="Times New Roman" w:hAnsi="Times New Roman" w:cs="Times New Roman"/>
          <w:sz w:val="28"/>
          <w:szCs w:val="28"/>
        </w:rPr>
        <w:t xml:space="preserve"> </w:t>
      </w:r>
      <w:r w:rsidRPr="0076015A">
        <w:rPr>
          <w:rFonts w:ascii="Times New Roman" w:hAnsi="Times New Roman" w:cs="Times New Roman"/>
          <w:sz w:val="28"/>
          <w:szCs w:val="28"/>
        </w:rPr>
        <w:t>В модели, применяемой Эксперт РА, все параметры (за исключением факторов поддержки государства и стресс-факторов) оцениваются по шкале от 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5A">
        <w:rPr>
          <w:rFonts w:ascii="Times New Roman" w:hAnsi="Times New Roman" w:cs="Times New Roman"/>
          <w:sz w:val="28"/>
          <w:szCs w:val="28"/>
        </w:rPr>
        <w:t>до +1, чем лучше рассчитанный показатель, тем ближе он к +1 и наоборот.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5A">
        <w:rPr>
          <w:rFonts w:ascii="Times New Roman" w:hAnsi="Times New Roman" w:cs="Times New Roman"/>
          <w:sz w:val="28"/>
          <w:szCs w:val="28"/>
        </w:rPr>
        <w:t>Итоговое рейтинговое число получается путем взвешивания баллов за каждый фактор и весов соответствующих факторов.</w:t>
      </w:r>
    </w:p>
    <w:p w:rsidR="0086004D" w:rsidRDefault="0086004D" w:rsidP="00860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004D">
        <w:rPr>
          <w:rFonts w:ascii="Times New Roman" w:hAnsi="Times New Roman" w:cs="Times New Roman"/>
          <w:sz w:val="28"/>
          <w:szCs w:val="28"/>
        </w:rPr>
        <w:t>ажной составляющей экономической без</w:t>
      </w:r>
      <w:r>
        <w:rPr>
          <w:rFonts w:ascii="Times New Roman" w:hAnsi="Times New Roman" w:cs="Times New Roman"/>
          <w:sz w:val="28"/>
          <w:szCs w:val="28"/>
        </w:rPr>
        <w:t>опасности банка является кад</w:t>
      </w:r>
      <w:r w:rsidRPr="0086004D">
        <w:rPr>
          <w:rFonts w:ascii="Times New Roman" w:hAnsi="Times New Roman" w:cs="Times New Roman"/>
          <w:sz w:val="28"/>
          <w:szCs w:val="28"/>
        </w:rPr>
        <w:t>ровая безопасность.</w:t>
      </w:r>
      <w:r>
        <w:rPr>
          <w:rFonts w:ascii="Times New Roman" w:hAnsi="Times New Roman" w:cs="Times New Roman"/>
          <w:sz w:val="28"/>
          <w:szCs w:val="28"/>
        </w:rPr>
        <w:t xml:space="preserve"> Показателями </w:t>
      </w:r>
      <w:r w:rsidRPr="0086004D">
        <w:rPr>
          <w:rFonts w:ascii="Times New Roman" w:hAnsi="Times New Roman" w:cs="Times New Roman"/>
          <w:sz w:val="28"/>
          <w:szCs w:val="28"/>
        </w:rPr>
        <w:t>кадровой безопасности обычно являют</w:t>
      </w:r>
      <w:r>
        <w:rPr>
          <w:rFonts w:ascii="Times New Roman" w:hAnsi="Times New Roman" w:cs="Times New Roman"/>
          <w:sz w:val="28"/>
          <w:szCs w:val="28"/>
        </w:rPr>
        <w:t>ся: показатели движения персона</w:t>
      </w:r>
      <w:r w:rsidRPr="0086004D">
        <w:rPr>
          <w:rFonts w:ascii="Times New Roman" w:hAnsi="Times New Roman" w:cs="Times New Roman"/>
          <w:sz w:val="28"/>
          <w:szCs w:val="28"/>
        </w:rPr>
        <w:t>ла, образовательный состав персонал</w:t>
      </w:r>
      <w:r>
        <w:rPr>
          <w:rFonts w:ascii="Times New Roman" w:hAnsi="Times New Roman" w:cs="Times New Roman"/>
          <w:sz w:val="28"/>
          <w:szCs w:val="28"/>
        </w:rPr>
        <w:t>а, степень удовлетворенности ра</w:t>
      </w:r>
      <w:r w:rsidRPr="0086004D">
        <w:rPr>
          <w:rFonts w:ascii="Times New Roman" w:hAnsi="Times New Roman" w:cs="Times New Roman"/>
          <w:sz w:val="28"/>
          <w:szCs w:val="28"/>
        </w:rPr>
        <w:t xml:space="preserve">ботников оплатой </w:t>
      </w:r>
      <w:r w:rsidR="00663A93">
        <w:rPr>
          <w:rFonts w:ascii="Times New Roman" w:hAnsi="Times New Roman" w:cs="Times New Roman"/>
          <w:sz w:val="28"/>
          <w:szCs w:val="28"/>
        </w:rPr>
        <w:t xml:space="preserve">труда, средний возраст работников, средний стаж работы, </w:t>
      </w:r>
      <w:r w:rsidR="002E28D1">
        <w:rPr>
          <w:rFonts w:ascii="Times New Roman" w:hAnsi="Times New Roman" w:cs="Times New Roman"/>
          <w:sz w:val="28"/>
          <w:szCs w:val="28"/>
        </w:rPr>
        <w:t>с</w:t>
      </w:r>
      <w:r w:rsidR="00663A93" w:rsidRPr="00663A93">
        <w:rPr>
          <w:rFonts w:ascii="Times New Roman" w:hAnsi="Times New Roman" w:cs="Times New Roman"/>
          <w:sz w:val="28"/>
          <w:szCs w:val="28"/>
        </w:rPr>
        <w:t>оотношение средней заработной платы на фирме и средней в экономике</w:t>
      </w:r>
      <w:r>
        <w:rPr>
          <w:rFonts w:ascii="Times New Roman" w:hAnsi="Times New Roman" w:cs="Times New Roman"/>
          <w:sz w:val="28"/>
          <w:szCs w:val="28"/>
        </w:rPr>
        <w:t>. Т.е. пока</w:t>
      </w:r>
      <w:r w:rsidRPr="0086004D">
        <w:rPr>
          <w:rFonts w:ascii="Times New Roman" w:hAnsi="Times New Roman" w:cs="Times New Roman"/>
          <w:sz w:val="28"/>
          <w:szCs w:val="28"/>
        </w:rPr>
        <w:t>затели, характеризующие кадровые риски.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19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пороговые значения</w:t>
      </w:r>
      <w:r>
        <w:rPr>
          <w:rFonts w:ascii="Times New Roman" w:hAnsi="Times New Roman" w:cs="Times New Roman"/>
          <w:sz w:val="28"/>
          <w:szCs w:val="28"/>
        </w:rPr>
        <w:t xml:space="preserve"> данных показателей в таблице 2.</w:t>
      </w:r>
    </w:p>
    <w:p w:rsidR="00FE7194" w:rsidRDefault="00FE7194" w:rsidP="00860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4D" w:rsidRDefault="0086004D" w:rsidP="00860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Pr="005152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Показатели кадровой безопасности (составлено автором на основе </w:t>
      </w:r>
      <w:r w:rsidRPr="0086004D">
        <w:rPr>
          <w:rFonts w:ascii="Times New Roman" w:hAnsi="Times New Roman" w:cs="Times New Roman"/>
          <w:sz w:val="28"/>
          <w:szCs w:val="28"/>
        </w:rPr>
        <w:t>[</w:t>
      </w:r>
      <w:r w:rsidR="00F82D72">
        <w:rPr>
          <w:rFonts w:ascii="Times New Roman" w:hAnsi="Times New Roman" w:cs="Times New Roman"/>
          <w:sz w:val="28"/>
          <w:szCs w:val="28"/>
        </w:rPr>
        <w:t>41</w:t>
      </w:r>
      <w:r w:rsidRPr="008600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57" w:type="dxa"/>
        <w:tblInd w:w="113" w:type="dxa"/>
        <w:tblLook w:val="04A0"/>
      </w:tblPr>
      <w:tblGrid>
        <w:gridCol w:w="7933"/>
        <w:gridCol w:w="1524"/>
      </w:tblGrid>
      <w:tr w:rsidR="0086004D" w:rsidRPr="0086004D" w:rsidTr="00151924">
        <w:trPr>
          <w:trHeight w:val="1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71" w:rsidRDefault="00F63A71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04D" w:rsidRPr="0086004D" w:rsidRDefault="0086004D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4D" w:rsidRPr="0086004D" w:rsidRDefault="0086004D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Пороговые значения</w:t>
            </w:r>
          </w:p>
        </w:tc>
      </w:tr>
      <w:tr w:rsidR="0086004D" w:rsidRPr="0086004D" w:rsidTr="00151924">
        <w:trPr>
          <w:trHeight w:val="1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04D" w:rsidRPr="0086004D" w:rsidRDefault="0086004D" w:rsidP="0086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движения персонала,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04D" w:rsidRPr="0086004D" w:rsidRDefault="0086004D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86004D" w:rsidRPr="0086004D" w:rsidTr="00E85153">
        <w:trPr>
          <w:trHeight w:val="10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04D" w:rsidRPr="0086004D" w:rsidRDefault="0086004D" w:rsidP="00E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="00E8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высшим образованием,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04D" w:rsidRPr="0086004D" w:rsidRDefault="0086004D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 75</w:t>
            </w:r>
          </w:p>
        </w:tc>
      </w:tr>
      <w:tr w:rsidR="0086004D" w:rsidRPr="0086004D" w:rsidTr="00151924">
        <w:trPr>
          <w:trHeight w:val="1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4D" w:rsidRPr="0086004D" w:rsidRDefault="0086004D" w:rsidP="00E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возраст </w:t>
            </w:r>
            <w:r w:rsidR="00E8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лет</w:t>
            </w:r>
            <w:r w:rsidR="0066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04D" w:rsidRPr="0086004D" w:rsidRDefault="0086004D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004D" w:rsidRPr="0086004D" w:rsidTr="00E85153">
        <w:trPr>
          <w:trHeight w:val="10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04D" w:rsidRPr="0086004D" w:rsidRDefault="0086004D" w:rsidP="00E8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старше 30 лет,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04D" w:rsidRPr="0086004D" w:rsidRDefault="0086004D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 20</w:t>
            </w:r>
          </w:p>
        </w:tc>
      </w:tr>
      <w:tr w:rsidR="0086004D" w:rsidRPr="0086004D" w:rsidTr="00151924">
        <w:trPr>
          <w:trHeight w:val="1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04D" w:rsidRPr="0086004D" w:rsidRDefault="0086004D" w:rsidP="0086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стаж работы, лет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04D" w:rsidRPr="0086004D" w:rsidRDefault="0086004D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004D" w:rsidRPr="0086004D" w:rsidTr="00151924">
        <w:trPr>
          <w:trHeight w:val="96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04D" w:rsidRPr="0086004D" w:rsidRDefault="0086004D" w:rsidP="0086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средней заработной платы на фирме и средней в экономике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04D" w:rsidRPr="0086004D" w:rsidRDefault="0086004D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 1</w:t>
            </w:r>
          </w:p>
        </w:tc>
      </w:tr>
    </w:tbl>
    <w:p w:rsidR="0086004D" w:rsidRPr="0086004D" w:rsidRDefault="0086004D" w:rsidP="0087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848" w:rsidRDefault="00CA5848" w:rsidP="00CA58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8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2E28D1">
        <w:rPr>
          <w:rFonts w:ascii="Times New Roman" w:hAnsi="Times New Roman" w:cs="Times New Roman"/>
          <w:sz w:val="28"/>
          <w:szCs w:val="28"/>
        </w:rPr>
        <w:t>рассмотрим</w:t>
      </w:r>
      <w:r w:rsidRPr="00CA5848">
        <w:rPr>
          <w:rFonts w:ascii="Times New Roman" w:hAnsi="Times New Roman" w:cs="Times New Roman"/>
          <w:sz w:val="28"/>
          <w:szCs w:val="28"/>
        </w:rPr>
        <w:t xml:space="preserve"> показатель «</w:t>
      </w:r>
      <w:r w:rsidRPr="00C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удовлетворенности работников оплатой труда». Он подразделяется на три критерия: не удовлетворены; удовлетворены; средняя степень (таблица 3).</w:t>
      </w:r>
    </w:p>
    <w:p w:rsidR="007968B9" w:rsidRPr="00CA5848" w:rsidRDefault="007968B9" w:rsidP="00CA58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848" w:rsidRPr="00CA5848" w:rsidRDefault="00CA5848" w:rsidP="00CA5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3 </w:t>
      </w:r>
      <w:r w:rsidRPr="00CA5848">
        <w:rPr>
          <w:rFonts w:ascii="Times New Roman" w:hAnsi="Times New Roman" w:cs="Times New Roman"/>
          <w:sz w:val="28"/>
          <w:szCs w:val="28"/>
        </w:rPr>
        <w:t xml:space="preserve">– </w:t>
      </w:r>
      <w:r w:rsidRPr="00C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удовлетворенности работников оплатой труда (составлено автором на основе [</w:t>
      </w:r>
      <w:r w:rsidR="00F8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C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2E2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7"/>
        <w:tblW w:w="0" w:type="auto"/>
        <w:tblInd w:w="108" w:type="dxa"/>
        <w:tblLook w:val="04A0"/>
      </w:tblPr>
      <w:tblGrid>
        <w:gridCol w:w="4677"/>
        <w:gridCol w:w="4786"/>
      </w:tblGrid>
      <w:tr w:rsidR="00CA5848" w:rsidTr="00151924">
        <w:tc>
          <w:tcPr>
            <w:tcW w:w="4677" w:type="dxa"/>
          </w:tcPr>
          <w:p w:rsidR="00CA5848" w:rsidRPr="00CA5848" w:rsidRDefault="00CA5848" w:rsidP="00F6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4786" w:type="dxa"/>
          </w:tcPr>
          <w:p w:rsidR="00CA5848" w:rsidRDefault="00CA5848" w:rsidP="00CA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Норматив, %</w:t>
            </w:r>
          </w:p>
        </w:tc>
      </w:tr>
      <w:tr w:rsidR="00CA5848" w:rsidTr="00151924">
        <w:tc>
          <w:tcPr>
            <w:tcW w:w="4677" w:type="dxa"/>
          </w:tcPr>
          <w:p w:rsidR="00CA5848" w:rsidRDefault="00CA5848" w:rsidP="00CA5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удовлетворены</w:t>
            </w:r>
          </w:p>
        </w:tc>
        <w:tc>
          <w:tcPr>
            <w:tcW w:w="4786" w:type="dxa"/>
          </w:tcPr>
          <w:p w:rsidR="00CA5848" w:rsidRDefault="00CA5848" w:rsidP="00CA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27,5-30</w:t>
            </w:r>
          </w:p>
        </w:tc>
      </w:tr>
      <w:tr w:rsidR="00CA5848" w:rsidTr="00873CBE">
        <w:tc>
          <w:tcPr>
            <w:tcW w:w="4677" w:type="dxa"/>
            <w:tcBorders>
              <w:bottom w:val="single" w:sz="4" w:space="0" w:color="auto"/>
            </w:tcBorders>
          </w:tcPr>
          <w:p w:rsidR="00CA5848" w:rsidRDefault="00CA5848" w:rsidP="00CA5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A5848" w:rsidRDefault="00CA5848" w:rsidP="00CA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45-50</w:t>
            </w:r>
          </w:p>
        </w:tc>
      </w:tr>
      <w:tr w:rsidR="00CA5848" w:rsidTr="00873CBE">
        <w:tc>
          <w:tcPr>
            <w:tcW w:w="4677" w:type="dxa"/>
            <w:tcBorders>
              <w:bottom w:val="single" w:sz="4" w:space="0" w:color="auto"/>
            </w:tcBorders>
          </w:tcPr>
          <w:p w:rsidR="00CA5848" w:rsidRDefault="00CA5848" w:rsidP="00CA5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степень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A5848" w:rsidRDefault="00CA5848" w:rsidP="00CA5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Границы: 17,5-20</w:t>
            </w:r>
          </w:p>
        </w:tc>
      </w:tr>
    </w:tbl>
    <w:p w:rsidR="00545F6E" w:rsidRDefault="002E28D1" w:rsidP="00187E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A5848">
        <w:rPr>
          <w:rFonts w:ascii="Times New Roman" w:hAnsi="Times New Roman" w:cs="Times New Roman"/>
          <w:sz w:val="28"/>
          <w:szCs w:val="28"/>
        </w:rPr>
        <w:t>тепень «</w:t>
      </w:r>
      <w:r w:rsidR="00CA5848" w:rsidRPr="00C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CA5848" w:rsidRPr="00C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="00C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место быть в банке среди сотрудников не более 30%. Положительной динамикой является снижение. «Удовлетворены», наоборот, должны стремиться к росту, начальной границей считается 45%, то есть не менее 45% от общего количества сотрудников должны быть удовлетворены оплатой труда. Оставшаяся часть однозначный ответ не дает, нормой количества таких работников является процент в пределах 17,5-20.</w:t>
      </w:r>
    </w:p>
    <w:p w:rsidR="00844748" w:rsidRDefault="00545F6E" w:rsidP="00FE71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7194" w:rsidRPr="00FE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множество различных индикаторов, которые можно использовать для оценки экономической безопасности коммерческого банка.</w:t>
      </w:r>
    </w:p>
    <w:p w:rsidR="003357A0" w:rsidRDefault="00545F6E" w:rsidP="003357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оценку </w:t>
      </w:r>
      <w:r w:rsidR="00FE7194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уровня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 безопасности</w:t>
      </w:r>
      <w:r w:rsidR="00B34004" w:rsidRPr="002F234F">
        <w:rPr>
          <w:color w:val="000000" w:themeColor="text1"/>
        </w:rPr>
        <w:t xml:space="preserve"> </w:t>
      </w:r>
      <w:r w:rsidR="00B34004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банка по финансовой составляющей следует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следующим показателям</w:t>
      </w:r>
      <w:r w:rsidR="00FE7194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-индикаторам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показателей </w:t>
      </w:r>
      <w:r w:rsidRPr="00794385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>стью капитала</w:t>
      </w:r>
      <w:r w:rsidR="003357A0">
        <w:rPr>
          <w:rFonts w:ascii="Times New Roman" w:hAnsi="Times New Roman" w:cs="Times New Roman"/>
          <w:sz w:val="28"/>
          <w:szCs w:val="28"/>
        </w:rPr>
        <w:t xml:space="preserve">, которые характеризуют достаточность банка; обязательные нормативы </w:t>
      </w:r>
      <w:r w:rsidR="003357A0" w:rsidRPr="005152BC">
        <w:rPr>
          <w:rFonts w:ascii="Times New Roman" w:hAnsi="Times New Roman" w:cs="Times New Roman"/>
          <w:sz w:val="28"/>
          <w:szCs w:val="28"/>
        </w:rPr>
        <w:t>деятельности банка</w:t>
      </w:r>
      <w:r w:rsidR="003357A0">
        <w:rPr>
          <w:rFonts w:ascii="Times New Roman" w:hAnsi="Times New Roman" w:cs="Times New Roman"/>
          <w:sz w:val="28"/>
          <w:szCs w:val="28"/>
        </w:rPr>
        <w:t>.</w:t>
      </w:r>
      <w:r w:rsidR="00FE7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94" w:rsidRPr="002F234F" w:rsidRDefault="003357A0" w:rsidP="00CA58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19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В ходе оценки</w:t>
      </w:r>
      <w:r w:rsidR="00B3400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безопасности</w:t>
      </w:r>
      <w:r w:rsidR="00FE719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 и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нтегральные показатели: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показатели кредитного риска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</w:t>
      </w:r>
      <w:r w:rsidR="00FE719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рейтингов</w:t>
      </w:r>
      <w:r w:rsidR="00FE719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</w:t>
      </w:r>
      <w:r w:rsidR="00FE719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3400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Рейтингово</w:t>
      </w:r>
      <w:r w:rsidR="00FE719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</w:t>
      </w:r>
      <w:r w:rsidR="00B3400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«Эксперт РА»</w:t>
      </w:r>
      <w:r w:rsidR="00B34004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используют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нормативы кадровых рисков.</w:t>
      </w:r>
      <w:r w:rsidR="00FE7194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5F6E" w:rsidRDefault="00FE7194" w:rsidP="00FE7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нашему мнению, при оценке экономической безопасности банка целесообразно использовать подходы комплексно. Для получения наиболее точного результата целесообразно совмещать </w:t>
      </w:r>
      <w:proofErr w:type="gram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индикаторный</w:t>
      </w:r>
      <w:proofErr w:type="gram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интегральный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109E3" w:rsidRDefault="009109E3" w:rsidP="002E28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844748" w:rsidRDefault="00844748" w:rsidP="002E28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844748" w:rsidRDefault="00844748" w:rsidP="002E28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844748" w:rsidRDefault="00844748" w:rsidP="002E28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187E42" w:rsidRDefault="00187E42" w:rsidP="002E28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844748" w:rsidRDefault="00844748" w:rsidP="002E28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3357A0" w:rsidRDefault="003357A0" w:rsidP="003357A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2E28D1" w:rsidRDefault="002E28D1" w:rsidP="002E28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3C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8D1">
        <w:rPr>
          <w:rFonts w:ascii="Times New Roman" w:hAnsi="Times New Roman" w:cs="Times New Roman"/>
          <w:b/>
          <w:sz w:val="28"/>
          <w:szCs w:val="28"/>
        </w:rPr>
        <w:t>Анализ уровня и системы обеспечения экономической безопасности АО «</w:t>
      </w:r>
      <w:proofErr w:type="spellStart"/>
      <w:r w:rsidRPr="002E28D1">
        <w:rPr>
          <w:rFonts w:ascii="Times New Roman" w:hAnsi="Times New Roman" w:cs="Times New Roman"/>
          <w:b/>
          <w:sz w:val="28"/>
          <w:szCs w:val="28"/>
        </w:rPr>
        <w:t>Газпромбанк</w:t>
      </w:r>
      <w:proofErr w:type="spellEnd"/>
      <w:r w:rsidRPr="002E28D1">
        <w:rPr>
          <w:rFonts w:ascii="Times New Roman" w:hAnsi="Times New Roman" w:cs="Times New Roman"/>
          <w:b/>
          <w:sz w:val="28"/>
          <w:szCs w:val="28"/>
        </w:rPr>
        <w:t>»</w:t>
      </w:r>
    </w:p>
    <w:p w:rsidR="002E28D1" w:rsidRPr="003C2EF7" w:rsidRDefault="002E28D1" w:rsidP="002E28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8D1" w:rsidRPr="003C2EF7" w:rsidRDefault="002E28D1" w:rsidP="002E28D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2EF7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5109AD" w:rsidRPr="005109AD">
        <w:rPr>
          <w:rFonts w:ascii="Times New Roman" w:hAnsi="Times New Roman" w:cs="Times New Roman"/>
          <w:b/>
          <w:sz w:val="28"/>
          <w:szCs w:val="28"/>
        </w:rPr>
        <w:t xml:space="preserve">Организационно-экономическая </w:t>
      </w:r>
      <w:r w:rsidR="005109AD">
        <w:rPr>
          <w:rFonts w:ascii="Times New Roman" w:hAnsi="Times New Roman" w:cs="Times New Roman"/>
          <w:b/>
          <w:sz w:val="28"/>
          <w:szCs w:val="28"/>
        </w:rPr>
        <w:t>характеристика АО «</w:t>
      </w:r>
      <w:proofErr w:type="spellStart"/>
      <w:r w:rsidR="005109AD">
        <w:rPr>
          <w:rFonts w:ascii="Times New Roman" w:hAnsi="Times New Roman" w:cs="Times New Roman"/>
          <w:b/>
          <w:sz w:val="28"/>
          <w:szCs w:val="28"/>
        </w:rPr>
        <w:t>Газпромбанк</w:t>
      </w:r>
      <w:proofErr w:type="spellEnd"/>
      <w:r w:rsidR="005109AD">
        <w:rPr>
          <w:rFonts w:ascii="Times New Roman" w:hAnsi="Times New Roman" w:cs="Times New Roman"/>
          <w:b/>
          <w:sz w:val="28"/>
          <w:szCs w:val="28"/>
        </w:rPr>
        <w:t>»</w:t>
      </w:r>
      <w:r w:rsidR="005109AD" w:rsidRPr="005109AD">
        <w:rPr>
          <w:rFonts w:ascii="Times New Roman" w:hAnsi="Times New Roman" w:cs="Times New Roman"/>
          <w:b/>
          <w:sz w:val="28"/>
          <w:szCs w:val="28"/>
        </w:rPr>
        <w:t xml:space="preserve"> и его места в банковской системе</w:t>
      </w:r>
    </w:p>
    <w:p w:rsidR="002E28D1" w:rsidRPr="003C2EF7" w:rsidRDefault="002E28D1" w:rsidP="002E28D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9AD" w:rsidRPr="005109AD" w:rsidRDefault="005109AD" w:rsidP="00773C4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73E">
        <w:rPr>
          <w:rFonts w:ascii="Times New Roman" w:eastAsia="Calibri" w:hAnsi="Times New Roman" w:cs="Times New Roman"/>
          <w:sz w:val="28"/>
          <w:szCs w:val="28"/>
        </w:rPr>
        <w:t xml:space="preserve">это финансовый институт РФ, который имеет свой перечень </w:t>
      </w:r>
      <w:proofErr w:type="gramStart"/>
      <w:r w:rsidR="0098473E">
        <w:rPr>
          <w:rFonts w:ascii="Times New Roman" w:eastAsia="Calibri" w:hAnsi="Times New Roman" w:cs="Times New Roman"/>
          <w:sz w:val="28"/>
          <w:szCs w:val="28"/>
        </w:rPr>
        <w:t>продуктов</w:t>
      </w:r>
      <w:proofErr w:type="gramEnd"/>
      <w:r w:rsidR="0098473E">
        <w:rPr>
          <w:rFonts w:ascii="Times New Roman" w:eastAsia="Calibri" w:hAnsi="Times New Roman" w:cs="Times New Roman"/>
          <w:sz w:val="28"/>
          <w:szCs w:val="28"/>
        </w:rPr>
        <w:t xml:space="preserve"> как для юридических, так и для физических лиц</w:t>
      </w:r>
      <w:r w:rsidR="00773C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Общее число точек продаж в России превышает 480. В числе его клиентов </w:t>
      </w: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более 4 миллионов физических и порядка 92 тысяч юридических лиц.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зарегистрирован</w:t>
      </w:r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13 ноября 2001 года и находится по адресу г. Москва, ул. 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Намёткина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. На банковском рынке организация действует 22 года. Деятельность </w:t>
      </w: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денежное посредничество прочее. Дополнительно организация заявила следующие виды деятельности: деятельность, связанная с использованием вычислительной техники и информационных технологий, прочая. 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>» предоставляет следующие услуги: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109AD">
        <w:rPr>
          <w:rFonts w:ascii="Times New Roman" w:eastAsia="Calibri" w:hAnsi="Times New Roman" w:cs="Times New Roman"/>
          <w:sz w:val="28"/>
          <w:szCs w:val="28"/>
        </w:rPr>
        <w:t>открытие банковских счетов и депозитов;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109AD">
        <w:rPr>
          <w:rFonts w:ascii="Times New Roman" w:eastAsia="Calibri" w:hAnsi="Times New Roman" w:cs="Times New Roman"/>
          <w:sz w:val="28"/>
          <w:szCs w:val="28"/>
        </w:rPr>
        <w:t>выдачу кредитных средств;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109AD">
        <w:rPr>
          <w:rFonts w:ascii="Times New Roman" w:eastAsia="Calibri" w:hAnsi="Times New Roman" w:cs="Times New Roman"/>
          <w:sz w:val="28"/>
          <w:szCs w:val="28"/>
        </w:rPr>
        <w:t>расчетно-кассовое обслуживание;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109AD">
        <w:rPr>
          <w:rFonts w:ascii="Times New Roman" w:eastAsia="Calibri" w:hAnsi="Times New Roman" w:cs="Times New Roman"/>
          <w:sz w:val="28"/>
          <w:szCs w:val="28"/>
        </w:rPr>
        <w:t>осуществление денежных переводов, платежей;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109AD">
        <w:rPr>
          <w:rFonts w:ascii="Times New Roman" w:eastAsia="Calibri" w:hAnsi="Times New Roman" w:cs="Times New Roman"/>
          <w:sz w:val="28"/>
          <w:szCs w:val="28"/>
        </w:rPr>
        <w:t>ведение депозитарной и брокерской деятельности;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109AD">
        <w:rPr>
          <w:rFonts w:ascii="Times New Roman" w:eastAsia="Calibri" w:hAnsi="Times New Roman" w:cs="Times New Roman"/>
          <w:sz w:val="28"/>
          <w:szCs w:val="28"/>
        </w:rPr>
        <w:t>интернет-трейдинг;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109AD">
        <w:rPr>
          <w:rFonts w:ascii="Times New Roman" w:eastAsia="Calibri" w:hAnsi="Times New Roman" w:cs="Times New Roman"/>
          <w:sz w:val="28"/>
          <w:szCs w:val="28"/>
        </w:rPr>
        <w:t>управление инвестиционными фондами.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754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банка </w:t>
      </w: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Акимов Андрей Игоревич (председатель правления).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сведениям ЕГРЮЛ </w:t>
      </w:r>
      <w:r w:rsidRPr="005109A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>» имеет следующие лицензии: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Лицензия от 05 марта 2015: разработка, производство, распространение шифровальных (криптографических) средств и </w:t>
      </w:r>
      <w:proofErr w:type="spellStart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09AD" w:rsidRPr="005109AD" w:rsidRDefault="00773C4C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109AD"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Лицензия от 05 марта 2015: брокерская деятельность.</w:t>
      </w:r>
    </w:p>
    <w:p w:rsidR="005109AD" w:rsidRPr="005109AD" w:rsidRDefault="00773C4C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5109AD"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Лицензия от 05 марта 2015: депозитарная деятельность.</w:t>
      </w:r>
    </w:p>
    <w:p w:rsidR="005109AD" w:rsidRPr="005109AD" w:rsidRDefault="00773C4C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109AD"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Лицензия от 25 декабря 2003: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5109AD" w:rsidRPr="005109AD" w:rsidRDefault="00773C4C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109AD"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Лицензия от 13 декабря 2000: деятельность специализированных деп</w:t>
      </w:r>
      <w:r w:rsidR="00B52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09AD"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зитариев.</w:t>
      </w:r>
    </w:p>
    <w:p w:rsidR="005109AD" w:rsidRPr="005109AD" w:rsidRDefault="00773C4C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109AD"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Лицензия от 05 марта 2015: дилерская деятельность.</w:t>
      </w:r>
    </w:p>
    <w:p w:rsidR="005109AD" w:rsidRPr="005109AD" w:rsidRDefault="00773C4C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109AD"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Лицензия от 05 февраля 2019: разработка, производство, распространение шифровальных (криптографических) средств.</w:t>
      </w:r>
    </w:p>
    <w:p w:rsidR="005109AD" w:rsidRPr="005109AD" w:rsidRDefault="00773C4C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109AD"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Лицензия от 03 марта 2016: деятельность в области использования источников ионизирующего излучения.</w:t>
      </w:r>
    </w:p>
    <w:p w:rsid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Кредитный рейтинг Банка ГПБ (АО) обусловлен сильным и устойчивым </w:t>
      </w:r>
      <w:proofErr w:type="spellStart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бизнес-профилем</w:t>
      </w:r>
      <w:proofErr w:type="spellEnd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удовлетворительной оценкой достаточности капитала, а также удовлетворительной позицией по ликвидности и фондированию </w:t>
      </w:r>
      <w:proofErr w:type="gramStart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адекватном </w:t>
      </w:r>
      <w:proofErr w:type="spellStart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риск-профиле</w:t>
      </w:r>
      <w:proofErr w:type="spellEnd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Кредитные рейтинги выпусков облигаций, являющихся инструментом старшего необеспеченного долга, были подтверждены на уровне АА+(RU). Кредитные рейтинги выпусков </w:t>
      </w:r>
      <w:proofErr w:type="spellStart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субординированных</w:t>
      </w:r>
      <w:proofErr w:type="spellEnd"/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облигаций, являющихся инструментом дополнительного капитала, были подтверждены на уровне A+(RU).</w:t>
      </w:r>
    </w:p>
    <w:p w:rsidR="005109AD" w:rsidRPr="00773C4C" w:rsidRDefault="00773C4C" w:rsidP="00773C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рассмотреть, из каких подразделений состоит деятельность </w:t>
      </w:r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АО «</w:t>
      </w:r>
      <w:proofErr w:type="spellStart"/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Структура характеризуется тем, что она является вертикальной, имеет четкий порядок от высших руководителей к рядовым работникам. Самым главным звеном в управлен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ии </w:t>
      </w:r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АО</w:t>
      </w:r>
      <w:proofErr w:type="gramEnd"/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является Собрание акционеров. Данный орган собирается ежегодно для решения важных проблем и определения перспектив деятельности. Бывают исключения, когда участники данного звена собираются повторно. Это происходит в случаях возможных угроз банку, либо обсуждение инновационного решения, которое необратимым способом может повлиять на деятельность </w:t>
      </w:r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АО «</w:t>
      </w:r>
      <w:proofErr w:type="spellStart"/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109AD" w:rsidRPr="005109AD">
        <w:rPr>
          <w:rFonts w:ascii="Times New Roman" w:eastAsia="Times New Roman" w:hAnsi="Times New Roman" w:cs="Times New Roman"/>
          <w:sz w:val="28"/>
          <w:szCs w:val="20"/>
        </w:rPr>
        <w:t xml:space="preserve">(таблица </w:t>
      </w:r>
      <w:r w:rsidR="00643E39">
        <w:rPr>
          <w:rFonts w:ascii="Times New Roman" w:eastAsia="Times New Roman" w:hAnsi="Times New Roman" w:cs="Times New Roman"/>
          <w:sz w:val="28"/>
          <w:szCs w:val="20"/>
        </w:rPr>
        <w:t>4</w:t>
      </w:r>
      <w:r w:rsidR="005109AD" w:rsidRPr="005109AD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5109AD" w:rsidRPr="005109AD" w:rsidRDefault="005109AD" w:rsidP="005109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109AD" w:rsidRPr="003D6F0C" w:rsidRDefault="005109AD" w:rsidP="003D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3D6F0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Таблица </w:t>
      </w:r>
      <w:r w:rsidR="00643E39" w:rsidRPr="003D6F0C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3D6F0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D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D6F0C">
        <w:rPr>
          <w:rFonts w:ascii="Times New Roman" w:eastAsia="Times New Roman" w:hAnsi="Times New Roman" w:cs="Times New Roman"/>
          <w:sz w:val="28"/>
          <w:szCs w:val="24"/>
        </w:rPr>
        <w:t xml:space="preserve">Организационная структура управления </w:t>
      </w:r>
      <w:r w:rsidRPr="003D6F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АО «</w:t>
      </w:r>
      <w:proofErr w:type="spellStart"/>
      <w:r w:rsidRPr="003D6F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Газпромбанк</w:t>
      </w:r>
      <w:proofErr w:type="spellEnd"/>
      <w:r w:rsidRPr="003D6F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  <w:r w:rsidR="00431896" w:rsidRPr="003D6F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[</w:t>
      </w:r>
      <w:r w:rsidR="00F82D72" w:rsidRPr="003D6F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35</w:t>
      </w:r>
      <w:r w:rsidR="00431896" w:rsidRPr="003D6F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]</w:t>
      </w:r>
    </w:p>
    <w:tbl>
      <w:tblPr>
        <w:tblStyle w:val="a7"/>
        <w:tblW w:w="9570" w:type="dxa"/>
        <w:tblLook w:val="04A0"/>
      </w:tblPr>
      <w:tblGrid>
        <w:gridCol w:w="4785"/>
        <w:gridCol w:w="4785"/>
      </w:tblGrid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Укрупнённые функции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</w:p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· управляющий,</w:t>
            </w:r>
          </w:p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· заместители управляющего филиалом,</w:t>
            </w:r>
          </w:p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· главный бухгалтер,</w:t>
            </w:r>
          </w:p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· заместитель главного бухгалтера</w:t>
            </w:r>
          </w:p>
        </w:tc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деятельностью филиала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4785" w:type="dxa"/>
            <w:vAlign w:val="center"/>
          </w:tcPr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делопроизводства</w:t>
            </w:r>
          </w:p>
          <w:p w:rsidR="003D6F0C" w:rsidRDefault="003D6F0C" w:rsidP="00F076AE"/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персонала</w:t>
            </w:r>
          </w:p>
        </w:tc>
        <w:tc>
          <w:tcPr>
            <w:tcW w:w="4785" w:type="dxa"/>
            <w:vAlign w:val="center"/>
          </w:tcPr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1. Планирование численности и использование персонала</w:t>
            </w:r>
          </w:p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2. Осуществление набора персонала и его расстановка, формирование резерва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Правовое обеспечение деятельности филиала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Кредитный отдел</w:t>
            </w:r>
          </w:p>
        </w:tc>
        <w:tc>
          <w:tcPr>
            <w:tcW w:w="4785" w:type="dxa"/>
            <w:vAlign w:val="center"/>
          </w:tcPr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1. Оценка кредитоспособности заёмщиков</w:t>
            </w:r>
          </w:p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кредитных заявок</w:t>
            </w:r>
          </w:p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3. Мониторинг финансового состояния заёмщиков и соблюдения заёмщиками условий заключённых кредитных договоров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операций на денежных рынках и управления ресурсами</w:t>
            </w:r>
          </w:p>
        </w:tc>
        <w:tc>
          <w:tcPr>
            <w:tcW w:w="4785" w:type="dxa"/>
            <w:vAlign w:val="center"/>
          </w:tcPr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Контроль и управление ликвидностью филиала</w:t>
            </w:r>
          </w:p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2. Ведение платёжных позиций</w:t>
            </w:r>
          </w:p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Привлечение финансовых ресурсов</w:t>
            </w:r>
          </w:p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4. Осуществление срочных депозитных операций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Операционный отдел</w:t>
            </w:r>
          </w:p>
        </w:tc>
        <w:tc>
          <w:tcPr>
            <w:tcW w:w="4785" w:type="dxa"/>
            <w:vAlign w:val="center"/>
          </w:tcPr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Расчётное обслуживание юридических лиц</w:t>
            </w:r>
          </w:p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2. Ведение корреспондентского счёта филиала в расчётном подразделении Банка России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обслуживания физических лиц</w:t>
            </w:r>
          </w:p>
        </w:tc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Расчётно-кассовое обслуживание физических лиц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кассовых операций</w:t>
            </w:r>
          </w:p>
        </w:tc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кассовых операций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валютных операций</w:t>
            </w:r>
          </w:p>
        </w:tc>
        <w:tc>
          <w:tcPr>
            <w:tcW w:w="4785" w:type="dxa"/>
            <w:vAlign w:val="center"/>
          </w:tcPr>
          <w:p w:rsidR="003D6F0C" w:rsidRPr="00773C4C" w:rsidRDefault="003D6F0C" w:rsidP="00F076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1. Сопровождение валютных контрактов</w:t>
            </w:r>
          </w:p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Выполнение функций агента валютного контроля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депозитарных операций</w:t>
            </w:r>
          </w:p>
        </w:tc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депозитарных операций и депозитарного учёта</w:t>
            </w:r>
          </w:p>
        </w:tc>
      </w:tr>
      <w:tr w:rsidR="003D6F0C" w:rsidTr="00F076AE"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банковских карт</w:t>
            </w:r>
          </w:p>
        </w:tc>
        <w:tc>
          <w:tcPr>
            <w:tcW w:w="4785" w:type="dxa"/>
            <w:vAlign w:val="center"/>
          </w:tcPr>
          <w:p w:rsidR="003D6F0C" w:rsidRDefault="003D6F0C" w:rsidP="00F076AE"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комплекса операций, связанных с эмиссией и обслуживание банковских карт, в том числе </w:t>
            </w:r>
            <w:proofErr w:type="spellStart"/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процессинговых</w:t>
            </w:r>
            <w:proofErr w:type="spellEnd"/>
            <w:r w:rsidRPr="0077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</w:tr>
    </w:tbl>
    <w:p w:rsidR="005109AD" w:rsidRPr="005109AD" w:rsidRDefault="005109AD" w:rsidP="00873C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3E1B" w:rsidRDefault="005109AD" w:rsidP="00773C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Рассмотрим основные экономические показатели деятельности </w:t>
      </w:r>
      <w:r w:rsidRPr="005109A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>»</w:t>
      </w:r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 (таблица </w:t>
      </w:r>
      <w:r w:rsidR="00643E3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51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нужно проанализировать имущество предприятия, которое характеризует деятельность предприятия, чтобы знать </w:t>
      </w:r>
      <w:r w:rsidRPr="00643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насколько эффективно оно работает. Далее по нашим расчетам оценим результаты деятельности </w:t>
      </w:r>
      <w:r w:rsidRPr="00643E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643E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643E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643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76AE" w:rsidRPr="00643E39" w:rsidRDefault="00F076AE" w:rsidP="00773C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9AD" w:rsidRPr="00643E39" w:rsidRDefault="005109AD" w:rsidP="00510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</w:t>
      </w:r>
      <w:r w:rsidR="00643E39" w:rsidRPr="00643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43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Величина активов </w:t>
      </w:r>
      <w:r w:rsidRPr="00643E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643E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643E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="00643E39" w:rsidRPr="00643E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="00643E39" w:rsidRPr="00643E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2020-2022 гг. (составлено автором на основе таблицы А.1</w:t>
      </w:r>
      <w:r w:rsidR="004318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А.3</w:t>
      </w:r>
      <w:r w:rsidR="00643E39" w:rsidRPr="00643E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tbl>
      <w:tblPr>
        <w:tblW w:w="9330" w:type="dxa"/>
        <w:tblInd w:w="108" w:type="dxa"/>
        <w:tblLook w:val="04A0"/>
      </w:tblPr>
      <w:tblGrid>
        <w:gridCol w:w="1770"/>
        <w:gridCol w:w="1443"/>
        <w:gridCol w:w="1196"/>
        <w:gridCol w:w="1285"/>
        <w:gridCol w:w="984"/>
        <w:gridCol w:w="1088"/>
        <w:gridCol w:w="838"/>
        <w:gridCol w:w="726"/>
      </w:tblGrid>
      <w:tr w:rsidR="005109AD" w:rsidRPr="005109AD" w:rsidTr="00846110">
        <w:trPr>
          <w:trHeight w:val="291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64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Абсолютное значение, 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5109AD" w:rsidRPr="005109AD" w:rsidTr="00846110">
        <w:trPr>
          <w:trHeight w:val="585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64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Абсолютное</w:t>
            </w:r>
            <w:proofErr w:type="gramEnd"/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Относительное, %</w:t>
            </w:r>
          </w:p>
        </w:tc>
      </w:tr>
      <w:tr w:rsidR="005109AD" w:rsidRPr="005109AD" w:rsidTr="00846110">
        <w:trPr>
          <w:trHeight w:val="38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Денежные средства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64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484 664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1 118 057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622 136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225,5</w:t>
            </w:r>
          </w:p>
        </w:tc>
      </w:tr>
      <w:tr w:rsidR="005109AD" w:rsidRPr="005109AD" w:rsidTr="00846110">
        <w:trPr>
          <w:trHeight w:val="35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 Обязательные резервы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64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-53 274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5109AD" w:rsidRPr="005109AD" w:rsidTr="00873CBE">
        <w:trPr>
          <w:trHeight w:val="58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Средства в кредитных организациях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431 826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637858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716940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206 032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112,4</w:t>
            </w:r>
          </w:p>
        </w:tc>
      </w:tr>
      <w:tr w:rsidR="005109AD" w:rsidRPr="005109AD" w:rsidTr="00873CBE">
        <w:trPr>
          <w:trHeight w:val="58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 Чистые вложения в ценные бумаги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64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403 778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936 840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</w:t>
            </w:r>
          </w:p>
        </w:tc>
      </w:tr>
      <w:tr w:rsidR="005109AD" w:rsidRPr="005109AD" w:rsidTr="00636715">
        <w:trPr>
          <w:trHeight w:val="88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 Требования по текущему налогу на прибыль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64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</w:t>
            </w:r>
          </w:p>
        </w:tc>
      </w:tr>
      <w:tr w:rsidR="005109AD" w:rsidRPr="005109AD" w:rsidTr="00636715">
        <w:trPr>
          <w:trHeight w:val="37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 Отложенный налоговый актив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64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</w:tr>
      <w:tr w:rsidR="005109AD" w:rsidRPr="005109AD" w:rsidTr="00636715">
        <w:trPr>
          <w:trHeight w:val="46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 Основные средства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64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64 781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</w:tr>
      <w:tr w:rsidR="005109AD" w:rsidRPr="005109AD" w:rsidTr="00873CBE">
        <w:trPr>
          <w:trHeight w:val="58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36715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1.8. </w:t>
            </w:r>
            <w:r w:rsidR="005109AD"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активы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64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5109AD" w:rsidRPr="005109AD" w:rsidTr="00636715">
        <w:trPr>
          <w:trHeight w:val="42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 Финансовые активы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64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739 945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79366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1046888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39 42</w:t>
            </w:r>
            <w:r w:rsidR="006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134,3</w:t>
            </w:r>
          </w:p>
        </w:tc>
      </w:tr>
      <w:tr w:rsidR="005109AD" w:rsidRPr="005109AD" w:rsidTr="00636715">
        <w:trPr>
          <w:trHeight w:val="53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6325769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8 399 001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12 391 514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2 073232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5109AD" w:rsidRDefault="00643E39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3 992 512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147,5</w:t>
            </w:r>
          </w:p>
        </w:tc>
      </w:tr>
    </w:tbl>
    <w:p w:rsidR="009E3E1B" w:rsidRDefault="009E3E1B" w:rsidP="006367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73C4C" w:rsidRDefault="005109AD" w:rsidP="005109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Рассмотрев активы </w:t>
      </w:r>
      <w:r w:rsidRPr="005109A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», необходимо отметить, что денежные средства банка увеличились, относительное изменение в 2022 году составило 225,5%. Это говорит о значимости ликвидных активов банка. Средства кредитных организаций за изучаемые годы выросли в 2022 году на 12,4%. </w:t>
      </w:r>
    </w:p>
    <w:p w:rsidR="003070C1" w:rsidRDefault="005109AD" w:rsidP="00773C4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>Наибольшую долю в активах занимают финансовые активы, которые выросли в 2022 году на 34,3%. Это говорит о росте прибыли банка, 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» успешно управляет своими активами и получает прибыль от своих инвестиций и операций. </w:t>
      </w:r>
    </w:p>
    <w:p w:rsidR="005109AD" w:rsidRPr="005109AD" w:rsidRDefault="005109AD" w:rsidP="003070C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 же это произошло за счет роста клиентских активов почти на 500%. Это стало возможным благодаря совместной работе трех департаментов: Департамента прямых продаж и взаимодействия с агентской сетью «ГПБ Инвестиции», 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премиум-сегмента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менеджеров 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Газпромбанка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и розничных продаж.</w:t>
      </w:r>
    </w:p>
    <w:p w:rsidR="005109AD" w:rsidRPr="005109AD" w:rsidRDefault="005109AD" w:rsidP="005109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ab/>
        <w:t>Требования по текущему налогу на прибыль выросли на 20,9%. Отложенный налог на прибыль в 2022 году вырос на 54,9%. Основные средства 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>» выросли на 16,5%. Долгосрочные активы уменьшились, их относительное изменение в 2022 году составило 98,9%.</w:t>
      </w:r>
    </w:p>
    <w:p w:rsidR="00773C4C" w:rsidRDefault="005109AD" w:rsidP="005109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ab/>
        <w:t xml:space="preserve">Розничный кредитный портфель 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Газпромбанка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(ГПБ) по итогам 2022 года по РСБУ превысил 840 </w:t>
      </w:r>
      <w:proofErr w:type="spellStart"/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рублей, сообщили представители 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». За 2021 году розничный кредитный портфель ГПБ вырос на 15% - до 762 </w:t>
      </w:r>
      <w:proofErr w:type="spellStart"/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9E3E1B" w:rsidRDefault="005109AD" w:rsidP="00773C4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Таким образом, рост портфеля кредитов 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физлицам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в 2022 году составил 10,2%. </w:t>
      </w:r>
    </w:p>
    <w:p w:rsidR="009E3E1B" w:rsidRDefault="005109AD" w:rsidP="009E3E1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Ипотечный портфель ГПБ в 2022 году вырос на 4,7% - до 422 </w:t>
      </w:r>
      <w:proofErr w:type="spellStart"/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рублей с 403 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рублей. Всего за 2022 год банк выдал около 220 тыс. ипотечных кредитов на общую сумму 98 </w:t>
      </w:r>
      <w:proofErr w:type="spellStart"/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9E3E1B" w:rsidRDefault="005109AD" w:rsidP="009E3E1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Портфель кредитных карт в 2022 году вырос на 55% </w:t>
      </w: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до 22,4 </w:t>
      </w:r>
      <w:proofErr w:type="spellStart"/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рублей. Объем средств 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физлиц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в ГПБ по итогам 2022 года превысил 1 </w:t>
      </w:r>
      <w:proofErr w:type="spellStart"/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трлн</w:t>
      </w:r>
      <w:proofErr w:type="spellEnd"/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рублей (рост за год на 17%). </w:t>
      </w:r>
    </w:p>
    <w:p w:rsidR="005109AD" w:rsidRDefault="005109AD" w:rsidP="009E3E1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При этом портфель розничных вкладов составил 503 </w:t>
      </w:r>
      <w:proofErr w:type="spellStart"/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рублей (+31%), портфель накопительных счетов </w:t>
      </w: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281 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рублей (-1,4%). Розничный кредитный портфель в целом по банковскому сектору в 2022 году, по данным ЦБ РФ, вырос на 9,5%. Ипотека в 2022 году выросла на 17%, 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потребкредиты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на 2,7%. </w:t>
      </w:r>
    </w:p>
    <w:p w:rsidR="003070C1" w:rsidRDefault="003070C1" w:rsidP="003070C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Ниже представлена</w:t>
      </w:r>
      <w:r w:rsidR="009E3E1B" w:rsidRPr="005109AD">
        <w:rPr>
          <w:rFonts w:ascii="Times New Roman" w:eastAsia="Calibri" w:hAnsi="Times New Roman" w:cs="Times New Roman"/>
          <w:sz w:val="28"/>
          <w:szCs w:val="28"/>
        </w:rPr>
        <w:t xml:space="preserve"> таблиц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C37A7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, изучив которую,</w:t>
      </w:r>
      <w:r w:rsidR="009E3E1B" w:rsidRPr="005109AD">
        <w:rPr>
          <w:rFonts w:ascii="Times New Roman" w:eastAsia="Calibri" w:hAnsi="Times New Roman" w:cs="Times New Roman"/>
          <w:sz w:val="28"/>
          <w:szCs w:val="28"/>
        </w:rPr>
        <w:t xml:space="preserve"> можно сказать, что динамика пассивов АО «</w:t>
      </w:r>
      <w:proofErr w:type="spellStart"/>
      <w:r w:rsidR="009E3E1B"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="009E3E1B" w:rsidRPr="005109AD">
        <w:rPr>
          <w:rFonts w:ascii="Times New Roman" w:eastAsia="Calibri" w:hAnsi="Times New Roman" w:cs="Times New Roman"/>
          <w:sz w:val="28"/>
          <w:szCs w:val="28"/>
        </w:rPr>
        <w:t xml:space="preserve">» положительная, пассивы выросли на 48%. </w:t>
      </w:r>
    </w:p>
    <w:p w:rsidR="003070C1" w:rsidRPr="005109AD" w:rsidRDefault="003070C1" w:rsidP="003D6F0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9AD" w:rsidRPr="005109AD" w:rsidRDefault="005109AD" w:rsidP="005109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C37A79">
        <w:rPr>
          <w:rFonts w:ascii="Times New Roman" w:eastAsia="Calibri" w:hAnsi="Times New Roman" w:cs="Times New Roman"/>
          <w:sz w:val="28"/>
          <w:szCs w:val="28"/>
        </w:rPr>
        <w:t>6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Динамика пассивов </w:t>
      </w:r>
      <w:r w:rsidRPr="005109A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9E3E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9E3E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Pr="009E3E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Pr="009E3E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2020-2022 гг.</w:t>
      </w:r>
      <w:r w:rsidR="004318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(составлено автором на основе таблицы А.1 и А.3)</w:t>
      </w:r>
    </w:p>
    <w:tbl>
      <w:tblPr>
        <w:tblW w:w="9463" w:type="dxa"/>
        <w:tblInd w:w="108" w:type="dxa"/>
        <w:tblLook w:val="04A0"/>
      </w:tblPr>
      <w:tblGrid>
        <w:gridCol w:w="2372"/>
        <w:gridCol w:w="1118"/>
        <w:gridCol w:w="1118"/>
        <w:gridCol w:w="1118"/>
        <w:gridCol w:w="1098"/>
        <w:gridCol w:w="1094"/>
        <w:gridCol w:w="638"/>
        <w:gridCol w:w="907"/>
      </w:tblGrid>
      <w:tr w:rsidR="005109AD" w:rsidRPr="003070C1" w:rsidTr="004440AE">
        <w:trPr>
          <w:trHeight w:val="6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AD" w:rsidRPr="003070C1" w:rsidRDefault="005109AD" w:rsidP="009E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Абсолютное значение, </w:t>
            </w:r>
            <w:r w:rsidR="009E3E1B"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4440AE" w:rsidRPr="003070C1" w:rsidTr="004440AE">
        <w:trPr>
          <w:trHeight w:val="111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AD" w:rsidRPr="003070C1" w:rsidRDefault="005109AD" w:rsidP="009E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Абсолютное</w:t>
            </w:r>
            <w:proofErr w:type="gramEnd"/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E3E1B"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Относительное, %</w:t>
            </w:r>
          </w:p>
        </w:tc>
      </w:tr>
      <w:tr w:rsidR="005109AD" w:rsidRPr="003070C1" w:rsidTr="004440AE">
        <w:trPr>
          <w:trHeight w:val="6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Кредиты, депозиты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391 484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-12 317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369 481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1779</w:t>
            </w:r>
          </w:p>
        </w:tc>
      </w:tr>
      <w:tr w:rsidR="005109AD" w:rsidRPr="003070C1" w:rsidTr="00636715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Средства клиентов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5247394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7 095 856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3070C1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1 848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-7 085 244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109AD" w:rsidRPr="003070C1" w:rsidTr="00636715">
        <w:trPr>
          <w:trHeight w:val="6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Финансовые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47 398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-10 933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5109AD" w:rsidRPr="003070C1" w:rsidTr="00636715">
        <w:trPr>
          <w:trHeight w:val="6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 Выпущенные долговые ценные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404121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14 964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5109AD" w:rsidRPr="003070C1" w:rsidTr="00636715">
        <w:trPr>
          <w:trHeight w:val="1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 Обязательства по текущему налогу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6 588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2323</w:t>
            </w:r>
          </w:p>
        </w:tc>
      </w:tr>
      <w:tr w:rsidR="005109AD" w:rsidRPr="003070C1" w:rsidTr="00636715">
        <w:trPr>
          <w:trHeight w:val="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 Источники собственных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E3E1B"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822 867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845 016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174 937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22 148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5109AD" w:rsidRPr="003070C1" w:rsidTr="00636715">
        <w:trPr>
          <w:trHeight w:val="6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 Средства акционеров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246853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5109AD" w:rsidRPr="003070C1" w:rsidTr="00636715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 Эмиссионный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192 426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09AD" w:rsidRPr="003070C1" w:rsidTr="00636715">
        <w:trPr>
          <w:trHeight w:val="6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 Неиспользованная прибыль (убыток)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3070C1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3070C1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3070C1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387 947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3070C1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146 371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-32 570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5109AD" w:rsidRPr="003070C1" w:rsidTr="00636715">
        <w:trPr>
          <w:trHeight w:val="6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AD" w:rsidRPr="003070C1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6325769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12391514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2073232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3070C1" w:rsidRDefault="009E3E1B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3992512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3070C1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</w:tr>
    </w:tbl>
    <w:p w:rsidR="003070C1" w:rsidRPr="005109AD" w:rsidRDefault="003070C1" w:rsidP="006367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79" w:rsidRDefault="005109AD" w:rsidP="005109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ab/>
      </w:r>
      <w:r w:rsidR="00C37A79">
        <w:rPr>
          <w:rFonts w:ascii="Times New Roman" w:eastAsia="Calibri" w:hAnsi="Times New Roman" w:cs="Times New Roman"/>
          <w:sz w:val="28"/>
          <w:szCs w:val="28"/>
        </w:rPr>
        <w:t xml:space="preserve">Также из таблицы </w:t>
      </w:r>
      <w:r w:rsidR="0051777B">
        <w:rPr>
          <w:rFonts w:ascii="Times New Roman" w:eastAsia="Calibri" w:hAnsi="Times New Roman" w:cs="Times New Roman"/>
          <w:sz w:val="28"/>
          <w:szCs w:val="28"/>
        </w:rPr>
        <w:t>6</w:t>
      </w:r>
      <w:r w:rsidR="00C37A79">
        <w:rPr>
          <w:rFonts w:ascii="Times New Roman" w:eastAsia="Calibri" w:hAnsi="Times New Roman" w:cs="Times New Roman"/>
          <w:sz w:val="28"/>
          <w:szCs w:val="28"/>
        </w:rPr>
        <w:t xml:space="preserve"> мы видим, что в</w:t>
      </w:r>
      <w:r w:rsidR="00C37A79" w:rsidRPr="005109AD">
        <w:rPr>
          <w:rFonts w:ascii="Times New Roman" w:eastAsia="Calibri" w:hAnsi="Times New Roman" w:cs="Times New Roman"/>
          <w:sz w:val="28"/>
          <w:szCs w:val="28"/>
        </w:rPr>
        <w:t xml:space="preserve"> стоимостном выражении в 2022 году </w:t>
      </w:r>
      <w:r w:rsidR="00C37A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пассивы</w:t>
      </w:r>
      <w:r w:rsidR="00C37A79" w:rsidRPr="005109AD">
        <w:rPr>
          <w:rFonts w:ascii="Times New Roman" w:eastAsia="Calibri" w:hAnsi="Times New Roman" w:cs="Times New Roman"/>
          <w:sz w:val="28"/>
          <w:szCs w:val="28"/>
        </w:rPr>
        <w:t xml:space="preserve"> увеличились на 3992512947 тыс. руб.</w:t>
      </w:r>
      <w:r w:rsidR="00C37A79">
        <w:rPr>
          <w:rFonts w:ascii="Times New Roman" w:eastAsia="Calibri" w:hAnsi="Times New Roman" w:cs="Times New Roman"/>
          <w:sz w:val="28"/>
          <w:szCs w:val="28"/>
        </w:rPr>
        <w:t>, что является положительным фактором для АО «</w:t>
      </w:r>
      <w:proofErr w:type="spellStart"/>
      <w:r w:rsidR="00C37A79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="00C37A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76AE" w:rsidRDefault="005109AD" w:rsidP="00F076A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На основании таблицы </w:t>
      </w:r>
      <w:r w:rsidR="00C37A79">
        <w:rPr>
          <w:rFonts w:ascii="Times New Roman" w:eastAsia="Calibri" w:hAnsi="Times New Roman" w:cs="Times New Roman"/>
          <w:sz w:val="28"/>
          <w:szCs w:val="28"/>
        </w:rPr>
        <w:t>7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рассмотрим динамику и структуру депозитных источников финансовых ресурсов в разрезе срочных средств юридических и физических средств 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>» за период с 2020 по 2022 г.</w:t>
      </w:r>
    </w:p>
    <w:p w:rsidR="00636715" w:rsidRPr="005109AD" w:rsidRDefault="00636715" w:rsidP="00F076A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9AD" w:rsidRPr="005109AD" w:rsidRDefault="005109AD" w:rsidP="005109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C37A79">
        <w:rPr>
          <w:rFonts w:ascii="Times New Roman" w:eastAsia="Calibri" w:hAnsi="Times New Roman" w:cs="Times New Roman"/>
          <w:sz w:val="28"/>
          <w:szCs w:val="28"/>
        </w:rPr>
        <w:t>7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– Динамика депозитных источников финансовых ресурсов 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» за </w:t>
      </w:r>
      <w:r w:rsidR="00C37A79">
        <w:rPr>
          <w:rFonts w:ascii="Times New Roman" w:eastAsia="Calibri" w:hAnsi="Times New Roman" w:cs="Times New Roman"/>
          <w:sz w:val="28"/>
          <w:szCs w:val="28"/>
        </w:rPr>
        <w:t>конец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с 2020 по 2022 г</w:t>
      </w:r>
      <w:r w:rsidR="00636715">
        <w:rPr>
          <w:rFonts w:ascii="Times New Roman" w:eastAsia="Calibri" w:hAnsi="Times New Roman" w:cs="Times New Roman"/>
          <w:sz w:val="28"/>
          <w:szCs w:val="28"/>
        </w:rPr>
        <w:t>г</w:t>
      </w:r>
      <w:r w:rsidRPr="005109AD">
        <w:rPr>
          <w:rFonts w:ascii="Times New Roman" w:eastAsia="Calibri" w:hAnsi="Times New Roman" w:cs="Times New Roman"/>
          <w:sz w:val="28"/>
          <w:szCs w:val="28"/>
        </w:rPr>
        <w:t>.</w:t>
      </w:r>
      <w:r w:rsidR="00431896">
        <w:rPr>
          <w:rFonts w:ascii="Times New Roman" w:eastAsia="Calibri" w:hAnsi="Times New Roman" w:cs="Times New Roman"/>
          <w:sz w:val="28"/>
          <w:szCs w:val="28"/>
        </w:rPr>
        <w:t xml:space="preserve"> (данные, предоставленные компанией)</w:t>
      </w:r>
    </w:p>
    <w:tbl>
      <w:tblPr>
        <w:tblW w:w="9463" w:type="dxa"/>
        <w:tblInd w:w="108" w:type="dxa"/>
        <w:tblLook w:val="04A0"/>
      </w:tblPr>
      <w:tblGrid>
        <w:gridCol w:w="2830"/>
        <w:gridCol w:w="997"/>
        <w:gridCol w:w="1135"/>
        <w:gridCol w:w="992"/>
        <w:gridCol w:w="1843"/>
        <w:gridCol w:w="1666"/>
      </w:tblGrid>
      <w:tr w:rsidR="005109AD" w:rsidRPr="005109AD" w:rsidTr="005109AD">
        <w:trPr>
          <w:trHeight w:val="22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Относительное изменение, %</w:t>
            </w:r>
          </w:p>
        </w:tc>
      </w:tr>
      <w:tr w:rsidR="005109AD" w:rsidRPr="005109AD" w:rsidTr="005109AD">
        <w:trPr>
          <w:trHeight w:val="22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к 2020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к 2021</w:t>
            </w:r>
          </w:p>
        </w:tc>
      </w:tr>
      <w:tr w:rsidR="005109AD" w:rsidRPr="005109AD" w:rsidTr="005109AD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Текущие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97,6</w:t>
            </w:r>
          </w:p>
        </w:tc>
      </w:tr>
      <w:tr w:rsidR="005109AD" w:rsidRPr="005109AD" w:rsidTr="005109AD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юридических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88,2</w:t>
            </w:r>
          </w:p>
        </w:tc>
      </w:tr>
      <w:tr w:rsidR="005109AD" w:rsidRPr="005109AD" w:rsidTr="005109AD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121,0</w:t>
            </w:r>
          </w:p>
        </w:tc>
      </w:tr>
      <w:tr w:rsidR="005109AD" w:rsidRPr="005109AD" w:rsidTr="005109AD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Срочные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</w:tr>
      <w:tr w:rsidR="005109AD" w:rsidRPr="005109AD" w:rsidTr="005109AD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юридических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89,4</w:t>
            </w:r>
          </w:p>
        </w:tc>
      </w:tr>
      <w:tr w:rsidR="005109AD" w:rsidRPr="005109AD" w:rsidTr="005109AD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</w:t>
            </w:r>
          </w:p>
        </w:tc>
      </w:tr>
      <w:tr w:rsidR="005109AD" w:rsidRPr="005109AD" w:rsidTr="005109AD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5109AD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97,6</w:t>
            </w:r>
          </w:p>
        </w:tc>
      </w:tr>
    </w:tbl>
    <w:p w:rsidR="005109AD" w:rsidRPr="005109AD" w:rsidRDefault="005109AD" w:rsidP="0063671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F2A" w:rsidRDefault="005109AD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Анализ таблицы </w:t>
      </w:r>
      <w:r w:rsidR="00C37A79">
        <w:rPr>
          <w:rFonts w:ascii="Times New Roman" w:eastAsia="Calibri" w:hAnsi="Times New Roman" w:cs="Times New Roman"/>
          <w:sz w:val="28"/>
          <w:szCs w:val="28"/>
        </w:rPr>
        <w:t>7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F2A">
        <w:rPr>
          <w:rFonts w:ascii="Times New Roman" w:eastAsia="Calibri" w:hAnsi="Times New Roman" w:cs="Times New Roman"/>
          <w:sz w:val="28"/>
          <w:szCs w:val="28"/>
        </w:rPr>
        <w:t xml:space="preserve">показывает, что </w:t>
      </w:r>
      <w:r w:rsidR="00F076AE">
        <w:rPr>
          <w:rFonts w:ascii="Times New Roman" w:eastAsia="Calibri" w:hAnsi="Times New Roman" w:cs="Times New Roman"/>
          <w:sz w:val="28"/>
          <w:szCs w:val="28"/>
        </w:rPr>
        <w:t>в 2020-2021</w:t>
      </w:r>
      <w:r w:rsidR="0006421D">
        <w:rPr>
          <w:rFonts w:ascii="Times New Roman" w:eastAsia="Calibri" w:hAnsi="Times New Roman" w:cs="Times New Roman"/>
          <w:sz w:val="28"/>
          <w:szCs w:val="28"/>
        </w:rPr>
        <w:t>гг</w:t>
      </w:r>
      <w:r w:rsidR="00636715">
        <w:rPr>
          <w:rFonts w:ascii="Times New Roman" w:eastAsia="Calibri" w:hAnsi="Times New Roman" w:cs="Times New Roman"/>
          <w:sz w:val="28"/>
          <w:szCs w:val="28"/>
        </w:rPr>
        <w:t>.</w:t>
      </w:r>
      <w:r w:rsidR="0006421D">
        <w:rPr>
          <w:rFonts w:ascii="Times New Roman" w:eastAsia="Calibri" w:hAnsi="Times New Roman" w:cs="Times New Roman"/>
          <w:sz w:val="28"/>
          <w:szCs w:val="28"/>
        </w:rPr>
        <w:t xml:space="preserve"> все ресурсы увеличивались, но после 2021 года из-за политических колебаний, снижения курса рубля, повышения инфляции, а также из-за новых санкций против коммерческих банков России. Банк стал терять доступ к финансовым ресурсам.</w:t>
      </w:r>
    </w:p>
    <w:p w:rsidR="005109AD" w:rsidRPr="005109AD" w:rsidRDefault="0006421D" w:rsidP="0006421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Срочные средства юридических лиц в 2021 году увеличились на 14,1%. В 2022 году данный показатель снизился на 10,6%. Это произошло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повышение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стоимости долларов и евро, что привело к увеличению срочных депозитах предприятий в рублях. Текущие средства выросли </w:t>
      </w:r>
      <w:r w:rsidR="005109AD" w:rsidRPr="005109AD">
        <w:rPr>
          <w:rFonts w:ascii="Times New Roman" w:eastAsia="Calibri" w:hAnsi="Times New Roman" w:cs="Times New Roman"/>
          <w:sz w:val="28"/>
          <w:szCs w:val="28"/>
        </w:rPr>
        <w:t>на 11% в 2021 году и сокращение на 11,8% в 2022 г.</w:t>
      </w:r>
    </w:p>
    <w:p w:rsidR="005109AD" w:rsidRPr="005109AD" w:rsidRDefault="005109AD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С учетом сокращения реального уровня объема поступления депозитных ресурсов и резерва роста эффективности банковской деятельности в связи с невозможностью использования средств иностранных рынков на первый план выходит не только задача по привлечению новых депозитных ресурсов среди физических и юридических лиц внутри страны с учетом воздействующих внутренних и внешних факторов, но и вопрос максимального использования всех имеющихся видов депозитных ресурсов АО</w:t>
      </w:r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>» в кредитно-инвестиционной деятельности в реальных финансово-экономических условиях российской экономики.</w:t>
      </w:r>
    </w:p>
    <w:p w:rsidR="008F66A6" w:rsidRDefault="005109AD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lastRenderedPageBreak/>
        <w:t>Проведем анализ финансовых результатов деятельности 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» в таблице </w:t>
      </w:r>
      <w:r w:rsidR="00C37A79">
        <w:rPr>
          <w:rFonts w:ascii="Times New Roman" w:eastAsia="Calibri" w:hAnsi="Times New Roman" w:cs="Times New Roman"/>
          <w:sz w:val="28"/>
          <w:szCs w:val="28"/>
        </w:rPr>
        <w:t>8</w:t>
      </w:r>
      <w:r w:rsidRPr="005109AD">
        <w:rPr>
          <w:rFonts w:ascii="Times New Roman" w:eastAsia="Calibri" w:hAnsi="Times New Roman" w:cs="Times New Roman"/>
          <w:sz w:val="28"/>
          <w:szCs w:val="28"/>
        </w:rPr>
        <w:t>.</w:t>
      </w:r>
      <w:r w:rsidR="00C37A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66A6" w:rsidRDefault="00C37A79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Данные таблицы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свидетельствуют о негативной динамике финансовых результатов. </w:t>
      </w:r>
    </w:p>
    <w:p w:rsidR="005109AD" w:rsidRDefault="00C37A79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>Вследствие влияния факторов сумма прибыли до налогообложения сократилась на 112 568 889 тыс. руб. или на 10%.</w:t>
      </w:r>
    </w:p>
    <w:p w:rsidR="00C37A79" w:rsidRDefault="00431896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прибыль (убыток) от продаж за отчетный период показывает положительную динамику в виде роста на 14%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8F66A6" w:rsidRPr="005109AD" w:rsidRDefault="008F66A6" w:rsidP="0043189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9AD" w:rsidRPr="005109AD" w:rsidRDefault="005109AD" w:rsidP="005109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00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C37A79" w:rsidRPr="00C44004">
        <w:rPr>
          <w:rFonts w:ascii="Times New Roman" w:eastAsia="Calibri" w:hAnsi="Times New Roman" w:cs="Times New Roman"/>
          <w:sz w:val="28"/>
          <w:szCs w:val="28"/>
        </w:rPr>
        <w:t>8</w:t>
      </w:r>
      <w:r w:rsidRPr="00C44004">
        <w:rPr>
          <w:rFonts w:ascii="Times New Roman" w:eastAsia="Calibri" w:hAnsi="Times New Roman" w:cs="Times New Roman"/>
          <w:sz w:val="28"/>
          <w:szCs w:val="28"/>
        </w:rPr>
        <w:t xml:space="preserve"> – Анализ финансовых результатов за 2020-2022 гг. (тыс. руб.)</w:t>
      </w:r>
      <w:r w:rsidR="00431896" w:rsidRPr="00C44004">
        <w:rPr>
          <w:rFonts w:ascii="Times New Roman" w:eastAsia="Calibri" w:hAnsi="Times New Roman" w:cs="Times New Roman"/>
          <w:sz w:val="28"/>
          <w:szCs w:val="28"/>
        </w:rPr>
        <w:t xml:space="preserve"> (составлено автором на основе таблиц А.2 и А.4)</w:t>
      </w:r>
    </w:p>
    <w:tbl>
      <w:tblPr>
        <w:tblW w:w="9463" w:type="dxa"/>
        <w:tblInd w:w="108" w:type="dxa"/>
        <w:tblLayout w:type="fixed"/>
        <w:tblLook w:val="04A0"/>
      </w:tblPr>
      <w:tblGrid>
        <w:gridCol w:w="1701"/>
        <w:gridCol w:w="1134"/>
        <w:gridCol w:w="1276"/>
        <w:gridCol w:w="1276"/>
        <w:gridCol w:w="1134"/>
        <w:gridCol w:w="1276"/>
        <w:gridCol w:w="891"/>
        <w:gridCol w:w="775"/>
      </w:tblGrid>
      <w:tr w:rsidR="005109AD" w:rsidRPr="00431896" w:rsidTr="00873CBE">
        <w:trPr>
          <w:trHeight w:val="66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Абсолютное изменение, тыс. руб.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Относительное изменение, %</w:t>
            </w:r>
          </w:p>
        </w:tc>
      </w:tr>
      <w:tr w:rsidR="005109AD" w:rsidRPr="00431896" w:rsidTr="00873CBE">
        <w:trPr>
          <w:trHeight w:val="84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к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к 2021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к 2020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к 2021</w:t>
            </w:r>
          </w:p>
        </w:tc>
      </w:tr>
      <w:tr w:rsidR="005109AD" w:rsidRPr="00431896" w:rsidTr="00151924">
        <w:trPr>
          <w:trHeight w:val="1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Чистые процентные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187456315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197 594 179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233 091 791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10 137 864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35 497 612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5109AD" w:rsidRPr="00431896" w:rsidTr="00151924">
        <w:trPr>
          <w:trHeight w:val="1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Чистые доходы от операций с финансовыми обязательствами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1049356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1 058 037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2 441 711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1 383 674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230,8</w:t>
            </w:r>
          </w:p>
        </w:tc>
      </w:tr>
      <w:tr w:rsidR="005109AD" w:rsidRPr="00431896" w:rsidTr="00151924">
        <w:trPr>
          <w:trHeight w:val="2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сальдо комиссионных доходов и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39951068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40966696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39634486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-1 332 210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5109AD" w:rsidRPr="00431896" w:rsidTr="00151924">
        <w:trPr>
          <w:trHeight w:val="1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операционные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6452165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7 649 166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8 730 561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1 081 395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</w:t>
            </w:r>
          </w:p>
        </w:tc>
      </w:tr>
      <w:tr w:rsidR="005109AD" w:rsidRPr="00431896" w:rsidTr="00873CBE">
        <w:trPr>
          <w:trHeight w:val="5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135456021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141 791 502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154 057 290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6 335 481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12 265 788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</w:tr>
      <w:tr w:rsidR="005109AD" w:rsidRPr="00431896" w:rsidTr="00873CBE">
        <w:trPr>
          <w:trHeight w:val="1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до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116325987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125 044 714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2B2E33"/>
                <w:sz w:val="20"/>
                <w:szCs w:val="20"/>
                <w:lang w:eastAsia="ru-RU"/>
              </w:rPr>
              <w:t>12 475 825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8 718 727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-112 568 889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37A79" w:rsidRPr="00431896" w:rsidTr="00873CBE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79" w:rsidRPr="00431896" w:rsidRDefault="00C37A79" w:rsidP="00C37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(убыток)</w:t>
            </w:r>
            <w:r w:rsid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A79" w:rsidRPr="00431896" w:rsidRDefault="00C37A79" w:rsidP="00C37A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38 089 033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A79" w:rsidRPr="00431896" w:rsidRDefault="00C37A79" w:rsidP="00C37A79">
            <w:pPr>
              <w:jc w:val="right"/>
              <w:rPr>
                <w:rFonts w:ascii="Times New Roman" w:hAnsi="Times New Roman" w:cs="Times New Roman"/>
                <w:color w:val="2B2E33"/>
                <w:sz w:val="20"/>
                <w:szCs w:val="20"/>
              </w:rPr>
            </w:pPr>
            <w:r w:rsidRPr="00431896">
              <w:rPr>
                <w:rFonts w:ascii="Times New Roman" w:hAnsi="Times New Roman" w:cs="Times New Roman"/>
                <w:color w:val="2B2E33"/>
                <w:sz w:val="20"/>
                <w:szCs w:val="20"/>
              </w:rPr>
              <w:t>84201987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A79" w:rsidRPr="00431896" w:rsidRDefault="00C37A79" w:rsidP="00C37A79">
            <w:pPr>
              <w:jc w:val="right"/>
              <w:rPr>
                <w:rFonts w:ascii="Times New Roman" w:hAnsi="Times New Roman" w:cs="Times New Roman"/>
                <w:color w:val="2B2E33"/>
                <w:sz w:val="20"/>
                <w:szCs w:val="20"/>
              </w:rPr>
            </w:pPr>
            <w:r w:rsidRPr="00431896">
              <w:rPr>
                <w:rFonts w:ascii="Times New Roman" w:hAnsi="Times New Roman" w:cs="Times New Roman"/>
                <w:color w:val="2B2E33"/>
                <w:sz w:val="20"/>
                <w:szCs w:val="20"/>
              </w:rPr>
              <w:t>95 990 793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A79" w:rsidRPr="00431896" w:rsidRDefault="00C37A79" w:rsidP="00C37A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46 112 954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A79" w:rsidRPr="00431896" w:rsidRDefault="00C37A79" w:rsidP="00C37A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11 788 806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A79" w:rsidRPr="00431896" w:rsidRDefault="00C37A79" w:rsidP="00C37A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A79" w:rsidRPr="00431896" w:rsidRDefault="00C37A79" w:rsidP="00C37A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</w:tbl>
    <w:p w:rsidR="00C37A79" w:rsidRDefault="00C37A79" w:rsidP="0063671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9AD" w:rsidRPr="005109AD" w:rsidRDefault="005109AD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>Анализируя динамику чистых про</w:t>
      </w:r>
      <w:r w:rsidR="00873CBE">
        <w:rPr>
          <w:rFonts w:ascii="Times New Roman" w:eastAsia="Calibri" w:hAnsi="Times New Roman" w:cs="Times New Roman"/>
          <w:sz w:val="28"/>
          <w:szCs w:val="28"/>
        </w:rPr>
        <w:t>центных доходов за 2020-2022гг</w:t>
      </w:r>
      <w:r w:rsidR="00636715">
        <w:rPr>
          <w:rFonts w:ascii="Times New Roman" w:eastAsia="Calibri" w:hAnsi="Times New Roman" w:cs="Times New Roman"/>
          <w:sz w:val="28"/>
          <w:szCs w:val="28"/>
        </w:rPr>
        <w:t>.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можно сказать, что динамика имела тенденцию к росту. В 2022</w:t>
      </w:r>
      <w:r w:rsidR="0063671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рост составил 18%. В 2021 г</w:t>
      </w:r>
      <w:r w:rsidR="00636715">
        <w:rPr>
          <w:rFonts w:ascii="Times New Roman" w:eastAsia="Calibri" w:hAnsi="Times New Roman" w:cs="Times New Roman"/>
          <w:sz w:val="28"/>
          <w:szCs w:val="28"/>
        </w:rPr>
        <w:t>оду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прибыль до налогообложения составила 125 044 714 тыс. руб., в 2022 году она сократилась до 12 475 825 тыс. руб. </w:t>
      </w:r>
    </w:p>
    <w:p w:rsidR="005109AD" w:rsidRDefault="00431896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Теперь приступим к анализу рентабельности активов и капитала. </w:t>
      </w:r>
      <w:r w:rsidR="005109AD" w:rsidRPr="005109AD">
        <w:rPr>
          <w:rFonts w:ascii="Times New Roman" w:eastAsia="Calibri" w:hAnsi="Times New Roman" w:cs="Times New Roman"/>
          <w:sz w:val="28"/>
          <w:szCs w:val="28"/>
        </w:rPr>
        <w:t>Динамика рентабельности активов и капитала АО «</w:t>
      </w:r>
      <w:proofErr w:type="spellStart"/>
      <w:r w:rsidR="005109AD"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="005109AD" w:rsidRPr="005109AD">
        <w:rPr>
          <w:rFonts w:ascii="Times New Roman" w:eastAsia="Calibri" w:hAnsi="Times New Roman" w:cs="Times New Roman"/>
          <w:sz w:val="28"/>
          <w:szCs w:val="28"/>
        </w:rPr>
        <w:t xml:space="preserve">» за анализируемый период представлена в таблице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109AD" w:rsidRPr="00510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896" w:rsidRDefault="00431896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видно снижение рентабельности активов за 2022 год в связи </w:t>
      </w:r>
      <w:proofErr w:type="gramStart"/>
      <w:r w:rsidRPr="005109A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значительным увеличением активов 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>» относительно увеличения прибыли.</w:t>
      </w:r>
    </w:p>
    <w:p w:rsidR="00431896" w:rsidRDefault="00431896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>Рентабельность капитала за анализируемый период уменьшилась на 11,96%. В общем, в 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>» наблюдаются средние показатели рентабельности капитала, поскольку показатель рентабельность должен быть положительным, что и видно, исходя из данных 2022 года.</w:t>
      </w:r>
    </w:p>
    <w:p w:rsidR="00431896" w:rsidRPr="005109AD" w:rsidRDefault="00431896" w:rsidP="005109A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9AD" w:rsidRPr="005109AD" w:rsidRDefault="005109AD" w:rsidP="005109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431896">
        <w:rPr>
          <w:rFonts w:ascii="Times New Roman" w:eastAsia="Calibri" w:hAnsi="Times New Roman" w:cs="Times New Roman"/>
          <w:sz w:val="28"/>
          <w:szCs w:val="28"/>
        </w:rPr>
        <w:t>9</w:t>
      </w:r>
      <w:r w:rsidRPr="005109AD">
        <w:rPr>
          <w:rFonts w:ascii="Times New Roman" w:eastAsia="Calibri" w:hAnsi="Times New Roman" w:cs="Times New Roman"/>
          <w:sz w:val="28"/>
          <w:szCs w:val="28"/>
        </w:rPr>
        <w:t xml:space="preserve"> – Динамика рентабельности активов и капитала АО «</w:t>
      </w:r>
      <w:proofErr w:type="spellStart"/>
      <w:r w:rsidRPr="005109AD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Calibri" w:hAnsi="Times New Roman" w:cs="Times New Roman"/>
          <w:sz w:val="28"/>
          <w:szCs w:val="28"/>
        </w:rPr>
        <w:t>» за 2020-2022 гг.</w:t>
      </w:r>
      <w:r w:rsidR="00431896">
        <w:rPr>
          <w:rFonts w:ascii="Times New Roman" w:eastAsia="Calibri" w:hAnsi="Times New Roman" w:cs="Times New Roman"/>
          <w:sz w:val="28"/>
          <w:szCs w:val="28"/>
        </w:rPr>
        <w:t xml:space="preserve"> (составлено автором)</w:t>
      </w: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1454"/>
        <w:gridCol w:w="1454"/>
        <w:gridCol w:w="1580"/>
        <w:gridCol w:w="1328"/>
        <w:gridCol w:w="1454"/>
      </w:tblGrid>
      <w:tr w:rsidR="005109AD" w:rsidRPr="00431896" w:rsidTr="00CC1D32">
        <w:trPr>
          <w:trHeight w:val="212"/>
        </w:trPr>
        <w:tc>
          <w:tcPr>
            <w:tcW w:w="2133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580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2782" w:type="dxa"/>
            <w:gridSpan w:val="2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5109AD" w:rsidRPr="00431896" w:rsidTr="00CC1D32">
        <w:trPr>
          <w:trHeight w:val="212"/>
        </w:trPr>
        <w:tc>
          <w:tcPr>
            <w:tcW w:w="2133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Средняя величина активов, тыс. руб.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6496256288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7362385399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10395258257</w:t>
            </w:r>
          </w:p>
        </w:tc>
        <w:tc>
          <w:tcPr>
            <w:tcW w:w="1328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866129111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3032872858</w:t>
            </w:r>
          </w:p>
        </w:tc>
      </w:tr>
      <w:tr w:rsidR="005109AD" w:rsidRPr="00431896" w:rsidTr="00CC1D32">
        <w:trPr>
          <w:trHeight w:val="212"/>
        </w:trPr>
        <w:tc>
          <w:tcPr>
            <w:tcW w:w="2133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Средняя величина капитала, тыс. руб.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648525896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735398984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833942203,5</w:t>
            </w:r>
          </w:p>
        </w:tc>
        <w:tc>
          <w:tcPr>
            <w:tcW w:w="1328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86873088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98543220</w:t>
            </w:r>
          </w:p>
        </w:tc>
      </w:tr>
      <w:tr w:rsidR="005109AD" w:rsidRPr="00431896" w:rsidTr="00CC1D32">
        <w:trPr>
          <w:trHeight w:val="212"/>
        </w:trPr>
        <w:tc>
          <w:tcPr>
            <w:tcW w:w="2133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Прибыль за отчетный период, тыс. руб.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84201987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95990793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9108518</w:t>
            </w:r>
          </w:p>
        </w:tc>
        <w:tc>
          <w:tcPr>
            <w:tcW w:w="1328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11788806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-86882275</w:t>
            </w:r>
          </w:p>
        </w:tc>
      </w:tr>
      <w:tr w:rsidR="005109AD" w:rsidRPr="00431896" w:rsidTr="00CC1D32">
        <w:trPr>
          <w:trHeight w:val="212"/>
        </w:trPr>
        <w:tc>
          <w:tcPr>
            <w:tcW w:w="2133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Рентабельность активов, %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580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328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-1,22</w:t>
            </w:r>
          </w:p>
        </w:tc>
      </w:tr>
      <w:tr w:rsidR="005109AD" w:rsidRPr="00431896" w:rsidTr="00CC1D32">
        <w:trPr>
          <w:trHeight w:val="212"/>
        </w:trPr>
        <w:tc>
          <w:tcPr>
            <w:tcW w:w="2133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 Рентабельность капитала, %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580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328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454" w:type="dxa"/>
            <w:shd w:val="clear" w:color="auto" w:fill="auto"/>
            <w:hideMark/>
          </w:tcPr>
          <w:p w:rsidR="005109AD" w:rsidRPr="00431896" w:rsidRDefault="005109AD" w:rsidP="00510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-11,96</w:t>
            </w:r>
          </w:p>
        </w:tc>
      </w:tr>
    </w:tbl>
    <w:p w:rsidR="005109AD" w:rsidRPr="005109AD" w:rsidRDefault="005109AD" w:rsidP="0063671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9AD" w:rsidRPr="005109AD" w:rsidRDefault="005109AD" w:rsidP="005109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9AD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>» организационная структура состоит из 21 подразделения: руководство; административно-управленческий персонал; служба персонала; юридический отдел; отдел клиентских отношений; кредитный отдел; отдел финансового анализа и планирования; отдел учёта и отчётности; операционный отдел; отдел обслуживания физических лиц; отдел кассовых операций; отдел валютных операций; отдел депозитарных операций; отдел информационных технологий; отдел банковских карт;</w:t>
      </w:r>
      <w:proofErr w:type="gramEnd"/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 экспертный отдел; отдел инкассации; хозяйстве</w:t>
      </w:r>
      <w:r w:rsidR="008F66A6">
        <w:rPr>
          <w:rFonts w:ascii="Times New Roman" w:eastAsia="Times New Roman" w:hAnsi="Times New Roman" w:cs="Times New Roman"/>
          <w:sz w:val="28"/>
          <w:szCs w:val="28"/>
        </w:rPr>
        <w:t>нный отдел; дополнительный офис</w:t>
      </w:r>
      <w:r w:rsidRPr="00510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9AD" w:rsidRPr="005109AD" w:rsidRDefault="005109AD" w:rsidP="005109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sz w:val="28"/>
          <w:szCs w:val="28"/>
        </w:rPr>
        <w:t>Что касается активов 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», то денежные средства банка увеличились, это говорит о значимости ликвидных активов банка. </w:t>
      </w:r>
      <w:r w:rsidRPr="005109AD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Наибольшую долю в активах занимают финансовые активы, которые выросли в 2022 году на 34,3%. Это говорит о росте прибыли банка, 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» успешно управляет своими активами и получает прибыль от своих инвестиций и операций. Так же это произошло за счет роста клиентских активов почти на 500%. </w:t>
      </w:r>
    </w:p>
    <w:p w:rsidR="00431896" w:rsidRDefault="005109AD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Розничный кредитный портфель 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Газпромбанка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 (ГПБ) по итогам 2022 года по РСБУ превысил 840 </w:t>
      </w:r>
      <w:proofErr w:type="spellStart"/>
      <w:proofErr w:type="gramStart"/>
      <w:r w:rsidRPr="005109AD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 рублей. Таким образом, рост портфеля кредитов 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физлицам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 в 2022 году составил 10,2%.</w:t>
      </w:r>
    </w:p>
    <w:p w:rsidR="005109AD" w:rsidRPr="005109AD" w:rsidRDefault="005109AD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sz w:val="28"/>
          <w:szCs w:val="28"/>
        </w:rPr>
        <w:t>Изучив пассивы 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>», необходимо отметить, что динамика изменения положительная, пассивы выросли на 48%. Это значит, что деловая активность 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>» увеличивается.</w:t>
      </w:r>
      <w:r w:rsidR="0043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9AD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» считается финансово-устойчивым банком России. Однако есть отрицательные тенденции в показателях деятельности банка, которые могут нести угрозу стабильности банка. </w:t>
      </w:r>
      <w:r w:rsidR="008F66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9AD">
        <w:rPr>
          <w:rFonts w:ascii="Times New Roman" w:eastAsia="Times New Roman" w:hAnsi="Times New Roman" w:cs="Times New Roman"/>
          <w:sz w:val="28"/>
          <w:szCs w:val="28"/>
        </w:rPr>
        <w:t>апитал 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>» вырос на 4,5 при росте источников собственных средств из года в год (рост в 2022 году произошел на 22148995 тыс. руб.). Тенденция является отрицательной для 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>», поскольку обязательства показывают рост в 2022 году на 52,4%. Это влечет к финансовой неустойчивости 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109AD" w:rsidRPr="005109AD" w:rsidRDefault="005109AD" w:rsidP="005109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Ключевые составляющие прибыли (чистые процентные доходы: рост составил 18%.) показывают стабильный рост, отражая рекордную динамику клиентской базы и наращивание бизнеса в ключевых сегментах рынка одновременно с эффективным контролем рисков. Однако, например, такой показатель, как прибыль до налогообложения сократилась на 112 568 889 тыс. руб. или на 10%, что считается отрицательным фактом. </w:t>
      </w:r>
    </w:p>
    <w:p w:rsidR="005109AD" w:rsidRPr="005109AD" w:rsidRDefault="005109AD" w:rsidP="005109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Рентабельность активов и капитала имеет тенденцию снижения. </w:t>
      </w:r>
      <w:proofErr w:type="gramStart"/>
      <w:r w:rsidRPr="005109AD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 в общем в АО 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>» наблюдаются средние показатели рентабельности капитала, поскольку показатель рентабельность должен быть положительным, что и видно, исходя из данных 2022 года.</w:t>
      </w:r>
    </w:p>
    <w:p w:rsidR="002E28D1" w:rsidRDefault="005109AD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9AD">
        <w:rPr>
          <w:rFonts w:ascii="Times New Roman" w:eastAsia="Times New Roman" w:hAnsi="Times New Roman" w:cs="Times New Roman"/>
          <w:sz w:val="28"/>
          <w:szCs w:val="28"/>
        </w:rPr>
        <w:t xml:space="preserve">В виду большой конкуренции на рынке банковских услуг, внедрения новых технологий и появления новых банковских продуктов, АО </w:t>
      </w:r>
      <w:r w:rsidRPr="005109AD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5109A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5109AD">
        <w:rPr>
          <w:rFonts w:ascii="Times New Roman" w:eastAsia="Times New Roman" w:hAnsi="Times New Roman" w:cs="Times New Roman"/>
          <w:sz w:val="28"/>
          <w:szCs w:val="28"/>
        </w:rPr>
        <w:t>» необходимо постоянно проводить мероприятия для поддержания и повышения своей эффективности.</w:t>
      </w:r>
    </w:p>
    <w:p w:rsid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896" w:rsidRPr="003C2EF7" w:rsidRDefault="00431896" w:rsidP="004318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2E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896">
        <w:rPr>
          <w:rFonts w:ascii="Times New Roman" w:hAnsi="Times New Roman" w:cs="Times New Roman"/>
          <w:b/>
          <w:sz w:val="28"/>
          <w:szCs w:val="28"/>
        </w:rPr>
        <w:t>Анализ и оценка основных показателей уровня экономической безопасности АО «</w:t>
      </w:r>
      <w:proofErr w:type="spellStart"/>
      <w:r w:rsidRPr="00431896">
        <w:rPr>
          <w:rFonts w:ascii="Times New Roman" w:hAnsi="Times New Roman" w:cs="Times New Roman"/>
          <w:b/>
          <w:sz w:val="28"/>
          <w:szCs w:val="28"/>
        </w:rPr>
        <w:t>Газпромбанк</w:t>
      </w:r>
      <w:proofErr w:type="spellEnd"/>
      <w:r w:rsidRPr="00431896">
        <w:rPr>
          <w:rFonts w:ascii="Times New Roman" w:hAnsi="Times New Roman" w:cs="Times New Roman"/>
          <w:b/>
          <w:sz w:val="28"/>
          <w:szCs w:val="28"/>
        </w:rPr>
        <w:t>»</w:t>
      </w:r>
    </w:p>
    <w:p w:rsidR="00431896" w:rsidRPr="003C2EF7" w:rsidRDefault="00431896" w:rsidP="0043189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96" w:rsidRPr="002F234F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проанализировать и оценить уровень экономической безопасности АО «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следует </w:t>
      </w:r>
      <w:r w:rsidR="00CF40B2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выбрать метод и сформировать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0B2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систему показателей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оценки экономической безопасности коммерческого банка. </w:t>
      </w:r>
      <w:r w:rsidR="007546B3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этого будем использовать </w:t>
      </w:r>
      <w:proofErr w:type="gramStart"/>
      <w:r w:rsidR="007546B3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</w:t>
      </w:r>
      <w:r w:rsidR="00CF40B2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ческие подходы</w:t>
      </w:r>
      <w:proofErr w:type="gramEnd"/>
      <w:r w:rsidR="007968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F40B2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изложенные </w:t>
      </w:r>
      <w:r w:rsidR="007546B3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параграфе 1.3.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Анализируя уровень рисков коммерческого банка, следует рассмотреть максимальный размер крупных кредитных рисков; максимальный размер риска на одного заемщика или группу связанных заемщиков; размер валютного и процентного рисков.</w:t>
      </w:r>
    </w:p>
    <w:p w:rsid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Начнем с обязательных нормативов деятельности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», которые представлены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896" w:rsidRPr="00D260BD" w:rsidRDefault="00431896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0BD">
        <w:rPr>
          <w:rFonts w:ascii="Times New Roman" w:eastAsia="Times New Roman" w:hAnsi="Times New Roman" w:cs="Times New Roman"/>
          <w:sz w:val="28"/>
          <w:szCs w:val="28"/>
        </w:rPr>
        <w:t>Таблица 10 – Выполнение нормативов АО «</w:t>
      </w:r>
      <w:proofErr w:type="spellStart"/>
      <w:r w:rsidRPr="00D260B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D260BD">
        <w:rPr>
          <w:rFonts w:ascii="Times New Roman" w:eastAsia="Times New Roman" w:hAnsi="Times New Roman" w:cs="Times New Roman"/>
          <w:sz w:val="28"/>
          <w:szCs w:val="28"/>
        </w:rPr>
        <w:t>» 2020 – 2022 гг. (составлено автором на основе [</w:t>
      </w:r>
      <w:r w:rsidR="00F82D72" w:rsidRPr="00D260B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260BD">
        <w:rPr>
          <w:rFonts w:ascii="Times New Roman" w:eastAsia="Times New Roman" w:hAnsi="Times New Roman" w:cs="Times New Roman"/>
          <w:sz w:val="28"/>
          <w:szCs w:val="28"/>
        </w:rPr>
        <w:t>]; [</w:t>
      </w:r>
      <w:r w:rsidR="00F82D72" w:rsidRPr="00D260BD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D260BD">
        <w:rPr>
          <w:rFonts w:ascii="Times New Roman" w:eastAsia="Times New Roman" w:hAnsi="Times New Roman" w:cs="Times New Roman"/>
          <w:sz w:val="28"/>
          <w:szCs w:val="28"/>
        </w:rPr>
        <w:t>])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2405"/>
        <w:gridCol w:w="1811"/>
        <w:gridCol w:w="1811"/>
        <w:gridCol w:w="1814"/>
      </w:tblGrid>
      <w:tr w:rsidR="00431896" w:rsidRPr="000767E8" w:rsidTr="003A78E6">
        <w:trPr>
          <w:trHeight w:val="292"/>
        </w:trPr>
        <w:tc>
          <w:tcPr>
            <w:tcW w:w="1547" w:type="dxa"/>
            <w:vMerge w:val="restart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Предельное значение</w:t>
            </w:r>
          </w:p>
        </w:tc>
        <w:tc>
          <w:tcPr>
            <w:tcW w:w="5436" w:type="dxa"/>
            <w:gridSpan w:val="3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значение, %</w:t>
            </w:r>
          </w:p>
        </w:tc>
      </w:tr>
      <w:tr w:rsidR="00431896" w:rsidRPr="000767E8" w:rsidTr="003A78E6">
        <w:trPr>
          <w:trHeight w:val="382"/>
        </w:trPr>
        <w:tc>
          <w:tcPr>
            <w:tcW w:w="1547" w:type="dxa"/>
            <w:vMerge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14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31896" w:rsidRPr="000767E8" w:rsidTr="003A78E6">
        <w:trPr>
          <w:trHeight w:val="440"/>
        </w:trPr>
        <w:tc>
          <w:tcPr>
            <w:tcW w:w="1547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&gt; 8%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814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431896" w:rsidRPr="000767E8" w:rsidTr="003A78E6">
        <w:trPr>
          <w:trHeight w:val="407"/>
        </w:trPr>
        <w:tc>
          <w:tcPr>
            <w:tcW w:w="1547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05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&gt; 5 %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814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431896" w:rsidRPr="000767E8" w:rsidTr="003A78E6">
        <w:trPr>
          <w:trHeight w:val="407"/>
        </w:trPr>
        <w:tc>
          <w:tcPr>
            <w:tcW w:w="1547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405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&gt; 6 %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1896" w:rsidRPr="000767E8" w:rsidTr="003A78E6">
        <w:trPr>
          <w:trHeight w:val="440"/>
        </w:trPr>
        <w:tc>
          <w:tcPr>
            <w:tcW w:w="1547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&gt; 15%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97,23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97,23</w:t>
            </w:r>
          </w:p>
        </w:tc>
        <w:tc>
          <w:tcPr>
            <w:tcW w:w="1814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77</w:t>
            </w: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431896" w:rsidRPr="000767E8" w:rsidTr="003A78E6">
        <w:trPr>
          <w:trHeight w:val="407"/>
        </w:trPr>
        <w:tc>
          <w:tcPr>
            <w:tcW w:w="1547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Н3</w:t>
            </w:r>
          </w:p>
        </w:tc>
        <w:tc>
          <w:tcPr>
            <w:tcW w:w="2405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&gt; 50%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136,69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136,69</w:t>
            </w:r>
          </w:p>
        </w:tc>
        <w:tc>
          <w:tcPr>
            <w:tcW w:w="1814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120,76</w:t>
            </w:r>
          </w:p>
        </w:tc>
      </w:tr>
      <w:tr w:rsidR="00431896" w:rsidRPr="000767E8" w:rsidTr="003A78E6">
        <w:trPr>
          <w:trHeight w:val="407"/>
        </w:trPr>
        <w:tc>
          <w:tcPr>
            <w:tcW w:w="1547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&lt; 120%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59,85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59,69</w:t>
            </w:r>
          </w:p>
        </w:tc>
        <w:tc>
          <w:tcPr>
            <w:tcW w:w="1814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59,69</w:t>
            </w:r>
          </w:p>
        </w:tc>
      </w:tr>
      <w:tr w:rsidR="00431896" w:rsidRPr="000767E8" w:rsidTr="003A78E6">
        <w:trPr>
          <w:trHeight w:val="407"/>
        </w:trPr>
        <w:tc>
          <w:tcPr>
            <w:tcW w:w="1547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&lt; 800%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384,59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384,59</w:t>
            </w:r>
          </w:p>
        </w:tc>
        <w:tc>
          <w:tcPr>
            <w:tcW w:w="1814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405,44</w:t>
            </w:r>
          </w:p>
        </w:tc>
      </w:tr>
      <w:tr w:rsidR="00431896" w:rsidRPr="000767E8" w:rsidTr="003A78E6">
        <w:trPr>
          <w:trHeight w:val="440"/>
        </w:trPr>
        <w:tc>
          <w:tcPr>
            <w:tcW w:w="1547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05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&lt; 50%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811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431896" w:rsidRPr="000767E8" w:rsidTr="003A78E6">
        <w:trPr>
          <w:trHeight w:val="407"/>
        </w:trPr>
        <w:tc>
          <w:tcPr>
            <w:tcW w:w="1547" w:type="dxa"/>
            <w:tcBorders>
              <w:bottom w:val="nil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Н10.1</w: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&lt; 3%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31896" w:rsidRPr="000767E8" w:rsidTr="003A78E6">
        <w:trPr>
          <w:trHeight w:val="440"/>
        </w:trPr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Н12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&lt; 25%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431896" w:rsidRPr="000767E8" w:rsidRDefault="00431896" w:rsidP="00431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7E8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</w:tbl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заметить, что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» соблюдает все нормативы. Норматив </w:t>
      </w:r>
      <w:r w:rsidR="00D260B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="00D260B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в 2022 году вырос и составил 12,2%, что выше уровня 2021 года на 0,1%.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Данный показатель в 2022 году достиг значения 12,2% при минимальной величине 8%. Высокое значение норматива Н</w:t>
      </w:r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говорит о желании акционеров банка увеличивать уставный капитал. Данная динамика свидетельствует о росте устойчивого капитала в собственных средствах банка. Все коэффициенты данной группы показывают благоприятную тенденцию.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Нормативы </w:t>
      </w:r>
      <w:r w:rsidR="000767E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="000767E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767E8">
        <w:rPr>
          <w:rFonts w:ascii="Times New Roman" w:eastAsia="Times New Roman" w:hAnsi="Times New Roman" w:cs="Times New Roman"/>
          <w:sz w:val="28"/>
          <w:szCs w:val="28"/>
        </w:rPr>
        <w:t>Н3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превышают минимальные требования, но уменьшаются. Норматив мгновенной ликвидности Н</w:t>
      </w:r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упал в 2022 году на 19,34%, в 2021 году – не изменился относительно 2020 года и составил 97,23%. Исходя из динамики снижения данного показателя, можно сказать, что у банка снижается объем высоколиквидных активов для покрытия своих обязательств перед клиентами.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Норматив текущей ликвидности не изменился с 2020 года по 2021 год и составил 136,69%, а в 2022 году снизился до 120,76%.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Нор</w:t>
      </w:r>
      <w:r w:rsidR="000767E8">
        <w:rPr>
          <w:rFonts w:ascii="Times New Roman" w:eastAsia="Times New Roman" w:hAnsi="Times New Roman" w:cs="Times New Roman"/>
          <w:sz w:val="28"/>
          <w:szCs w:val="28"/>
        </w:rPr>
        <w:t>матив Н</w:t>
      </w:r>
      <w:proofErr w:type="gramStart"/>
      <w:r w:rsidR="000767E8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в пределах допустимых требований и незначительно снизился, начиная с 2021 года. В 2022 году норматив составляет 59,69%. 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H12, </w:t>
      </w:r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введенный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Банком России, ограничивает долю использования собственного капитала банка для приобретения долей других юридических лиц. Нормативное значение равно 25%, в 2021 году – 8, в 2022 году – 20,2.</w:t>
      </w:r>
    </w:p>
    <w:p w:rsid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Таким образом, тенденция в соблюдении нормативов свидетельствует о качественном управлении рисками в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и значительном снижении их уровня в динамике.</w:t>
      </w:r>
    </w:p>
    <w:p w:rsidR="00497924" w:rsidRDefault="00497924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24">
        <w:rPr>
          <w:rFonts w:ascii="Times New Roman" w:eastAsia="Times New Roman" w:hAnsi="Times New Roman" w:cs="Times New Roman"/>
          <w:sz w:val="28"/>
          <w:szCs w:val="28"/>
        </w:rPr>
        <w:t>Основным видом рисков актив</w:t>
      </w:r>
      <w:r>
        <w:rPr>
          <w:rFonts w:ascii="Times New Roman" w:eastAsia="Times New Roman" w:hAnsi="Times New Roman" w:cs="Times New Roman"/>
          <w:sz w:val="28"/>
          <w:szCs w:val="28"/>
        </w:rPr>
        <w:t>ных операций банка являются кре</w:t>
      </w:r>
      <w:r w:rsidRPr="00497924">
        <w:rPr>
          <w:rFonts w:ascii="Times New Roman" w:eastAsia="Times New Roman" w:hAnsi="Times New Roman" w:cs="Times New Roman"/>
          <w:sz w:val="28"/>
          <w:szCs w:val="28"/>
        </w:rPr>
        <w:t>дитные риски. Их уровень характериз</w:t>
      </w:r>
      <w:r>
        <w:rPr>
          <w:rFonts w:ascii="Times New Roman" w:eastAsia="Times New Roman" w:hAnsi="Times New Roman" w:cs="Times New Roman"/>
          <w:sz w:val="28"/>
          <w:szCs w:val="28"/>
        </w:rPr>
        <w:t>уют не только соблюдением норма</w:t>
      </w:r>
      <w:r w:rsidRPr="00497924">
        <w:rPr>
          <w:rFonts w:ascii="Times New Roman" w:eastAsia="Times New Roman" w:hAnsi="Times New Roman" w:cs="Times New Roman"/>
          <w:sz w:val="28"/>
          <w:szCs w:val="28"/>
        </w:rPr>
        <w:t>тивов крупных кредитных рисков, но и качеством кредитного портфеля, наличием просроченной ссудной задолженности, величиной и динамикой резервов на возможные потери по 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дам (рост просроченной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задолжен</w:t>
      </w:r>
      <w:r w:rsidRPr="00497924">
        <w:rPr>
          <w:rFonts w:ascii="Times New Roman" w:eastAsia="Times New Roman" w:hAnsi="Times New Roman" w:cs="Times New Roman"/>
          <w:sz w:val="28"/>
          <w:szCs w:val="28"/>
        </w:rPr>
        <w:t>ности, рост резервов по отношению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размеру кредитного портфеля го</w:t>
      </w:r>
      <w:r w:rsidRPr="00497924">
        <w:rPr>
          <w:rFonts w:ascii="Times New Roman" w:eastAsia="Times New Roman" w:hAnsi="Times New Roman" w:cs="Times New Roman"/>
          <w:sz w:val="28"/>
          <w:szCs w:val="28"/>
        </w:rPr>
        <w:t>ворят о снижении его качества).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Рассмотрим данные показатели (таблица 11).</w:t>
      </w:r>
    </w:p>
    <w:p w:rsidR="009109E3" w:rsidRDefault="009109E3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9E3">
        <w:rPr>
          <w:rFonts w:ascii="Times New Roman" w:eastAsia="Times New Roman" w:hAnsi="Times New Roman" w:cs="Times New Roman"/>
          <w:sz w:val="28"/>
          <w:szCs w:val="28"/>
        </w:rPr>
        <w:t xml:space="preserve">Используя основные показатели кредитной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109E3">
        <w:rPr>
          <w:rFonts w:ascii="Times New Roman" w:eastAsia="Times New Roman" w:hAnsi="Times New Roman" w:cs="Times New Roman"/>
          <w:sz w:val="28"/>
          <w:szCs w:val="28"/>
        </w:rPr>
        <w:t>, рассмотрим и проанализируем основные составляющие кредитного портфеля и их динамику (таблица 1</w:t>
      </w:r>
      <w:r w:rsidR="000767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09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97924" w:rsidRDefault="00497924" w:rsidP="004979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924" w:rsidRDefault="00497924" w:rsidP="0049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11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Показатели, характеризующие кредитные риски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2020-2022 гг. (составлено автором</w:t>
      </w:r>
      <w:r w:rsidR="008F1038">
        <w:rPr>
          <w:rFonts w:ascii="Times New Roman" w:eastAsia="Times New Roman" w:hAnsi="Times New Roman" w:cs="Times New Roman"/>
          <w:sz w:val="28"/>
          <w:szCs w:val="28"/>
        </w:rPr>
        <w:t xml:space="preserve"> на основе таблицы А.5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410"/>
        <w:gridCol w:w="1276"/>
        <w:gridCol w:w="1276"/>
        <w:gridCol w:w="1275"/>
        <w:gridCol w:w="1560"/>
        <w:gridCol w:w="1666"/>
      </w:tblGrid>
      <w:tr w:rsidR="00785B6A" w:rsidRPr="00785B6A" w:rsidTr="003A78E6">
        <w:trPr>
          <w:trHeight w:val="1350"/>
        </w:trPr>
        <w:tc>
          <w:tcPr>
            <w:tcW w:w="2410" w:type="dxa"/>
          </w:tcPr>
          <w:p w:rsidR="008F1038" w:rsidRPr="00785B6A" w:rsidRDefault="008F1038" w:rsidP="00497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8F1038" w:rsidRPr="00785B6A" w:rsidRDefault="008F1038" w:rsidP="00497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2020, </w:t>
            </w:r>
            <w:proofErr w:type="spellStart"/>
            <w:proofErr w:type="gramStart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</w:tcPr>
          <w:p w:rsidR="008F1038" w:rsidRPr="00785B6A" w:rsidRDefault="008F1038" w:rsidP="00497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2021, </w:t>
            </w:r>
            <w:proofErr w:type="spellStart"/>
            <w:proofErr w:type="gramStart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5" w:type="dxa"/>
          </w:tcPr>
          <w:p w:rsidR="008F1038" w:rsidRPr="00785B6A" w:rsidRDefault="008F1038" w:rsidP="00497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2022, </w:t>
            </w:r>
            <w:proofErr w:type="spellStart"/>
            <w:proofErr w:type="gramStart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60" w:type="dxa"/>
          </w:tcPr>
          <w:p w:rsidR="008F1038" w:rsidRPr="00785B6A" w:rsidRDefault="008F1038" w:rsidP="00497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Абсолютное изменение 2022 к 2021 </w:t>
            </w:r>
            <w:proofErr w:type="spellStart"/>
            <w:proofErr w:type="gramStart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 руб. </w:t>
            </w:r>
          </w:p>
        </w:tc>
        <w:tc>
          <w:tcPr>
            <w:tcW w:w="1666" w:type="dxa"/>
          </w:tcPr>
          <w:p w:rsidR="008F1038" w:rsidRPr="00785B6A" w:rsidRDefault="008F1038" w:rsidP="00497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Относительное изменение 2022 к 2021 </w:t>
            </w:r>
            <w:proofErr w:type="spellStart"/>
            <w:proofErr w:type="gramStart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85B6A" w:rsidRPr="00785B6A" w:rsidTr="003A78E6">
        <w:trPr>
          <w:trHeight w:val="561"/>
        </w:trPr>
        <w:tc>
          <w:tcPr>
            <w:tcW w:w="2410" w:type="dxa"/>
          </w:tcPr>
          <w:p w:rsidR="008F1038" w:rsidRPr="00785B6A" w:rsidRDefault="003A78E6" w:rsidP="008F1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банкам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7591023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7651487</w:t>
            </w:r>
          </w:p>
        </w:tc>
        <w:tc>
          <w:tcPr>
            <w:tcW w:w="1275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8560462</w:t>
            </w:r>
          </w:p>
        </w:tc>
        <w:tc>
          <w:tcPr>
            <w:tcW w:w="1560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908975</w:t>
            </w:r>
          </w:p>
        </w:tc>
        <w:tc>
          <w:tcPr>
            <w:tcW w:w="166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785B6A" w:rsidRPr="00785B6A" w:rsidTr="003A78E6">
        <w:trPr>
          <w:trHeight w:val="697"/>
        </w:trPr>
        <w:tc>
          <w:tcPr>
            <w:tcW w:w="2410" w:type="dxa"/>
          </w:tcPr>
          <w:p w:rsidR="008F1038" w:rsidRPr="00785B6A" w:rsidRDefault="008F1038" w:rsidP="008F1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юридическим лицам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20964785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20845327</w:t>
            </w:r>
          </w:p>
        </w:tc>
        <w:tc>
          <w:tcPr>
            <w:tcW w:w="1275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20964031</w:t>
            </w:r>
          </w:p>
        </w:tc>
        <w:tc>
          <w:tcPr>
            <w:tcW w:w="1560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118704</w:t>
            </w:r>
          </w:p>
        </w:tc>
        <w:tc>
          <w:tcPr>
            <w:tcW w:w="166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785B6A" w:rsidRPr="00785B6A" w:rsidTr="003A78E6">
        <w:trPr>
          <w:trHeight w:val="549"/>
        </w:trPr>
        <w:tc>
          <w:tcPr>
            <w:tcW w:w="2410" w:type="dxa"/>
          </w:tcPr>
          <w:p w:rsidR="008F1038" w:rsidRPr="00785B6A" w:rsidRDefault="008F1038" w:rsidP="008F1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ИП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368596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219652</w:t>
            </w:r>
          </w:p>
        </w:tc>
        <w:tc>
          <w:tcPr>
            <w:tcW w:w="1275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224896</w:t>
            </w:r>
          </w:p>
        </w:tc>
        <w:tc>
          <w:tcPr>
            <w:tcW w:w="1560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5244</w:t>
            </w:r>
          </w:p>
        </w:tc>
        <w:tc>
          <w:tcPr>
            <w:tcW w:w="166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785B6A" w:rsidRPr="00785B6A" w:rsidTr="003A78E6">
        <w:trPr>
          <w:trHeight w:val="714"/>
        </w:trPr>
        <w:tc>
          <w:tcPr>
            <w:tcW w:w="2410" w:type="dxa"/>
          </w:tcPr>
          <w:p w:rsidR="008F1038" w:rsidRPr="00785B6A" w:rsidRDefault="008F1038" w:rsidP="008F1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физическим лицам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8593145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8581256</w:t>
            </w:r>
          </w:p>
        </w:tc>
        <w:tc>
          <w:tcPr>
            <w:tcW w:w="1275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9865472</w:t>
            </w:r>
          </w:p>
        </w:tc>
        <w:tc>
          <w:tcPr>
            <w:tcW w:w="1560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1284216</w:t>
            </w:r>
          </w:p>
        </w:tc>
        <w:tc>
          <w:tcPr>
            <w:tcW w:w="166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785B6A" w:rsidRPr="00785B6A" w:rsidTr="003A78E6">
        <w:trPr>
          <w:trHeight w:val="683"/>
        </w:trPr>
        <w:tc>
          <w:tcPr>
            <w:tcW w:w="2410" w:type="dxa"/>
          </w:tcPr>
          <w:p w:rsidR="008F1038" w:rsidRPr="00785B6A" w:rsidRDefault="008F1038" w:rsidP="008F1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кредитный портфель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37517549</w:t>
            </w:r>
          </w:p>
        </w:tc>
        <w:tc>
          <w:tcPr>
            <w:tcW w:w="127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37297722</w:t>
            </w:r>
          </w:p>
        </w:tc>
        <w:tc>
          <w:tcPr>
            <w:tcW w:w="1275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39614861</w:t>
            </w:r>
          </w:p>
        </w:tc>
        <w:tc>
          <w:tcPr>
            <w:tcW w:w="1560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2317139</w:t>
            </w:r>
          </w:p>
        </w:tc>
        <w:tc>
          <w:tcPr>
            <w:tcW w:w="1666" w:type="dxa"/>
          </w:tcPr>
          <w:p w:rsidR="008F1038" w:rsidRPr="00785B6A" w:rsidRDefault="008F1038" w:rsidP="008F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</w:tbl>
    <w:p w:rsidR="00497924" w:rsidRDefault="00497924" w:rsidP="003A7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B6A" w:rsidRDefault="00785B6A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Совокупный кредитный портфель </w:t>
      </w:r>
      <w:proofErr w:type="gramStart"/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 составляет 39614861 млн. руб., что на 2317139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млн. руб. (6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%) больше, чем в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 году. Это свидетельствует о росте доходов от кредитной деятельности банковского сектора в целом. </w:t>
      </w:r>
    </w:p>
    <w:p w:rsidR="00785B6A" w:rsidRDefault="00785B6A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Увеличение произошло за счет роста банковского кредитования и кредитования физических лиц. Остальные показатели незначительно повлияли на рост совокупного кредитного портфеля в целом. </w:t>
      </w:r>
    </w:p>
    <w:p w:rsidR="00785B6A" w:rsidRDefault="00785B6A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Далее перейдем к рассмотрению </w:t>
      </w:r>
      <w:r w:rsidR="00CC4DA6">
        <w:rPr>
          <w:rFonts w:ascii="Times New Roman" w:eastAsia="Times New Roman" w:hAnsi="Times New Roman" w:cs="Times New Roman"/>
          <w:sz w:val="28"/>
          <w:szCs w:val="28"/>
        </w:rPr>
        <w:t xml:space="preserve">показателя 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>просроченн</w:t>
      </w:r>
      <w:r w:rsidR="00CC4D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 w:rsidR="00CC4DA6">
        <w:rPr>
          <w:rFonts w:ascii="Times New Roman" w:eastAsia="Times New Roman" w:hAnsi="Times New Roman" w:cs="Times New Roman"/>
          <w:sz w:val="28"/>
          <w:szCs w:val="28"/>
        </w:rPr>
        <w:t xml:space="preserve">и (таблица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4DA6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785B6A" w:rsidRDefault="00785B6A" w:rsidP="0078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B6A" w:rsidRPr="00CC4DA6" w:rsidRDefault="00785B6A" w:rsidP="0078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C76911" w:rsidRPr="00CC4DA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C4DA6">
        <w:rPr>
          <w:rFonts w:ascii="Times New Roman" w:eastAsia="Times New Roman" w:hAnsi="Times New Roman" w:cs="Times New Roman"/>
          <w:sz w:val="28"/>
          <w:szCs w:val="28"/>
        </w:rPr>
        <w:t xml:space="preserve"> – Совокупная просроченная задолженность кредитного портфеля </w:t>
      </w:r>
      <w:proofErr w:type="gramStart"/>
      <w:r w:rsidRPr="00CC4DA6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CC4DA6">
        <w:rPr>
          <w:rFonts w:ascii="Times New Roman" w:eastAsia="Times New Roman" w:hAnsi="Times New Roman" w:cs="Times New Roman"/>
          <w:sz w:val="28"/>
          <w:szCs w:val="28"/>
        </w:rPr>
        <w:t xml:space="preserve"> 2020-2022 гг</w:t>
      </w:r>
      <w:r w:rsidR="003A78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4DA6">
        <w:rPr>
          <w:rFonts w:ascii="Times New Roman" w:eastAsia="Times New Roman" w:hAnsi="Times New Roman" w:cs="Times New Roman"/>
          <w:sz w:val="28"/>
          <w:szCs w:val="28"/>
        </w:rPr>
        <w:t xml:space="preserve"> (составлено автором на основе таблицы А.5)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410"/>
        <w:gridCol w:w="1276"/>
        <w:gridCol w:w="1276"/>
        <w:gridCol w:w="1275"/>
        <w:gridCol w:w="1560"/>
        <w:gridCol w:w="1666"/>
      </w:tblGrid>
      <w:tr w:rsidR="00785B6A" w:rsidRPr="00CC4DA6" w:rsidTr="00151924">
        <w:tc>
          <w:tcPr>
            <w:tcW w:w="2410" w:type="dxa"/>
          </w:tcPr>
          <w:p w:rsidR="00785B6A" w:rsidRPr="00CC4DA6" w:rsidRDefault="00785B6A" w:rsidP="00BC2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785B6A" w:rsidRPr="00CC4DA6" w:rsidRDefault="00785B6A" w:rsidP="00BC2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2020, </w:t>
            </w:r>
            <w:proofErr w:type="spellStart"/>
            <w:proofErr w:type="gramStart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</w:tcPr>
          <w:p w:rsidR="00785B6A" w:rsidRPr="00CC4DA6" w:rsidRDefault="00785B6A" w:rsidP="00BC2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2021, </w:t>
            </w:r>
            <w:proofErr w:type="spellStart"/>
            <w:proofErr w:type="gramStart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5" w:type="dxa"/>
          </w:tcPr>
          <w:p w:rsidR="00785B6A" w:rsidRPr="00CC4DA6" w:rsidRDefault="00785B6A" w:rsidP="00BC2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2022, </w:t>
            </w:r>
            <w:proofErr w:type="spellStart"/>
            <w:proofErr w:type="gramStart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60" w:type="dxa"/>
          </w:tcPr>
          <w:p w:rsidR="00785B6A" w:rsidRPr="00CC4DA6" w:rsidRDefault="00785B6A" w:rsidP="00BC2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Абсолютное изменение 2022 к 2021 </w:t>
            </w:r>
            <w:proofErr w:type="spellStart"/>
            <w:proofErr w:type="gramStart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 руб. </w:t>
            </w:r>
          </w:p>
        </w:tc>
        <w:tc>
          <w:tcPr>
            <w:tcW w:w="1666" w:type="dxa"/>
          </w:tcPr>
          <w:p w:rsidR="00785B6A" w:rsidRPr="00CC4DA6" w:rsidRDefault="00785B6A" w:rsidP="00BC2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Относительное изменение 2022 к 2021 </w:t>
            </w:r>
            <w:proofErr w:type="spellStart"/>
            <w:proofErr w:type="gramStart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85B6A" w:rsidRPr="00CC4DA6" w:rsidTr="00151924">
        <w:tc>
          <w:tcPr>
            <w:tcW w:w="2410" w:type="dxa"/>
          </w:tcPr>
          <w:p w:rsidR="00785B6A" w:rsidRPr="00CC4DA6" w:rsidRDefault="00785B6A" w:rsidP="00785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банкам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56315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75910</w:t>
            </w:r>
          </w:p>
        </w:tc>
        <w:tc>
          <w:tcPr>
            <w:tcW w:w="1275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100698</w:t>
            </w:r>
          </w:p>
        </w:tc>
        <w:tc>
          <w:tcPr>
            <w:tcW w:w="1560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24788</w:t>
            </w:r>
          </w:p>
        </w:tc>
        <w:tc>
          <w:tcPr>
            <w:tcW w:w="166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785B6A" w:rsidRPr="00CC4DA6" w:rsidTr="00151924">
        <w:tc>
          <w:tcPr>
            <w:tcW w:w="2410" w:type="dxa"/>
          </w:tcPr>
          <w:p w:rsidR="00785B6A" w:rsidRPr="00CC4DA6" w:rsidRDefault="00785B6A" w:rsidP="00785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юридическим лицам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1256367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1359486</w:t>
            </w:r>
          </w:p>
        </w:tc>
        <w:tc>
          <w:tcPr>
            <w:tcW w:w="1275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1321589</w:t>
            </w:r>
          </w:p>
        </w:tc>
        <w:tc>
          <w:tcPr>
            <w:tcW w:w="1560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-37897</w:t>
            </w:r>
          </w:p>
        </w:tc>
        <w:tc>
          <w:tcPr>
            <w:tcW w:w="166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85B6A" w:rsidRPr="00CC4DA6" w:rsidTr="00151924">
        <w:tc>
          <w:tcPr>
            <w:tcW w:w="2410" w:type="dxa"/>
          </w:tcPr>
          <w:p w:rsidR="00785B6A" w:rsidRPr="00CC4DA6" w:rsidRDefault="00785B6A" w:rsidP="00785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ИП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78962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79651</w:t>
            </w:r>
          </w:p>
        </w:tc>
        <w:tc>
          <w:tcPr>
            <w:tcW w:w="1275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62861</w:t>
            </w:r>
          </w:p>
        </w:tc>
        <w:tc>
          <w:tcPr>
            <w:tcW w:w="1560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-16790</w:t>
            </w:r>
          </w:p>
        </w:tc>
        <w:tc>
          <w:tcPr>
            <w:tcW w:w="166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785B6A" w:rsidRPr="00CC4DA6" w:rsidTr="00151924">
        <w:trPr>
          <w:trHeight w:val="559"/>
        </w:trPr>
        <w:tc>
          <w:tcPr>
            <w:tcW w:w="2410" w:type="dxa"/>
          </w:tcPr>
          <w:p w:rsidR="00785B6A" w:rsidRPr="00CC4DA6" w:rsidRDefault="00785B6A" w:rsidP="00785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физическим лицам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845693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841596</w:t>
            </w:r>
          </w:p>
        </w:tc>
        <w:tc>
          <w:tcPr>
            <w:tcW w:w="1275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835964</w:t>
            </w:r>
          </w:p>
        </w:tc>
        <w:tc>
          <w:tcPr>
            <w:tcW w:w="1560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-5632</w:t>
            </w:r>
          </w:p>
        </w:tc>
        <w:tc>
          <w:tcPr>
            <w:tcW w:w="166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85B6A" w:rsidRPr="00785B6A" w:rsidTr="00151924">
        <w:tc>
          <w:tcPr>
            <w:tcW w:w="2410" w:type="dxa"/>
          </w:tcPr>
          <w:p w:rsidR="00785B6A" w:rsidRPr="00CC4DA6" w:rsidRDefault="00785B6A" w:rsidP="00785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Совокупная просроченная задолженность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2237337</w:t>
            </w:r>
          </w:p>
        </w:tc>
        <w:tc>
          <w:tcPr>
            <w:tcW w:w="1276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2356643</w:t>
            </w:r>
          </w:p>
        </w:tc>
        <w:tc>
          <w:tcPr>
            <w:tcW w:w="1275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2321112</w:t>
            </w:r>
          </w:p>
        </w:tc>
        <w:tc>
          <w:tcPr>
            <w:tcW w:w="1560" w:type="dxa"/>
            <w:vAlign w:val="center"/>
          </w:tcPr>
          <w:p w:rsidR="00785B6A" w:rsidRPr="00CC4DA6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-35531</w:t>
            </w:r>
          </w:p>
        </w:tc>
        <w:tc>
          <w:tcPr>
            <w:tcW w:w="1666" w:type="dxa"/>
            <w:vAlign w:val="center"/>
          </w:tcPr>
          <w:p w:rsidR="00785B6A" w:rsidRPr="00785B6A" w:rsidRDefault="00785B6A" w:rsidP="00785B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785B6A" w:rsidRDefault="00785B6A" w:rsidP="003A7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B6A" w:rsidRDefault="00785B6A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Совокупная просроченная задолженность </w:t>
      </w:r>
      <w:proofErr w:type="gramStart"/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>составляет 2321112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>млн. руб., что на 35531 млн. руб. (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, чем в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 году. Это свидетельствует нам о </w:t>
      </w:r>
      <w:r>
        <w:rPr>
          <w:rFonts w:ascii="Times New Roman" w:eastAsia="Times New Roman" w:hAnsi="Times New Roman" w:cs="Times New Roman"/>
          <w:sz w:val="28"/>
          <w:szCs w:val="28"/>
        </w:rPr>
        <w:t>незначительном снижении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 кредитных рисков совокупного кредитного портфеля. </w:t>
      </w:r>
      <w:r w:rsidR="00C76911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 совокупной просроченной задолженности обусловлено </w:t>
      </w:r>
      <w:r w:rsidR="00C76911">
        <w:rPr>
          <w:rFonts w:ascii="Times New Roman" w:eastAsia="Times New Roman" w:hAnsi="Times New Roman" w:cs="Times New Roman"/>
          <w:sz w:val="28"/>
          <w:szCs w:val="28"/>
        </w:rPr>
        <w:t>незначительным снижением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в банковском направлени</w:t>
      </w:r>
      <w:r w:rsidR="00CC4DA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85B6A">
        <w:rPr>
          <w:rFonts w:ascii="Times New Roman" w:eastAsia="Times New Roman" w:hAnsi="Times New Roman" w:cs="Times New Roman"/>
          <w:sz w:val="28"/>
          <w:szCs w:val="28"/>
        </w:rPr>
        <w:t>кредитования.</w:t>
      </w:r>
    </w:p>
    <w:p w:rsidR="00C76911" w:rsidRDefault="00C76911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 шагом мы </w:t>
      </w:r>
      <w:r w:rsidRPr="00C76911">
        <w:rPr>
          <w:rFonts w:ascii="Times New Roman" w:eastAsia="Times New Roman" w:hAnsi="Times New Roman" w:cs="Times New Roman"/>
          <w:sz w:val="28"/>
          <w:szCs w:val="28"/>
        </w:rPr>
        <w:t xml:space="preserve">рассмотрим </w:t>
      </w:r>
      <w:r w:rsidR="00CC4DA6">
        <w:rPr>
          <w:rFonts w:ascii="Times New Roman" w:eastAsia="Times New Roman" w:hAnsi="Times New Roman" w:cs="Times New Roman"/>
          <w:sz w:val="28"/>
          <w:szCs w:val="28"/>
        </w:rPr>
        <w:t xml:space="preserve">резервы на возможные потери </w:t>
      </w:r>
      <w:r w:rsidRPr="00C76911">
        <w:rPr>
          <w:rFonts w:ascii="Times New Roman" w:eastAsia="Times New Roman" w:hAnsi="Times New Roman" w:cs="Times New Roman"/>
          <w:sz w:val="28"/>
          <w:szCs w:val="28"/>
        </w:rPr>
        <w:t xml:space="preserve">(таблица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6911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92509E" w:rsidRDefault="0092509E" w:rsidP="009250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9E" w:rsidRDefault="0092509E" w:rsidP="009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13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09E">
        <w:rPr>
          <w:rFonts w:ascii="Times New Roman" w:eastAsia="Times New Roman" w:hAnsi="Times New Roman" w:cs="Times New Roman"/>
          <w:sz w:val="28"/>
          <w:szCs w:val="28"/>
        </w:rPr>
        <w:t>Совокупные резервы на возможные потери</w:t>
      </w:r>
      <w:r w:rsidR="00F71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7116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F7116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(составлено автором на основе данных таблицы А.5)</w:t>
      </w: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4"/>
        <w:gridCol w:w="1206"/>
        <w:gridCol w:w="1205"/>
        <w:gridCol w:w="1205"/>
        <w:gridCol w:w="1724"/>
        <w:gridCol w:w="2049"/>
      </w:tblGrid>
      <w:tr w:rsidR="0092509E" w:rsidRPr="00CC4DA6" w:rsidTr="003A78E6">
        <w:trPr>
          <w:trHeight w:val="1120"/>
        </w:trPr>
        <w:tc>
          <w:tcPr>
            <w:tcW w:w="1964" w:type="dxa"/>
            <w:shd w:val="clear" w:color="auto" w:fill="auto"/>
            <w:hideMark/>
          </w:tcPr>
          <w:p w:rsidR="0092509E" w:rsidRPr="003A78E6" w:rsidRDefault="0092509E" w:rsidP="009250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206" w:type="dxa"/>
            <w:shd w:val="clear" w:color="auto" w:fill="auto"/>
            <w:hideMark/>
          </w:tcPr>
          <w:p w:rsidR="0092509E" w:rsidRPr="003A78E6" w:rsidRDefault="00F7116D" w:rsidP="00F711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05" w:type="dxa"/>
            <w:shd w:val="clear" w:color="auto" w:fill="auto"/>
            <w:hideMark/>
          </w:tcPr>
          <w:p w:rsidR="0092509E" w:rsidRPr="003A78E6" w:rsidRDefault="00F7116D" w:rsidP="00F711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05" w:type="dxa"/>
            <w:shd w:val="clear" w:color="auto" w:fill="auto"/>
            <w:hideMark/>
          </w:tcPr>
          <w:p w:rsidR="0092509E" w:rsidRPr="003A78E6" w:rsidRDefault="00F7116D" w:rsidP="00F711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4" w:type="dxa"/>
            <w:shd w:val="clear" w:color="auto" w:fill="auto"/>
            <w:hideMark/>
          </w:tcPr>
          <w:p w:rsidR="0092509E" w:rsidRPr="003A78E6" w:rsidRDefault="0092509E" w:rsidP="009250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Абсолютное изменение 2022 к 2021 </w:t>
            </w:r>
            <w:proofErr w:type="spellStart"/>
            <w:proofErr w:type="gramStart"/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тыс. руб. </w:t>
            </w:r>
          </w:p>
        </w:tc>
        <w:tc>
          <w:tcPr>
            <w:tcW w:w="2049" w:type="dxa"/>
            <w:shd w:val="clear" w:color="auto" w:fill="auto"/>
            <w:hideMark/>
          </w:tcPr>
          <w:p w:rsidR="0092509E" w:rsidRPr="003A78E6" w:rsidRDefault="0092509E" w:rsidP="009250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Относительное изменение 2022 к 2021 </w:t>
            </w:r>
            <w:proofErr w:type="spellStart"/>
            <w:proofErr w:type="gramStart"/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3A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92509E" w:rsidRPr="00CC4DA6" w:rsidTr="00333BD6">
        <w:trPr>
          <w:trHeight w:val="550"/>
        </w:trPr>
        <w:tc>
          <w:tcPr>
            <w:tcW w:w="1964" w:type="dxa"/>
            <w:shd w:val="clear" w:color="auto" w:fill="auto"/>
            <w:vAlign w:val="center"/>
            <w:hideMark/>
          </w:tcPr>
          <w:p w:rsidR="0092509E" w:rsidRPr="003A78E6" w:rsidRDefault="001A1CC8" w:rsidP="0092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банкам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56845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96548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182366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85818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92509E" w:rsidRPr="00CC4DA6" w:rsidTr="00333BD6">
        <w:trPr>
          <w:trHeight w:val="550"/>
        </w:trPr>
        <w:tc>
          <w:tcPr>
            <w:tcW w:w="1964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юридическим лицам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1469581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2598412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2654125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55713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92509E" w:rsidRPr="003A78E6" w:rsidRDefault="0092509E" w:rsidP="0092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C4DA6" w:rsidRPr="00CC4DA6" w:rsidTr="00333BD6">
        <w:trPr>
          <w:trHeight w:val="550"/>
        </w:trPr>
        <w:tc>
          <w:tcPr>
            <w:tcW w:w="1964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ИП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74896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-7145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C4DA6" w:rsidRPr="00CC4DA6" w:rsidTr="00333BD6">
        <w:trPr>
          <w:trHeight w:val="550"/>
        </w:trPr>
        <w:tc>
          <w:tcPr>
            <w:tcW w:w="1964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физическим лицам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952365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941257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931586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-9671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C4DA6" w:rsidRPr="00CC4DA6" w:rsidTr="00333BD6">
        <w:trPr>
          <w:trHeight w:val="550"/>
        </w:trPr>
        <w:tc>
          <w:tcPr>
            <w:tcW w:w="1964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Совокупные резервы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2553687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3711213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3835928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124715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C4DA6" w:rsidRPr="003A78E6" w:rsidRDefault="00CC4DA6" w:rsidP="00CC4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</w:tbl>
    <w:p w:rsidR="00CC4DA6" w:rsidRDefault="0092509E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Совокупные резервы </w:t>
      </w:r>
      <w:proofErr w:type="gramStart"/>
      <w:r w:rsidRPr="0092509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92509E">
        <w:rPr>
          <w:rFonts w:ascii="Times New Roman" w:eastAsia="Times New Roman" w:hAnsi="Times New Roman" w:cs="Times New Roman"/>
          <w:sz w:val="28"/>
          <w:szCs w:val="28"/>
        </w:rPr>
        <w:t xml:space="preserve"> составляют 3835928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09E">
        <w:rPr>
          <w:rFonts w:ascii="Times New Roman" w:eastAsia="Times New Roman" w:hAnsi="Times New Roman" w:cs="Times New Roman"/>
          <w:sz w:val="28"/>
          <w:szCs w:val="28"/>
        </w:rPr>
        <w:t>млн. руб., что на 124715 млн. руб.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509E">
        <w:rPr>
          <w:rFonts w:ascii="Times New Roman" w:eastAsia="Times New Roman" w:hAnsi="Times New Roman" w:cs="Times New Roman"/>
          <w:sz w:val="28"/>
          <w:szCs w:val="28"/>
        </w:rPr>
        <w:t xml:space="preserve">%) больше, чем в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2509E">
        <w:rPr>
          <w:rFonts w:ascii="Times New Roman" w:eastAsia="Times New Roman" w:hAnsi="Times New Roman" w:cs="Times New Roman"/>
          <w:sz w:val="28"/>
          <w:szCs w:val="28"/>
        </w:rPr>
        <w:t xml:space="preserve"> году. Это свидетельствует о снижении кредитных рисков совокупного кредитного портфеля. </w:t>
      </w:r>
    </w:p>
    <w:p w:rsidR="0092509E" w:rsidRDefault="0092509E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09E">
        <w:rPr>
          <w:rFonts w:ascii="Times New Roman" w:eastAsia="Times New Roman" w:hAnsi="Times New Roman" w:cs="Times New Roman"/>
          <w:sz w:val="28"/>
          <w:szCs w:val="28"/>
        </w:rPr>
        <w:t>Увеличение совокупных резервов обусловлено увеличением размера резервов на возможные потере в сфере межбанковского кредитования (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 w:rsidRPr="0092509E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  <w:proofErr w:type="gramEnd"/>
    </w:p>
    <w:p w:rsidR="0092509E" w:rsidRDefault="00F7116D" w:rsidP="00CC4D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оценку</w:t>
      </w:r>
      <w:r w:rsidR="0092509E" w:rsidRPr="0092509E">
        <w:rPr>
          <w:rFonts w:ascii="Times New Roman" w:eastAsia="Times New Roman" w:hAnsi="Times New Roman" w:cs="Times New Roman"/>
          <w:sz w:val="28"/>
          <w:szCs w:val="28"/>
        </w:rPr>
        <w:t xml:space="preserve"> качества совокупного кредитного портфеля</w:t>
      </w:r>
      <w:r w:rsidR="00CC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09E" w:rsidRPr="0092509E">
        <w:rPr>
          <w:rFonts w:ascii="Times New Roman" w:eastAsia="Times New Roman" w:hAnsi="Times New Roman" w:cs="Times New Roman"/>
          <w:sz w:val="28"/>
          <w:szCs w:val="28"/>
        </w:rPr>
        <w:t xml:space="preserve">(таблица </w:t>
      </w:r>
      <w:r w:rsidR="009250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509E" w:rsidRPr="0092509E">
        <w:rPr>
          <w:rFonts w:ascii="Times New Roman" w:eastAsia="Times New Roman" w:hAnsi="Times New Roman" w:cs="Times New Roman"/>
          <w:sz w:val="28"/>
          <w:szCs w:val="28"/>
        </w:rPr>
        <w:t>4).</w:t>
      </w:r>
    </w:p>
    <w:p w:rsidR="00333BD6" w:rsidRDefault="00333BD6" w:rsidP="00CC4D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9E" w:rsidRDefault="0092509E" w:rsidP="009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14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09E">
        <w:rPr>
          <w:rFonts w:ascii="Times New Roman" w:eastAsia="Times New Roman" w:hAnsi="Times New Roman" w:cs="Times New Roman"/>
          <w:sz w:val="28"/>
          <w:szCs w:val="28"/>
        </w:rPr>
        <w:t>Коэффициенты качества кредитного портфеля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(составлено автором)</w:t>
      </w:r>
    </w:p>
    <w:tbl>
      <w:tblPr>
        <w:tblW w:w="9366" w:type="dxa"/>
        <w:tblInd w:w="108" w:type="dxa"/>
        <w:tblLook w:val="04A0"/>
      </w:tblPr>
      <w:tblGrid>
        <w:gridCol w:w="4092"/>
        <w:gridCol w:w="1834"/>
        <w:gridCol w:w="1720"/>
        <w:gridCol w:w="1720"/>
      </w:tblGrid>
      <w:tr w:rsidR="0092509E" w:rsidRPr="0092509E" w:rsidTr="007546B3">
        <w:trPr>
          <w:trHeight w:val="4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2020 г, %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 г, %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2022 г, %</w:t>
            </w:r>
          </w:p>
        </w:tc>
      </w:tr>
      <w:tr w:rsidR="0092509E" w:rsidRPr="0092509E" w:rsidTr="007546B3">
        <w:trPr>
          <w:trHeight w:val="48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покрытия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165,3</w:t>
            </w:r>
          </w:p>
        </w:tc>
      </w:tr>
      <w:tr w:rsidR="0092509E" w:rsidRPr="0092509E" w:rsidTr="007546B3">
        <w:trPr>
          <w:trHeight w:val="48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просроченных платежей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</w:tr>
      <w:tr w:rsidR="0092509E" w:rsidRPr="0092509E" w:rsidTr="007546B3">
        <w:trPr>
          <w:trHeight w:val="48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резервирования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</w:tr>
      <w:tr w:rsidR="0092509E" w:rsidRPr="0092509E" w:rsidTr="007546B3">
        <w:trPr>
          <w:trHeight w:val="48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доходности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9E" w:rsidRPr="0092509E" w:rsidRDefault="0092509E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</w:tr>
    </w:tbl>
    <w:p w:rsidR="0092509E" w:rsidRDefault="0092509E" w:rsidP="003A7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865" w:rsidRDefault="00F7116D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 xml:space="preserve"> из таблицы</w:t>
      </w:r>
      <w:r w:rsidR="00F17865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 xml:space="preserve">, коэффициент покрытия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 xml:space="preserve">. Коэффициент просроченных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>уменьшился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 xml:space="preserve">, но остался выше </w:t>
      </w:r>
      <w:r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>. Коэффиц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иент резервирования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показал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снизился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>. Наиболее значительное снижение показал коэффициент доходности, по результатам анализа на 20</w:t>
      </w:r>
      <w:r w:rsidR="00F17865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 xml:space="preserve"> год он составил </w:t>
      </w:r>
      <w:r w:rsidR="00F17865">
        <w:rPr>
          <w:rFonts w:ascii="Times New Roman" w:eastAsia="Times New Roman" w:hAnsi="Times New Roman" w:cs="Times New Roman"/>
          <w:sz w:val="28"/>
          <w:szCs w:val="28"/>
        </w:rPr>
        <w:t>9,3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17865" w:rsidRDefault="00CC4DA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>ожно отметить, что за счет снижения коэффициента просроченных платежей и коэффициента резервирования, качество совокупного кредитного портфеля незначительно выросло. При этом доходность портфеля снизи</w:t>
      </w:r>
      <w:r>
        <w:rPr>
          <w:rFonts w:ascii="Times New Roman" w:eastAsia="Times New Roman" w:hAnsi="Times New Roman" w:cs="Times New Roman"/>
          <w:sz w:val="28"/>
          <w:szCs w:val="28"/>
        </w:rPr>
        <w:t>лась, а коэффициент покрытия</w:t>
      </w:r>
      <w:r w:rsidR="00F17865" w:rsidRPr="00F17865">
        <w:rPr>
          <w:rFonts w:ascii="Times New Roman" w:eastAsia="Times New Roman" w:hAnsi="Times New Roman" w:cs="Times New Roman"/>
          <w:sz w:val="28"/>
          <w:szCs w:val="28"/>
        </w:rPr>
        <w:t xml:space="preserve"> далек от оптимального значения.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распространенной системой рейтинга банка является международное рейтинговое агентства Акционерное общество «Рейтинговое агентство «Эксперт РА». В модели, применяемой Эксперт РА, все параметры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lastRenderedPageBreak/>
        <w:t>(за исключением факторов поддержки государства и стресс-факторов) оцениваются по шкале от -1 до +1, чем лучше рассчитанный от одного показатель, тем ближе он к +1 и наоборот. Итоговое рейтинговое число получается путем взвешивания баллов за каждый фактор и весов соответствующих факторов. Вес каждого фактора методологии определяется на основании степени его влияния на кредитоспособность</w:t>
      </w:r>
      <w:r w:rsidR="00CF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[</w:t>
      </w:r>
      <w:r w:rsidR="00C1493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По национальной рейтинговой шкале «Эксперта РА» для Российской Федерац</w:t>
      </w:r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ии АО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имеет следующие уровни</w:t>
      </w:r>
      <w:r w:rsidR="00CF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[</w:t>
      </w:r>
      <w:r w:rsidR="00C14938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– рейтинг кредитоспособности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ruAA+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, Стабильный, 23.05.2023;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– кредитные рейтинги долговых инструментов: облигации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ruAA+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, 23.05.2023.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Качество портфеля ценных бумаг рассматривается как адекватное (</w:t>
      </w:r>
      <w:r w:rsidR="00C149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1493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портфель ценных бумаг преимущественно представлен вложениями в инструменты с кредитным рейтингом на уровне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ruAA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- и выше по шкале «Эксперт РА»). </w:t>
      </w:r>
    </w:p>
    <w:p w:rsidR="001A1CC8" w:rsidRDefault="00431896" w:rsidP="007546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рейтинговое агентство «Эксперт РА» подтвердило рейтинг кредитоспособности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Газпромбанка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на уровне «</w:t>
      </w:r>
      <w:proofErr w:type="spellStart"/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>АА+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», прогноз – «стабильный»</w:t>
      </w:r>
      <w:r w:rsidR="00CF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D72">
        <w:rPr>
          <w:rFonts w:ascii="Times New Roman" w:eastAsia="Times New Roman" w:hAnsi="Times New Roman" w:cs="Times New Roman"/>
          <w:sz w:val="28"/>
          <w:szCs w:val="28"/>
        </w:rPr>
        <w:t>[51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. Уровень «</w:t>
      </w:r>
      <w:proofErr w:type="spellStart"/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>АА+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относится к категории АА, он обозначает наличие высокого уровня кредитоспособности, который лишь незначительно ниже, чем у объектов рейтинга</w:t>
      </w:r>
      <w:r w:rsidR="00CF74F2">
        <w:rPr>
          <w:rFonts w:ascii="Times New Roman" w:eastAsia="Times New Roman" w:hAnsi="Times New Roman" w:cs="Times New Roman"/>
          <w:sz w:val="28"/>
          <w:szCs w:val="28"/>
        </w:rPr>
        <w:t xml:space="preserve"> в рейтинговой категории </w:t>
      </w:r>
      <w:proofErr w:type="spellStart"/>
      <w:r w:rsidR="00CF74F2">
        <w:rPr>
          <w:rFonts w:ascii="Times New Roman" w:eastAsia="Times New Roman" w:hAnsi="Times New Roman" w:cs="Times New Roman"/>
          <w:sz w:val="28"/>
          <w:szCs w:val="28"/>
        </w:rPr>
        <w:t>ruAAA</w:t>
      </w:r>
      <w:proofErr w:type="spellEnd"/>
      <w:r w:rsidR="00CF74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«Эксперт РА» также ранжирует банки в зависимости от размеров активов, от объема выданных кредитов малому и среднему бизнесу (таблицы </w:t>
      </w:r>
      <w:r w:rsidR="00CF74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и 1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[</w:t>
      </w:r>
      <w:r w:rsidR="00F82D72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6B3" w:rsidRPr="00431896" w:rsidRDefault="007546B3" w:rsidP="007546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896" w:rsidRPr="00431896" w:rsidRDefault="00431896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CF74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Рэнкинг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по размеру активов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F82D72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9"/>
        <w:gridCol w:w="6659"/>
      </w:tblGrid>
      <w:tr w:rsidR="00CF74F2" w:rsidRPr="00333BD6" w:rsidTr="009A4028">
        <w:trPr>
          <w:trHeight w:val="96"/>
        </w:trPr>
        <w:tc>
          <w:tcPr>
            <w:tcW w:w="267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 2022</w:t>
            </w:r>
          </w:p>
        </w:tc>
        <w:tc>
          <w:tcPr>
            <w:tcW w:w="665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</w:tr>
      <w:tr w:rsidR="00CF74F2" w:rsidRPr="00333BD6" w:rsidTr="009A4028">
        <w:trPr>
          <w:trHeight w:val="96"/>
        </w:trPr>
        <w:tc>
          <w:tcPr>
            <w:tcW w:w="267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CF74F2" w:rsidRPr="00333BD6" w:rsidTr="009A4028">
        <w:trPr>
          <w:trHeight w:val="310"/>
        </w:trPr>
        <w:tc>
          <w:tcPr>
            <w:tcW w:w="267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ВТБ (ПАО)</w:t>
            </w:r>
          </w:p>
        </w:tc>
      </w:tr>
      <w:tr w:rsidR="00CF74F2" w:rsidRPr="00333BD6" w:rsidTr="009A4028">
        <w:trPr>
          <w:trHeight w:val="96"/>
        </w:trPr>
        <w:tc>
          <w:tcPr>
            <w:tcW w:w="267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ГПБ (АО)</w:t>
            </w:r>
          </w:p>
        </w:tc>
      </w:tr>
      <w:tr w:rsidR="00CF74F2" w:rsidRPr="00333BD6" w:rsidTr="009A4028">
        <w:trPr>
          <w:trHeight w:val="96"/>
        </w:trPr>
        <w:tc>
          <w:tcPr>
            <w:tcW w:w="267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НКО НКЦ (АО)</w:t>
            </w:r>
          </w:p>
        </w:tc>
      </w:tr>
      <w:tr w:rsidR="00CF74F2" w:rsidRPr="00333BD6" w:rsidTr="009A4028">
        <w:trPr>
          <w:trHeight w:val="96"/>
        </w:trPr>
        <w:tc>
          <w:tcPr>
            <w:tcW w:w="267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АО «АЛЬФА-БАНК»</w:t>
            </w:r>
          </w:p>
        </w:tc>
      </w:tr>
      <w:tr w:rsidR="00CF74F2" w:rsidRPr="00333BD6" w:rsidTr="009A4028">
        <w:trPr>
          <w:trHeight w:val="96"/>
        </w:trPr>
        <w:tc>
          <w:tcPr>
            <w:tcW w:w="267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74F2" w:rsidRPr="00333BD6" w:rsidTr="009A4028">
        <w:trPr>
          <w:trHeight w:val="96"/>
        </w:trPr>
        <w:tc>
          <w:tcPr>
            <w:tcW w:w="267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9" w:type="dxa"/>
            <w:shd w:val="clear" w:color="auto" w:fill="auto"/>
          </w:tcPr>
          <w:p w:rsidR="00CF74F2" w:rsidRPr="003A78E6" w:rsidRDefault="00CF74F2" w:rsidP="00CF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Промсвязьбанк</w:t>
            </w:r>
            <w:proofErr w:type="spellEnd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F74F2" w:rsidRDefault="00431896" w:rsidP="00333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Изучаемый нами банк находится в рейтинге на третьем месте по размеру активов, что считается положительным фактором, это указывает на его финансовую устойчивость и стабильность.</w:t>
      </w:r>
    </w:p>
    <w:p w:rsidR="003D6F0C" w:rsidRPr="00431896" w:rsidRDefault="003D6F0C" w:rsidP="00333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896" w:rsidRPr="00431896" w:rsidRDefault="00431896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Рэнкинг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банков по величине портфеля кредитов субъектам МСБ в 2022 году 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[</w:t>
      </w:r>
      <w:r w:rsidR="00F82D72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F74F2" w:rsidRPr="00CF74F2">
        <w:rPr>
          <w:rFonts w:ascii="Times New Roman" w:eastAsia="Times New Roman" w:hAnsi="Times New Roman" w:cs="Times New Roman"/>
          <w:sz w:val="28"/>
          <w:szCs w:val="2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8"/>
        <w:gridCol w:w="6681"/>
      </w:tblGrid>
      <w:tr w:rsidR="00431896" w:rsidRPr="00431896" w:rsidTr="009A4028">
        <w:trPr>
          <w:trHeight w:val="262"/>
        </w:trPr>
        <w:tc>
          <w:tcPr>
            <w:tcW w:w="2708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 2022</w:t>
            </w:r>
          </w:p>
        </w:tc>
        <w:tc>
          <w:tcPr>
            <w:tcW w:w="6681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</w:tr>
      <w:tr w:rsidR="00431896" w:rsidRPr="00431896" w:rsidTr="009A4028">
        <w:trPr>
          <w:trHeight w:val="276"/>
        </w:trPr>
        <w:tc>
          <w:tcPr>
            <w:tcW w:w="2708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31896" w:rsidRPr="00431896" w:rsidTr="009A4028">
        <w:trPr>
          <w:trHeight w:val="262"/>
        </w:trPr>
        <w:tc>
          <w:tcPr>
            <w:tcW w:w="2708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ВТБ (ПАО)</w:t>
            </w:r>
          </w:p>
        </w:tc>
      </w:tr>
      <w:tr w:rsidR="00431896" w:rsidRPr="00431896" w:rsidTr="009A4028">
        <w:trPr>
          <w:trHeight w:val="262"/>
        </w:trPr>
        <w:tc>
          <w:tcPr>
            <w:tcW w:w="2708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1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ГПБ (АО)</w:t>
            </w:r>
          </w:p>
        </w:tc>
      </w:tr>
      <w:tr w:rsidR="00431896" w:rsidRPr="00431896" w:rsidTr="009A4028">
        <w:trPr>
          <w:trHeight w:val="276"/>
        </w:trPr>
        <w:tc>
          <w:tcPr>
            <w:tcW w:w="2708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1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Промсвязьбанк</w:t>
            </w:r>
            <w:proofErr w:type="spellEnd"/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896" w:rsidRPr="00431896" w:rsidTr="009A4028">
        <w:trPr>
          <w:trHeight w:val="262"/>
        </w:trPr>
        <w:tc>
          <w:tcPr>
            <w:tcW w:w="2708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1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ПАО Банк «ФК Открытие»</w:t>
            </w:r>
          </w:p>
        </w:tc>
      </w:tr>
      <w:tr w:rsidR="00431896" w:rsidRPr="00431896" w:rsidTr="009A4028">
        <w:trPr>
          <w:trHeight w:val="276"/>
        </w:trPr>
        <w:tc>
          <w:tcPr>
            <w:tcW w:w="2708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1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Райффайзенбанк</w:t>
            </w:r>
            <w:proofErr w:type="spellEnd"/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896" w:rsidRPr="00431896" w:rsidTr="009A4028">
        <w:trPr>
          <w:trHeight w:val="262"/>
        </w:trPr>
        <w:tc>
          <w:tcPr>
            <w:tcW w:w="2708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1" w:type="dxa"/>
            <w:shd w:val="clear" w:color="auto" w:fill="auto"/>
          </w:tcPr>
          <w:p w:rsidR="00431896" w:rsidRPr="00431896" w:rsidRDefault="00431896" w:rsidP="0043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96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«АК БАРС» БАНК</w:t>
            </w:r>
          </w:p>
        </w:tc>
      </w:tr>
    </w:tbl>
    <w:p w:rsidR="00431896" w:rsidRPr="00431896" w:rsidRDefault="00431896" w:rsidP="003A7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896" w:rsidRDefault="00431896" w:rsidP="0043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ab/>
        <w:t>В данном рейтинге Банк ГПБ (АО) тоже находится в тройке лидеров по величине портфеля кредитов субъектам МСБ в 2022 году, благодаря своей активной работе в этом сегменте рынка. Это позволяет Банку ГПБ (АО) привлекать большое количество клиентов и увеличивать свою долю на рынке кредитных услуг.</w:t>
      </w:r>
    </w:p>
    <w:p w:rsidR="007546B3" w:rsidRPr="00431896" w:rsidRDefault="007546B3" w:rsidP="004318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Таким образом, мы оценили финансовую составляющую экономической безопасности банка.</w:t>
      </w:r>
    </w:p>
    <w:p w:rsidR="00431896" w:rsidRPr="00CF74F2" w:rsidRDefault="001A1CC8" w:rsidP="00CF7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431896"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важной составля</w:t>
      </w:r>
      <w:r w:rsidR="0043189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ющей экономической безопасности банка является кадровая безопасность. Далее охарактериз</w:t>
      </w:r>
      <w:r w:rsidR="00CF40B2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уем</w:t>
      </w:r>
      <w:r w:rsidR="0043189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параметры, которые </w:t>
      </w:r>
      <w:r w:rsidR="00CF40B2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рассмотреть и оценить</w:t>
      </w:r>
      <w:r w:rsidR="0043189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работников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Газпромбанка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с каждым годом увеличивается. В 2020 году в штате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Газпромбанка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состояло более 15 тыс. человек. В 2021 году – свыше 16 тыс. человек. В 2022 году численность работников Банка составила 16,8 тыс. человек, увеличившись в течение года (за счет открытия новых точек продаж и развития новых направлений деятельности). Около 92% сотрудников имеют высшее образование, что говорит об их профессионализме.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банковских организаций в 2022 году </w:t>
      </w:r>
      <w:r w:rsidR="00AC5C6B">
        <w:rPr>
          <w:rFonts w:ascii="Times New Roman" w:eastAsia="Times New Roman" w:hAnsi="Times New Roman" w:cs="Times New Roman"/>
          <w:sz w:val="28"/>
          <w:szCs w:val="28"/>
        </w:rPr>
        <w:t xml:space="preserve">в Краснодарском крае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составила 42 403 рублей. В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lastRenderedPageBreak/>
        <w:t>2021 году она составляла 36 041 рублей, из этого</w:t>
      </w:r>
      <w:r w:rsidR="00333BD6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показатель вырос (Росстат)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. Среднемесячная заработная плата в Банке ГПБ (АО) </w:t>
      </w:r>
      <w:r w:rsidR="00AC5C6B">
        <w:rPr>
          <w:rFonts w:ascii="Times New Roman" w:eastAsia="Times New Roman" w:hAnsi="Times New Roman" w:cs="Times New Roman"/>
          <w:sz w:val="28"/>
          <w:szCs w:val="28"/>
        </w:rPr>
        <w:t xml:space="preserve">также по Краснодарскому краю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ниже среднемесячной заработной платы и составляет 40200 руб. по данным Росстат в 2022 году, что свидетельствует о росте рисков деятельности банка в экономической сфере. Значит, банк не имеет финансовую возможность по определенным экономическим причинам, что требует пересмотра контроля экономической безопасностью банка и необходимости его мониторинга.</w:t>
      </w:r>
    </w:p>
    <w:p w:rsid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Для оценки уровня кадровой безопасности банка необхо</w:t>
      </w:r>
      <w:r w:rsidR="00CF74F2">
        <w:rPr>
          <w:rFonts w:ascii="Times New Roman" w:eastAsia="Times New Roman" w:hAnsi="Times New Roman" w:cs="Times New Roman"/>
          <w:sz w:val="28"/>
          <w:szCs w:val="28"/>
        </w:rPr>
        <w:t>димо проанализировать таблицу 1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4F2" w:rsidRPr="00431896" w:rsidRDefault="00CF74F2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896" w:rsidRPr="00431896" w:rsidRDefault="00431896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– Показатели кадровой безопасности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за 2020-2022 гг. (составлено на основе предоставленных данных организацией)</w:t>
      </w:r>
    </w:p>
    <w:tbl>
      <w:tblPr>
        <w:tblW w:w="94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1560"/>
        <w:gridCol w:w="1134"/>
        <w:gridCol w:w="1134"/>
        <w:gridCol w:w="1079"/>
      </w:tblGrid>
      <w:tr w:rsidR="00431896" w:rsidRPr="005710D2" w:rsidTr="00333BD6">
        <w:trPr>
          <w:trHeight w:val="178"/>
        </w:trPr>
        <w:tc>
          <w:tcPr>
            <w:tcW w:w="4531" w:type="dxa"/>
            <w:shd w:val="clear" w:color="auto" w:fill="auto"/>
            <w:hideMark/>
          </w:tcPr>
          <w:p w:rsidR="00F63A71" w:rsidRDefault="00F63A71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Пороговые значения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CF40B2" w:rsidRPr="005710D2" w:rsidTr="00333BD6">
        <w:trPr>
          <w:trHeight w:val="178"/>
        </w:trPr>
        <w:tc>
          <w:tcPr>
            <w:tcW w:w="4531" w:type="dxa"/>
            <w:shd w:val="clear" w:color="auto" w:fill="auto"/>
          </w:tcPr>
          <w:p w:rsidR="00CF40B2" w:rsidRPr="002F234F" w:rsidRDefault="00CF40B2" w:rsidP="00C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7" w:name="_Hlk156132369"/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F40B2" w:rsidRPr="002F234F" w:rsidRDefault="00CF40B2" w:rsidP="00C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40B2" w:rsidRPr="002F234F" w:rsidRDefault="00CF40B2" w:rsidP="00C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40B2" w:rsidRPr="002F234F" w:rsidRDefault="00CF40B2" w:rsidP="00C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CF40B2" w:rsidRPr="002F234F" w:rsidRDefault="00CF40B2" w:rsidP="00C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bookmarkEnd w:id="17"/>
      <w:tr w:rsidR="00431896" w:rsidRPr="005710D2" w:rsidTr="00333BD6">
        <w:trPr>
          <w:trHeight w:val="178"/>
        </w:trPr>
        <w:tc>
          <w:tcPr>
            <w:tcW w:w="4531" w:type="dxa"/>
            <w:shd w:val="clear" w:color="auto" w:fill="auto"/>
            <w:hideMark/>
          </w:tcPr>
          <w:p w:rsidR="00431896" w:rsidRPr="002F234F" w:rsidRDefault="00431896" w:rsidP="004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работников, тыс. чел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31896" w:rsidRPr="002F234F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896" w:rsidRPr="002F234F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896" w:rsidRPr="002F234F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431896" w:rsidRPr="002F234F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16,8</w:t>
            </w:r>
          </w:p>
        </w:tc>
      </w:tr>
      <w:tr w:rsidR="00431896" w:rsidRPr="005710D2" w:rsidTr="00333BD6">
        <w:trPr>
          <w:trHeight w:val="357"/>
        </w:trPr>
        <w:tc>
          <w:tcPr>
            <w:tcW w:w="4531" w:type="dxa"/>
            <w:shd w:val="clear" w:color="auto" w:fill="auto"/>
            <w:vAlign w:val="bottom"/>
            <w:hideMark/>
          </w:tcPr>
          <w:p w:rsidR="00431896" w:rsidRPr="005710D2" w:rsidRDefault="00431896" w:rsidP="0033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</w:t>
            </w:r>
            <w:r w:rsidR="00333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сотрудников</w:t>
            </w: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3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высшим образованием, 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≥ 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431896" w:rsidRPr="005710D2" w:rsidTr="00333BD6">
        <w:trPr>
          <w:trHeight w:val="178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431896" w:rsidRPr="005710D2" w:rsidRDefault="00431896" w:rsidP="004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возраст работников, лет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431896" w:rsidRPr="005710D2" w:rsidTr="00333BD6">
        <w:trPr>
          <w:trHeight w:val="357"/>
        </w:trPr>
        <w:tc>
          <w:tcPr>
            <w:tcW w:w="4531" w:type="dxa"/>
            <w:shd w:val="clear" w:color="auto" w:fill="auto"/>
            <w:vAlign w:val="bottom"/>
            <w:hideMark/>
          </w:tcPr>
          <w:p w:rsidR="00431896" w:rsidRPr="005710D2" w:rsidRDefault="00431896" w:rsidP="0033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работников старше 30 </w:t>
            </w:r>
            <w:r w:rsidR="00333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≤ 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431896" w:rsidRPr="005710D2" w:rsidRDefault="00431896" w:rsidP="00F6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333BD6" w:rsidRPr="005710D2" w:rsidTr="00333BD6">
        <w:trPr>
          <w:trHeight w:val="357"/>
        </w:trPr>
        <w:tc>
          <w:tcPr>
            <w:tcW w:w="4531" w:type="dxa"/>
            <w:shd w:val="clear" w:color="auto" w:fill="auto"/>
            <w:vAlign w:val="bottom"/>
          </w:tcPr>
          <w:p w:rsidR="00333BD6" w:rsidRPr="002F234F" w:rsidRDefault="00333BD6" w:rsidP="0033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стаж работы, лет</w:t>
            </w:r>
          </w:p>
        </w:tc>
        <w:tc>
          <w:tcPr>
            <w:tcW w:w="1560" w:type="dxa"/>
            <w:shd w:val="clear" w:color="auto" w:fill="auto"/>
            <w:noWrap/>
          </w:tcPr>
          <w:p w:rsidR="00333BD6" w:rsidRPr="002F234F" w:rsidRDefault="00333BD6" w:rsidP="0033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noWrap/>
          </w:tcPr>
          <w:p w:rsidR="00333BD6" w:rsidRPr="002F234F" w:rsidRDefault="00333BD6" w:rsidP="0033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</w:tcPr>
          <w:p w:rsidR="00333BD6" w:rsidRPr="002F234F" w:rsidRDefault="00333BD6" w:rsidP="0033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79" w:type="dxa"/>
            <w:shd w:val="clear" w:color="auto" w:fill="auto"/>
            <w:noWrap/>
          </w:tcPr>
          <w:p w:rsidR="00333BD6" w:rsidRPr="002F234F" w:rsidRDefault="00333BD6" w:rsidP="0033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4,5</w:t>
            </w:r>
          </w:p>
        </w:tc>
      </w:tr>
      <w:tr w:rsidR="00333BD6" w:rsidRPr="005710D2" w:rsidTr="00333BD6">
        <w:trPr>
          <w:trHeight w:val="357"/>
        </w:trPr>
        <w:tc>
          <w:tcPr>
            <w:tcW w:w="4531" w:type="dxa"/>
            <w:shd w:val="clear" w:color="auto" w:fill="auto"/>
            <w:vAlign w:val="bottom"/>
          </w:tcPr>
          <w:p w:rsidR="00333BD6" w:rsidRPr="002F234F" w:rsidRDefault="00333BD6" w:rsidP="0033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Соотношение средней заработной платы на фирме и средней в экономике</w:t>
            </w:r>
          </w:p>
        </w:tc>
        <w:tc>
          <w:tcPr>
            <w:tcW w:w="1560" w:type="dxa"/>
            <w:shd w:val="clear" w:color="auto" w:fill="auto"/>
            <w:noWrap/>
          </w:tcPr>
          <w:p w:rsidR="00333BD6" w:rsidRPr="002F234F" w:rsidRDefault="00333BD6" w:rsidP="0033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≥ 1</w:t>
            </w:r>
          </w:p>
        </w:tc>
        <w:tc>
          <w:tcPr>
            <w:tcW w:w="1134" w:type="dxa"/>
            <w:shd w:val="clear" w:color="auto" w:fill="auto"/>
            <w:noWrap/>
          </w:tcPr>
          <w:p w:rsidR="00333BD6" w:rsidRPr="002F234F" w:rsidRDefault="00333BD6" w:rsidP="0033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134" w:type="dxa"/>
            <w:shd w:val="clear" w:color="auto" w:fill="auto"/>
            <w:noWrap/>
          </w:tcPr>
          <w:p w:rsidR="00333BD6" w:rsidRPr="002F234F" w:rsidRDefault="00333BD6" w:rsidP="0033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1079" w:type="dxa"/>
            <w:shd w:val="clear" w:color="auto" w:fill="auto"/>
            <w:noWrap/>
          </w:tcPr>
          <w:p w:rsidR="00333BD6" w:rsidRPr="002F234F" w:rsidRDefault="00333BD6" w:rsidP="0033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2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0,95</w:t>
            </w:r>
          </w:p>
        </w:tc>
      </w:tr>
    </w:tbl>
    <w:p w:rsidR="006068FD" w:rsidRPr="002F234F" w:rsidRDefault="006068FD" w:rsidP="005177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1896" w:rsidRPr="00431896" w:rsidRDefault="006068FD" w:rsidP="005177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свидетельствуют данные таблицы 17, с</w:t>
      </w:r>
      <w:r w:rsidR="0043189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редний стаж работы в банке 4,5 лет. А число работников с каждым годом увеличивается: в 2020 году – 15 тыс. человек, в 2021 году – 16 тыс. человек, а в 2022 году – 16,8 тыс. </w:t>
      </w:r>
      <w:r w:rsidR="00431896" w:rsidRPr="00431896">
        <w:rPr>
          <w:rFonts w:ascii="Times New Roman" w:eastAsia="Times New Roman" w:hAnsi="Times New Roman" w:cs="Times New Roman"/>
          <w:sz w:val="28"/>
          <w:szCs w:val="28"/>
        </w:rPr>
        <w:t xml:space="preserve">чел. Средний возраст коллектива составляет 36 лет, 36% сотрудников моложе 30 лет. 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Несмотря на сложные макроэкономические условия, Банк продолжает уделять большое внимание вопросам укрепления своего кадрового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потенциала, </w:t>
      </w:r>
      <w:r w:rsidR="00F7116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3A78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3BD6">
        <w:rPr>
          <w:rFonts w:ascii="Times New Roman" w:eastAsia="Times New Roman" w:hAnsi="Times New Roman" w:cs="Times New Roman"/>
          <w:sz w:val="28"/>
          <w:szCs w:val="28"/>
        </w:rPr>
        <w:t xml:space="preserve"> комплекса мер по привлечению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7116D">
        <w:rPr>
          <w:rFonts w:ascii="Times New Roman" w:eastAsia="Times New Roman" w:hAnsi="Times New Roman" w:cs="Times New Roman"/>
          <w:sz w:val="28"/>
          <w:szCs w:val="28"/>
        </w:rPr>
        <w:t>аботников с высоким потенциалом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С целью обеспечения безопасности информации в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создана система защиты информации, представляющая собой совокупность мероприятий, противодействующих незаконному доступу к информац</w:t>
      </w:r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утечке.</w:t>
      </w: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Так как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» отводит много времени на обеспечение информационной защиты, то для увеличения быстроты реагирования на угрозы нужен был инструмент, объединяющий информационную инфраструктуру банка. С данной целью был сформирован центр управления информационной безопасности, который основывался на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ArcSight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ESM – лидера в сфере решений по контролю случаев нарушения безопасности.</w:t>
      </w:r>
    </w:p>
    <w:p w:rsidR="00CF74F2" w:rsidRDefault="00431896" w:rsidP="005710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В истор</w:t>
      </w:r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ии АО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выделяют следующие случаи подрыва информационной безопасности (таблица 1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1777B" w:rsidRPr="00431896" w:rsidRDefault="0051777B" w:rsidP="005710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896" w:rsidRPr="00431896" w:rsidRDefault="00431896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– «Подрывы» информационной безопасности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(составлено автором на основе предоставленной информации сотрудников организации)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8628"/>
      </w:tblGrid>
      <w:tr w:rsidR="00431896" w:rsidRPr="00431896" w:rsidTr="003A78E6">
        <w:trPr>
          <w:trHeight w:val="275"/>
        </w:trPr>
        <w:tc>
          <w:tcPr>
            <w:tcW w:w="770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28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</w:p>
        </w:tc>
      </w:tr>
      <w:tr w:rsidR="00431896" w:rsidRPr="00431896" w:rsidTr="003A78E6">
        <w:trPr>
          <w:trHeight w:val="421"/>
        </w:trPr>
        <w:tc>
          <w:tcPr>
            <w:tcW w:w="770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28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</w:t>
            </w:r>
            <w:proofErr w:type="spellStart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фишинговая</w:t>
            </w:r>
            <w:proofErr w:type="spellEnd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Ddos</w:t>
            </w:r>
            <w:proofErr w:type="spellEnd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-атака на сотрудников</w:t>
            </w:r>
          </w:p>
        </w:tc>
      </w:tr>
      <w:tr w:rsidR="00431896" w:rsidRPr="00431896" w:rsidTr="003A78E6">
        <w:trPr>
          <w:trHeight w:val="413"/>
        </w:trPr>
        <w:tc>
          <w:tcPr>
            <w:tcW w:w="770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28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Хищения и мошенничество на 0,9 млрд. руб.</w:t>
            </w:r>
          </w:p>
        </w:tc>
      </w:tr>
      <w:tr w:rsidR="00431896" w:rsidRPr="00431896" w:rsidTr="003A78E6">
        <w:trPr>
          <w:trHeight w:val="419"/>
        </w:trPr>
        <w:tc>
          <w:tcPr>
            <w:tcW w:w="770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28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Ddos</w:t>
            </w:r>
            <w:proofErr w:type="spellEnd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-атака, в которой участвовало 50 тыс. хакеров</w:t>
            </w:r>
          </w:p>
        </w:tc>
      </w:tr>
      <w:tr w:rsidR="00431896" w:rsidRPr="00431896" w:rsidTr="003A78E6">
        <w:trPr>
          <w:trHeight w:val="412"/>
        </w:trPr>
        <w:tc>
          <w:tcPr>
            <w:tcW w:w="770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28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330 </w:t>
            </w:r>
            <w:proofErr w:type="spellStart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Ddos</w:t>
            </w:r>
            <w:proofErr w:type="spellEnd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-атак </w:t>
            </w:r>
          </w:p>
        </w:tc>
      </w:tr>
      <w:tr w:rsidR="00431896" w:rsidRPr="00431896" w:rsidTr="003A78E6">
        <w:trPr>
          <w:trHeight w:val="418"/>
        </w:trPr>
        <w:tc>
          <w:tcPr>
            <w:tcW w:w="770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28" w:type="dxa"/>
            <w:shd w:val="clear" w:color="auto" w:fill="auto"/>
          </w:tcPr>
          <w:p w:rsidR="00431896" w:rsidRPr="003A78E6" w:rsidRDefault="00431896" w:rsidP="0043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Кража сотрудником банка 1,3 </w:t>
            </w:r>
            <w:proofErr w:type="spellStart"/>
            <w:proofErr w:type="gramStart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3A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у клиента</w:t>
            </w:r>
          </w:p>
        </w:tc>
      </w:tr>
    </w:tbl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896" w:rsidRPr="00431896" w:rsidRDefault="00431896" w:rsidP="0043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Для положительного функционирования центра управления информационной безопасности необходимо постоянно совершенствовать деятельность данного центра, обеспечивать обновленной и актуальной защитой, поскольку информационная безопасность нуждается в сильной защите конфиденциальных данных компании, ведь каждый день появляются новые способы по нарушению процесса защиты.</w:t>
      </w:r>
    </w:p>
    <w:p w:rsidR="00CF74F2" w:rsidRPr="00CF74F2" w:rsidRDefault="00CF74F2" w:rsidP="00CF7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Ранее проанализировав основные показатели экономической безопасности, необходимо отметить, что уровень экономической безопасности АО «</w:t>
      </w:r>
      <w:proofErr w:type="spell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стабильный. Изученные показатели находятся в норме и удовлетворяют критериям и нормативам, но обеспечить стабильное функционирование банка при возможном возникновении новых угроз экономической безопасности крайне необходимо.</w:t>
      </w:r>
    </w:p>
    <w:p w:rsidR="00333BD6" w:rsidRDefault="00CF74F2" w:rsidP="00CF7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Экономика России выросла в 2023 году только на 2,7%, когда по итогам 2021 г. рост экономики России составлял 4,7 %, а в 2022 г. российская экономика входила с высокими темпами роста, но в условиях постепенного нарастания ограничений </w:t>
      </w:r>
      <w:proofErr w:type="gram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proofErr w:type="gram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 не менее рост экономики в 2022 г. составлял более 3 % в годовом выражении. В 2024-м ожидается рост всего на 1,3%. </w:t>
      </w:r>
    </w:p>
    <w:p w:rsidR="00CF74F2" w:rsidRPr="00CF74F2" w:rsidRDefault="00CF74F2" w:rsidP="00CF7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Одними из факторов, которые отрицательно повлияли на экономику РФ являются жёсткие санкции, которые были введены в финансовой сфере и затронули коммерческие банки, систему внешнеэкономических платежей, которые привели к заморозке значительной части международных резервов, номинированных в резервных валютах.</w:t>
      </w:r>
      <w:proofErr w:type="gramEnd"/>
    </w:p>
    <w:p w:rsidR="00CF74F2" w:rsidRPr="00CF74F2" w:rsidRDefault="00CF74F2" w:rsidP="00CF74F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касается АО «</w:t>
      </w:r>
      <w:proofErr w:type="spell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ряда других коммерческих банков, то санкции заключаются в запрете на привлечение иностранного капитала, размещение новых акций. В современных условиях перед АО «</w:t>
      </w:r>
      <w:proofErr w:type="spell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существуют финансовые риски, которые обусловлены тремя главными факторами: курс валют, </w:t>
      </w:r>
      <w:r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процентная ставка, неплатежеспособность заемщиков.</w:t>
      </w:r>
    </w:p>
    <w:p w:rsidR="00CF74F2" w:rsidRPr="00431896" w:rsidRDefault="00CF74F2" w:rsidP="00CF7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Проведя анализ, можно сказать о том, что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считается финансово-устойчивым банком России. Однако есть отрицательные тенденции в показателях деятельности банка, которые могут нести угрозу стабильности банка. На основании проведенного анализа обеспечения экономической безопасности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можно сделать следующие выводы:</w:t>
      </w:r>
    </w:p>
    <w:p w:rsidR="00CF74F2" w:rsidRPr="00431896" w:rsidRDefault="00CF74F2" w:rsidP="00CF7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lastRenderedPageBreak/>
        <w:t>– обращаясь к национальной рейтинговой шкале «Эксперта РА» для Российской Федерации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в целом имеет высокий рейтинг на уровне «</w:t>
      </w:r>
      <w:proofErr w:type="spellStart"/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>АА+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», прогноз – «стабильный». Уровень «</w:t>
      </w:r>
      <w:proofErr w:type="spellStart"/>
      <w:proofErr w:type="gramStart"/>
      <w:r w:rsidRPr="0043189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gramEnd"/>
      <w:r w:rsidRPr="00431896">
        <w:rPr>
          <w:rFonts w:ascii="Times New Roman" w:eastAsia="Times New Roman" w:hAnsi="Times New Roman" w:cs="Times New Roman"/>
          <w:sz w:val="28"/>
          <w:szCs w:val="28"/>
        </w:rPr>
        <w:t>АА+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» относится к категории АА, он обозначает наличие высокого уровня кредитоспособности, который лишь незначительно ниже, чем у объектов рейтинга в рейтинговой категории 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ruAAA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74F2" w:rsidRPr="00431896" w:rsidRDefault="00CF74F2" w:rsidP="00CF7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–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в рейтинге по размеру активов и величине портфеля кредитов субъектам МСБ в 2022 году находится на третьем месте, что считается положительным фактором, это указывает на его финансовую устойчивость и стабильность. Это позволяет Банку ГПБ (АО) привлекать большое количество клиентов и увеличивать свою долю на рынке кредитных услуг;</w:t>
      </w:r>
    </w:p>
    <w:p w:rsidR="00CF74F2" w:rsidRPr="00431896" w:rsidRDefault="00CF74F2" w:rsidP="00CF7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– изучая кадровый потенциал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» в разрезе экономической безопасности, можно сказать, что Банк продолжает уделять внимание вопросам </w:t>
      </w:r>
      <w:r w:rsidR="00F7116D">
        <w:rPr>
          <w:rFonts w:ascii="Times New Roman" w:eastAsia="Times New Roman" w:hAnsi="Times New Roman" w:cs="Times New Roman"/>
          <w:sz w:val="28"/>
          <w:szCs w:val="28"/>
        </w:rPr>
        <w:t>укрепления кадрового потенциала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74F2" w:rsidRDefault="00CF74F2" w:rsidP="00CF74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896">
        <w:rPr>
          <w:rFonts w:ascii="Times New Roman" w:eastAsia="Times New Roman" w:hAnsi="Times New Roman" w:cs="Times New Roman"/>
          <w:sz w:val="28"/>
          <w:szCs w:val="28"/>
        </w:rPr>
        <w:t>– для положительного функционирования центра управления информационной безопасности необходимо постоянно совершенствовать деятельность данного центра, обеспечивать обновленной и актуальной защитой, поскольку информационная безопасность нуждается в сильной защите конфиденциальных данных компании, ведь каждый день появляются новые способы по нарушению процесса защиты, а также ежегодно происходят различного рода информационные атаки на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D6813" w:rsidRPr="00CF74F2" w:rsidRDefault="00BD6813" w:rsidP="00CF74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6813" w:rsidRPr="003C2EF7" w:rsidRDefault="00BD6813" w:rsidP="00BD68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2E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813">
        <w:rPr>
          <w:rFonts w:ascii="Times New Roman" w:hAnsi="Times New Roman" w:cs="Times New Roman"/>
          <w:b/>
          <w:sz w:val="28"/>
          <w:szCs w:val="28"/>
        </w:rPr>
        <w:t>Исследование механизма и инструментария обеспечения экономической безопасности АО «</w:t>
      </w:r>
      <w:proofErr w:type="spellStart"/>
      <w:r w:rsidRPr="00BD6813">
        <w:rPr>
          <w:rFonts w:ascii="Times New Roman" w:hAnsi="Times New Roman" w:cs="Times New Roman"/>
          <w:b/>
          <w:sz w:val="28"/>
          <w:szCs w:val="28"/>
        </w:rPr>
        <w:t>Газпромбанк</w:t>
      </w:r>
      <w:proofErr w:type="spellEnd"/>
      <w:r w:rsidRPr="00BD6813">
        <w:rPr>
          <w:rFonts w:ascii="Times New Roman" w:hAnsi="Times New Roman" w:cs="Times New Roman"/>
          <w:b/>
          <w:sz w:val="28"/>
          <w:szCs w:val="28"/>
        </w:rPr>
        <w:t>» в современных условиях</w:t>
      </w:r>
    </w:p>
    <w:p w:rsidR="00BD6813" w:rsidRPr="003C2EF7" w:rsidRDefault="00BD6813" w:rsidP="00BD681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FD" w:rsidRPr="002F234F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экономической безопасности банка имеет целый ряд особенностей, обусловленных самой природой банковской деятельности. Банк по своей природе является финансово-кредитным посредником и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действует преимущественно на финансовых рынках. В силу этого он постоянно сталкивается с различными рисками и угрозами и действует в условиях высоких рисков. В силу этого</w:t>
      </w:r>
      <w:r w:rsidRPr="002F234F">
        <w:rPr>
          <w:color w:val="000000" w:themeColor="text1"/>
        </w:rPr>
        <w:t xml:space="preserve">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защищенностью от угроз и управление рисками занимает ключевое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в системе безопасности банка.</w:t>
      </w:r>
    </w:p>
    <w:p w:rsidR="006068FD" w:rsidRPr="002F234F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Рассмотрим</w:t>
      </w:r>
      <w:r w:rsidRPr="002F234F">
        <w:rPr>
          <w:color w:val="000000" w:themeColor="text1"/>
        </w:rPr>
        <w:t xml:space="preserve">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рисками в АО «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Основными банковскими рисками финансовой сферы являются: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кредитный риск; риски потери ликвидности; процентные риски; валютные риски.</w:t>
      </w:r>
    </w:p>
    <w:p w:rsidR="006068FD" w:rsidRPr="00CF74F2" w:rsidRDefault="00E15A10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природы </w:t>
      </w:r>
      <w:r w:rsidR="006068F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кредитн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6068F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риск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показывает, что</w:t>
      </w:r>
      <w:r w:rsidR="006068F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существуют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многообразные </w:t>
      </w:r>
      <w:r w:rsidR="006068F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факторы, которые влияют на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6068F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возникновение:</w:t>
      </w:r>
      <w:r w:rsidR="006068FD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макроэкономические, в том числе </w:t>
      </w:r>
      <w:r w:rsidR="006068FD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политические риски;</w:t>
      </w:r>
      <w:r w:rsidR="006068FD"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инфляция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6068FD"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риск изменения процентных ставок </w:t>
      </w:r>
      <w:r w:rsidR="006068FD"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т.д. Все эти факторы </w:t>
      </w:r>
      <w:r w:rsidR="00F82E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связаны с влиянием санкций</w:t>
      </w:r>
      <w:r w:rsidR="006068FD"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Вырос уровень инфляции, что повлияло на платежеспособность населения, политические риски обусловлены напряженностью в отношениях России и других стран, некоторые отрасли оказались под ударом из-за введенных санкций, некоторые из предприятий не смогли отвечать по своим обязательствам из-за отсутствия прибыли.</w:t>
      </w:r>
    </w:p>
    <w:p w:rsidR="006068FD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факторам риска потери ликвидности относят</w:t>
      </w:r>
      <w:r w:rsidR="00E15A10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практически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 же факторы, что и кредитному риску. </w:t>
      </w:r>
      <w:r w:rsidR="00E15A10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Данные факторы влияют на риски ликвидности, вызывая затруднения 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конверт</w:t>
      </w:r>
      <w:r w:rsidR="00E15A10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ации активов в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ден</w:t>
      </w:r>
      <w:r w:rsidR="00E15A10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ежную наличность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E15A10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необходимую для погашения обязательств банка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2022 году большое количество вкладчиков</w:t>
      </w:r>
      <w:r w:rsidR="00E15A10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различных банках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приняли решение снять свои деньги, поскольку возник страх их потерять из-за введения</w:t>
      </w:r>
      <w:r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новых 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санкций. Но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смог </w:t>
      </w:r>
      <w:r w:rsidR="00E15A10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 решить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данную проблему, поскольку активы банка 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ликвидны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подтверждают </w:t>
      </w:r>
      <w:r w:rsidR="004C1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данные в таблице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4C1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6ADC" w:rsidRPr="00CF74F2" w:rsidRDefault="00886ADC" w:rsidP="00886A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стабильности ресурсов в период 2022 года вырос на 16,4%, что говорит, об увеличении доли средств, могут быть востребованы в любой момент времени.</w:t>
      </w:r>
    </w:p>
    <w:p w:rsidR="00886ADC" w:rsidRPr="00CF74F2" w:rsidRDefault="00886ADC" w:rsidP="00886A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Показатель соотношения заемных и собственных средств имел различную динамику. В 2022 составило 5 руб. 89 коп. Резкое увеличение в 2022 год, связано с уменьшением объемов собственных средств.</w:t>
      </w:r>
    </w:p>
    <w:p w:rsidR="00886ADC" w:rsidRPr="002F234F" w:rsidRDefault="00886ADC" w:rsidP="00886A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Показатель устойчивости средств на расчетных и текущих счетах клиентов за период 2022 года снизился на 0,98, что говорит об отрицательном изменении устойчивости высоколиквидных средств. Однако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изменение совсем незначительно (таблица 19).</w:t>
      </w:r>
    </w:p>
    <w:p w:rsidR="006068FD" w:rsidRPr="002F234F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68FD" w:rsidRPr="00CF74F2" w:rsidRDefault="004C1C28" w:rsidP="006068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19</w:t>
      </w:r>
      <w:r w:rsidR="006068FD"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Динамика риска ликвидности </w:t>
      </w:r>
      <w:r w:rsidR="006068FD"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="006068FD"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6068FD"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068FD"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2020–2022 гг., % (данные взяты из официального сайта компании)</w:t>
      </w: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1009"/>
        <w:gridCol w:w="1009"/>
        <w:gridCol w:w="1009"/>
        <w:gridCol w:w="2013"/>
      </w:tblGrid>
      <w:tr w:rsidR="006068FD" w:rsidRPr="005710D2" w:rsidTr="009A4028">
        <w:trPr>
          <w:trHeight w:val="135"/>
        </w:trPr>
        <w:tc>
          <w:tcPr>
            <w:tcW w:w="4357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Изменение 2022 г. к 2021 г.</w:t>
            </w:r>
          </w:p>
        </w:tc>
      </w:tr>
      <w:tr w:rsidR="006068FD" w:rsidRPr="005710D2" w:rsidTr="009A4028">
        <w:trPr>
          <w:trHeight w:val="79"/>
        </w:trPr>
        <w:tc>
          <w:tcPr>
            <w:tcW w:w="4357" w:type="dxa"/>
            <w:shd w:val="clear" w:color="auto" w:fill="auto"/>
          </w:tcPr>
          <w:p w:rsidR="006068FD" w:rsidRPr="00CF74F2" w:rsidRDefault="006068FD" w:rsidP="00F71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Уровень стабильности ресурсов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16,4</w:t>
            </w:r>
          </w:p>
        </w:tc>
      </w:tr>
      <w:tr w:rsidR="006068FD" w:rsidRPr="005710D2" w:rsidTr="009A4028">
        <w:trPr>
          <w:trHeight w:val="95"/>
        </w:trPr>
        <w:tc>
          <w:tcPr>
            <w:tcW w:w="4357" w:type="dxa"/>
            <w:shd w:val="clear" w:color="auto" w:fill="auto"/>
          </w:tcPr>
          <w:p w:rsidR="006068FD" w:rsidRPr="00CF74F2" w:rsidRDefault="006068FD" w:rsidP="000523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 соотношения заемных и собственных средств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415,2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589,2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68,5</w:t>
            </w:r>
          </w:p>
        </w:tc>
      </w:tr>
      <w:tr w:rsidR="006068FD" w:rsidRPr="005710D2" w:rsidTr="009A4028">
        <w:trPr>
          <w:trHeight w:val="471"/>
        </w:trPr>
        <w:tc>
          <w:tcPr>
            <w:tcW w:w="4357" w:type="dxa"/>
            <w:shd w:val="clear" w:color="auto" w:fill="auto"/>
          </w:tcPr>
          <w:p w:rsidR="006068FD" w:rsidRPr="00CF74F2" w:rsidRDefault="006068FD" w:rsidP="00F71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Показатель устойчивости средств на расчетных и текущих счетах клиентов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-0,98</w:t>
            </w:r>
          </w:p>
        </w:tc>
      </w:tr>
      <w:tr w:rsidR="006068FD" w:rsidRPr="005710D2" w:rsidTr="009A4028">
        <w:trPr>
          <w:trHeight w:val="79"/>
        </w:trPr>
        <w:tc>
          <w:tcPr>
            <w:tcW w:w="4357" w:type="dxa"/>
            <w:shd w:val="clear" w:color="auto" w:fill="auto"/>
          </w:tcPr>
          <w:p w:rsidR="006068FD" w:rsidRPr="00CF74F2" w:rsidRDefault="006068FD" w:rsidP="000523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 соотношения высоколиквидных активов и привлеченных средств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-10,6</w:t>
            </w:r>
          </w:p>
        </w:tc>
      </w:tr>
      <w:tr w:rsidR="006068FD" w:rsidRPr="005710D2" w:rsidTr="009A4028">
        <w:trPr>
          <w:trHeight w:val="79"/>
        </w:trPr>
        <w:tc>
          <w:tcPr>
            <w:tcW w:w="4357" w:type="dxa"/>
            <w:shd w:val="clear" w:color="auto" w:fill="auto"/>
          </w:tcPr>
          <w:p w:rsidR="006068FD" w:rsidRPr="00CF74F2" w:rsidRDefault="006068FD" w:rsidP="00F71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 структур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ы привлеченных средств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30,8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36,1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8,8</w:t>
            </w:r>
          </w:p>
        </w:tc>
      </w:tr>
      <w:tr w:rsidR="006068FD" w:rsidRPr="005710D2" w:rsidTr="009A4028">
        <w:trPr>
          <w:trHeight w:val="79"/>
        </w:trPr>
        <w:tc>
          <w:tcPr>
            <w:tcW w:w="4357" w:type="dxa"/>
            <w:shd w:val="clear" w:color="auto" w:fill="auto"/>
          </w:tcPr>
          <w:p w:rsidR="006068FD" w:rsidRPr="00CF74F2" w:rsidRDefault="006068FD" w:rsidP="00F71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Показатель зависимости от межбанковского рынка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-1,1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-31,3</w:t>
            </w:r>
          </w:p>
        </w:tc>
      </w:tr>
      <w:tr w:rsidR="006068FD" w:rsidRPr="005710D2" w:rsidTr="009A4028">
        <w:trPr>
          <w:trHeight w:val="79"/>
        </w:trPr>
        <w:tc>
          <w:tcPr>
            <w:tcW w:w="4357" w:type="dxa"/>
            <w:shd w:val="clear" w:color="auto" w:fill="auto"/>
          </w:tcPr>
          <w:p w:rsidR="006068FD" w:rsidRPr="00CF74F2" w:rsidRDefault="006068FD" w:rsidP="00F71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Показатель риска собственных вексельных обязательств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1,27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-20,6</w:t>
            </w:r>
          </w:p>
        </w:tc>
      </w:tr>
      <w:tr w:rsidR="006068FD" w:rsidRPr="005710D2" w:rsidTr="009A4028">
        <w:trPr>
          <w:trHeight w:val="79"/>
        </w:trPr>
        <w:tc>
          <w:tcPr>
            <w:tcW w:w="4357" w:type="dxa"/>
            <w:shd w:val="clear" w:color="auto" w:fill="auto"/>
          </w:tcPr>
          <w:p w:rsidR="006068FD" w:rsidRPr="00CF74F2" w:rsidRDefault="006068FD" w:rsidP="00F71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Показатель небанковских ссуд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068FD" w:rsidRPr="00CF74F2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74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0,93</w:t>
            </w:r>
          </w:p>
        </w:tc>
      </w:tr>
    </w:tbl>
    <w:p w:rsidR="006068FD" w:rsidRPr="00CF74F2" w:rsidRDefault="006068FD" w:rsidP="003A78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068FD" w:rsidRPr="00CF74F2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Показатель соотношения высоколиквидных активов и привлеченных средств </w:t>
      </w:r>
      <w:r w:rsidR="00F82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2022 год данный показатель уменьшился на 10,6 и составил 12,6, данное изменение, отрицательно сказывается на уровне ликвидности банка.</w:t>
      </w:r>
    </w:p>
    <w:p w:rsidR="006068FD" w:rsidRPr="00CF74F2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Показатель структуры привлеченных сре</w:t>
      </w:r>
      <w:proofErr w:type="gram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20</w:t>
      </w:r>
      <w:proofErr w:type="gram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 год вырос на 8,8 и составил 33,5, данное изменение можно интерпретировать как рост доли </w:t>
      </w:r>
      <w:proofErr w:type="spell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низкооплачеваемых</w:t>
      </w:r>
      <w:proofErr w:type="spell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 банка во всей совокупности банковских обязательств, данное изменение может положительно сказаться на мгновенной ликвидности банка.</w:t>
      </w:r>
    </w:p>
    <w:p w:rsidR="006068FD" w:rsidRPr="00CF74F2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Показатель зависимости от межбанковского рынка </w:t>
      </w:r>
      <w:r w:rsidR="00F82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2022 год уменьшился на 31,3 и составил -1,1, что говорит о снижении количества привлекаемых сре</w:t>
      </w:r>
      <w:proofErr w:type="gram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покрытия кассовых разрывов. </w:t>
      </w:r>
    </w:p>
    <w:p w:rsidR="006068FD" w:rsidRPr="00CF74F2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Показатель риска </w:t>
      </w:r>
      <w:proofErr w:type="gram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собственных</w:t>
      </w:r>
      <w:proofErr w:type="gram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вексельных </w:t>
      </w:r>
      <w:r w:rsidR="00F82E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2022 год уменьшился на 20,6 и составил 1,27. Данное изменение произошло в основном за счет погашения обязательств банка, данное изменение можно интерпретировать как повышение уровня ликвидности.</w:t>
      </w:r>
    </w:p>
    <w:p w:rsidR="006068FD" w:rsidRPr="00CF74F2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Показатель небанковских ссуд характеризует отношение небанковских ссуд к совокупности обязательств банка перед клиентами не являющихся кредитными.</w:t>
      </w:r>
    </w:p>
    <w:p w:rsidR="006068FD" w:rsidRPr="00CF74F2" w:rsidRDefault="00F82E5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м</w:t>
      </w:r>
      <w:r w:rsidR="006068FD"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 сказать о сокращении уровня оценочных показателей ликвидности в пользу роста доходности, за счет более долгосрочных размещений и привлечений, что говорит о способности банка стратегически планировать собственную деятельность. В основном показатели имеют нормальные значения, что свидетельствует о хорошем уровне способности АО «</w:t>
      </w:r>
      <w:proofErr w:type="spellStart"/>
      <w:r w:rsidR="006068FD"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6068FD"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выполнять свои обязательства в назначенные сроки. </w:t>
      </w:r>
    </w:p>
    <w:p w:rsidR="006068FD" w:rsidRPr="0054521C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Теперь изучим процентные риски </w:t>
      </w:r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6068FD" w:rsidRPr="0054521C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Санкционным</w:t>
      </w:r>
      <w:proofErr w:type="spellEnd"/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фактором возникновения такого вида рисков стало падение курса рубля из-за введённых санкций. Так, резкое повышение уровня ключевой ставки в России привело к тому, что люди стали брать меньше кредитов, так как выплачивать их становится сложнее.</w:t>
      </w:r>
    </w:p>
    <w:p w:rsidR="006068FD" w:rsidRPr="0054521C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помощью таблицы 2</w:t>
      </w:r>
      <w:r w:rsidR="004C1C28"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представим данные об изменениях процентного риска </w:t>
      </w:r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2020–2022 гг.</w:t>
      </w:r>
    </w:p>
    <w:p w:rsidR="006068FD" w:rsidRPr="0054521C" w:rsidRDefault="006068FD" w:rsidP="006068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</w:p>
    <w:p w:rsidR="006068FD" w:rsidRPr="0054521C" w:rsidRDefault="006068FD" w:rsidP="006068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</w:t>
      </w:r>
      <w:r w:rsidR="004C1C28"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Динамика процентного риска </w:t>
      </w:r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2020–2022 гг., тыс. руб. (данные взяты из официального сайта компании)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1559"/>
        <w:gridCol w:w="1418"/>
        <w:gridCol w:w="1370"/>
        <w:gridCol w:w="1859"/>
      </w:tblGrid>
      <w:tr w:rsidR="006068FD" w:rsidRPr="0054521C" w:rsidTr="00052333">
        <w:trPr>
          <w:trHeight w:val="267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6068FD" w:rsidRPr="003A78E6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8FD" w:rsidRPr="003A78E6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68FD" w:rsidRPr="003A78E6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068FD" w:rsidRPr="003A78E6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068FD" w:rsidRPr="003A78E6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Изменение 2020 г. к 2022 г.</w:t>
            </w:r>
          </w:p>
        </w:tc>
      </w:tr>
      <w:tr w:rsidR="006068FD" w:rsidRPr="0054521C" w:rsidTr="00052333">
        <w:trPr>
          <w:trHeight w:val="272"/>
          <w:jc w:val="center"/>
        </w:trPr>
        <w:tc>
          <w:tcPr>
            <w:tcW w:w="3089" w:type="dxa"/>
            <w:shd w:val="clear" w:color="auto" w:fill="auto"/>
          </w:tcPr>
          <w:p w:rsidR="006068FD" w:rsidRPr="003A78E6" w:rsidRDefault="006068FD" w:rsidP="000523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Процентный риск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68FD" w:rsidRPr="003A78E6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17354125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68FD" w:rsidRPr="003A78E6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28456369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068FD" w:rsidRPr="003A78E6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27048631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068FD" w:rsidRPr="003A78E6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7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55,9</w:t>
            </w:r>
          </w:p>
        </w:tc>
      </w:tr>
    </w:tbl>
    <w:p w:rsidR="006068FD" w:rsidRPr="0054521C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068FD" w:rsidRPr="0054521C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Рассматривая таблицу </w:t>
      </w:r>
      <w:r w:rsidR="004C1C28"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видно, что в современных условиях коммерческий банк подвержен процентному риску, который может значительно повлиять на его финансовые результаты. </w:t>
      </w:r>
      <w:r w:rsidR="00F82E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становление лимитов </w:t>
      </w:r>
      <w:r w:rsidR="00F82E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процентных ставок </w:t>
      </w: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это ключевой метод управления процентным риском в </w:t>
      </w:r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54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068FD" w:rsidRPr="00CF74F2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Теперь необходимо уточнить о риске курса валют, который на сегодняшний день напрямую сильно зависит от санкций. В результате чего, это привело к снижению доходов банка от деятельности.</w:t>
      </w:r>
    </w:p>
    <w:p w:rsidR="006068FD" w:rsidRPr="00CF74F2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таблице </w:t>
      </w:r>
      <w:r w:rsidR="004C1C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указаны данные о динамике валютного риска </w:t>
      </w: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2020–2022 гг.</w:t>
      </w:r>
    </w:p>
    <w:p w:rsidR="006068FD" w:rsidRPr="00CF74F2" w:rsidRDefault="006068FD" w:rsidP="006068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068FD" w:rsidRPr="00CF74F2" w:rsidRDefault="006068FD" w:rsidP="006068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C1C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Динамика валютного риска </w:t>
      </w:r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CF7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2019–2021 гг., тыс. руб. (данные взяты из официального сайта компании)</w:t>
      </w:r>
    </w:p>
    <w:tbl>
      <w:tblPr>
        <w:tblW w:w="93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1864"/>
        <w:gridCol w:w="1864"/>
        <w:gridCol w:w="1864"/>
        <w:gridCol w:w="1864"/>
      </w:tblGrid>
      <w:tr w:rsidR="006068FD" w:rsidRPr="007968B9" w:rsidTr="00052333">
        <w:trPr>
          <w:trHeight w:val="359"/>
        </w:trPr>
        <w:tc>
          <w:tcPr>
            <w:tcW w:w="1864" w:type="dxa"/>
            <w:shd w:val="clear" w:color="auto" w:fill="auto"/>
            <w:vAlign w:val="center"/>
          </w:tcPr>
          <w:p w:rsidR="006068FD" w:rsidRPr="007968B9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068FD" w:rsidRPr="007968B9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2020 г.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068FD" w:rsidRPr="007968B9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2021 г.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068FD" w:rsidRPr="007968B9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2022 г.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068FD" w:rsidRPr="007968B9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Изменение 2020 г. к 2022 г.</w:t>
            </w:r>
          </w:p>
        </w:tc>
      </w:tr>
      <w:tr w:rsidR="006068FD" w:rsidRPr="007968B9" w:rsidTr="00052333">
        <w:trPr>
          <w:trHeight w:val="182"/>
        </w:trPr>
        <w:tc>
          <w:tcPr>
            <w:tcW w:w="1864" w:type="dxa"/>
            <w:shd w:val="clear" w:color="auto" w:fill="auto"/>
          </w:tcPr>
          <w:p w:rsidR="006068FD" w:rsidRPr="007968B9" w:rsidRDefault="006068FD" w:rsidP="000523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Валютный риск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068FD" w:rsidRPr="007968B9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7645896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068FD" w:rsidRPr="007968B9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17946382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068FD" w:rsidRPr="007968B9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21546983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068FD" w:rsidRPr="007968B9" w:rsidRDefault="006068FD" w:rsidP="000523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68B9">
              <w:rPr>
                <w:rFonts w:ascii="Times New Roman" w:eastAsia="Calibri" w:hAnsi="Times New Roman" w:cs="Times New Roman"/>
                <w:color w:val="000000" w:themeColor="text1"/>
              </w:rPr>
              <w:t>181,81</w:t>
            </w:r>
          </w:p>
        </w:tc>
      </w:tr>
    </w:tbl>
    <w:p w:rsidR="006068FD" w:rsidRPr="00CF74F2" w:rsidRDefault="006068FD" w:rsidP="006068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68FD" w:rsidRPr="00CF74F2" w:rsidRDefault="003A78E6" w:rsidP="006068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Анализируя таблицу 21</w:t>
      </w:r>
      <w:r w:rsidR="006068FD"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82E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можно сказать, что</w:t>
      </w:r>
      <w:r w:rsidR="006068FD"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валютный риск банка увеличился за анализируемый период. Это обусловлено неблагоприятным изменением курсов иностранных валют. </w:t>
      </w:r>
      <w:r w:rsidR="007F13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6068FD" w:rsidRPr="00CF7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 сильных изменениях внешних условий, курс неизбежно должен сильно изменяться.</w:t>
      </w:r>
    </w:p>
    <w:p w:rsidR="006F6FC1" w:rsidRPr="00BD6813" w:rsidRDefault="006F6FC1" w:rsidP="006F6FC1">
      <w:pPr>
        <w:spacing w:after="0" w:line="360" w:lineRule="auto"/>
        <w:ind w:right="-5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АО «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Газпромбанк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»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и многие российские коммерческие банки, попал под санкции. Несмотря на то, что активы банка не заморожены, то есть он может иметь дело с иностранными партнерами, ситуация в целом отразилась на продуктах и услугах банка. </w:t>
      </w:r>
    </w:p>
    <w:p w:rsidR="006F6FC1" w:rsidRPr="00BD6813" w:rsidRDefault="006F6FC1" w:rsidP="006F6FC1">
      <w:pPr>
        <w:spacing w:after="0" w:line="360" w:lineRule="auto"/>
        <w:ind w:left="567" w:right="-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 коснулись:</w:t>
      </w:r>
    </w:p>
    <w:p w:rsidR="006F6FC1" w:rsidRPr="00BD6813" w:rsidRDefault="006F6FC1" w:rsidP="006F6FC1">
      <w:pPr>
        <w:spacing w:after="0" w:line="360" w:lineRule="auto"/>
        <w:ind w:left="567" w:right="-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– кредитов;</w:t>
      </w:r>
    </w:p>
    <w:p w:rsidR="006F6FC1" w:rsidRPr="00BD6813" w:rsidRDefault="006F6FC1" w:rsidP="006F6FC1">
      <w:pPr>
        <w:spacing w:after="0" w:line="360" w:lineRule="auto"/>
        <w:ind w:left="567" w:right="-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– ипотеки;</w:t>
      </w:r>
    </w:p>
    <w:p w:rsidR="006F6FC1" w:rsidRPr="00BD6813" w:rsidRDefault="006F6FC1" w:rsidP="006F6FC1">
      <w:pPr>
        <w:spacing w:after="0" w:line="360" w:lineRule="auto"/>
        <w:ind w:left="567" w:right="-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– вкладов.</w:t>
      </w:r>
    </w:p>
    <w:p w:rsidR="006F6FC1" w:rsidRPr="00BD6813" w:rsidRDefault="006F6FC1" w:rsidP="006F6FC1">
      <w:pPr>
        <w:spacing w:after="0" w:line="360" w:lineRule="auto"/>
        <w:ind w:right="-5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санкций Центральный Банк для сдерживания инфляции принял решение поднять ключевую ставку до 20% годовых. 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АО «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Газпромбанк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»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стал 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повышать ставки по вкладам и кредитам. Например, если минимальная сумма кредита от 3 </w:t>
      </w:r>
      <w:proofErr w:type="spellStart"/>
      <w:proofErr w:type="gram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до 5 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руб., то процентная ставка составляет 16,9%.</w:t>
      </w:r>
    </w:p>
    <w:p w:rsidR="006F6FC1" w:rsidRPr="00BD6813" w:rsidRDefault="006F6FC1" w:rsidP="006F6FC1">
      <w:pPr>
        <w:spacing w:after="0" w:line="360" w:lineRule="auto"/>
        <w:ind w:right="-5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ключевой ставки отразилось и на ипотечных кредитах. Ставки стремительно выросли, практически остановив жилищное кредитование в России. Ставка по ипотеке 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АО «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Газпромбанк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»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стала составлять 21-22%.</w:t>
      </w:r>
    </w:p>
    <w:p w:rsidR="006F6FC1" w:rsidRDefault="006F6FC1" w:rsidP="006F6FC1">
      <w:pPr>
        <w:spacing w:after="0" w:line="360" w:lineRule="auto"/>
        <w:ind w:right="-5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ставок по вкладам – также реакция на увеличение ключевой ставки ЦБ РФ. 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оперативно на это отреагировал и ввел в линейку программы с обновленными процентами. Ниже представлены новые привлекательные условия размещения в 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Газпромбанке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классического вклада без возможности пополнения и снятия в качестве пр</w:t>
      </w:r>
      <w:r w:rsidR="004C1C28">
        <w:rPr>
          <w:rFonts w:ascii="Times New Roman" w:eastAsia="Calibri" w:hAnsi="Times New Roman" w:cs="Times New Roman"/>
          <w:color w:val="000000"/>
          <w:sz w:val="28"/>
          <w:szCs w:val="28"/>
        </w:rPr>
        <w:t>отивостояния санкциям (таблица 22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7968B9" w:rsidRPr="00BD6813" w:rsidRDefault="007968B9" w:rsidP="006F6FC1">
      <w:pPr>
        <w:spacing w:after="0" w:line="360" w:lineRule="auto"/>
        <w:ind w:right="-5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6FC1" w:rsidRPr="00BD6813" w:rsidRDefault="004C1C28" w:rsidP="006F6FC1">
      <w:pPr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Таблица 22</w:t>
      </w:r>
      <w:r w:rsidR="006F6FC1"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Новые условия размещения в </w:t>
      </w:r>
      <w:proofErr w:type="spellStart"/>
      <w:r w:rsidR="006F6FC1"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Газпромбанке</w:t>
      </w:r>
      <w:proofErr w:type="spellEnd"/>
      <w:r w:rsidR="006F6FC1"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классического вклада без возможности пополнения и снятия</w:t>
      </w: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9"/>
        <w:gridCol w:w="1117"/>
        <w:gridCol w:w="1249"/>
        <w:gridCol w:w="1247"/>
        <w:gridCol w:w="971"/>
        <w:gridCol w:w="1109"/>
        <w:gridCol w:w="1247"/>
      </w:tblGrid>
      <w:tr w:rsidR="006F6FC1" w:rsidRPr="007F1399" w:rsidTr="00886ADC">
        <w:trPr>
          <w:trHeight w:val="841"/>
        </w:trPr>
        <w:tc>
          <w:tcPr>
            <w:tcW w:w="248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Российские рубли</w:t>
            </w:r>
          </w:p>
        </w:tc>
        <w:tc>
          <w:tcPr>
            <w:tcW w:w="111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 д.</w:t>
            </w:r>
          </w:p>
        </w:tc>
        <w:tc>
          <w:tcPr>
            <w:tcW w:w="124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 д.</w:t>
            </w:r>
          </w:p>
        </w:tc>
        <w:tc>
          <w:tcPr>
            <w:tcW w:w="124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181 д.</w:t>
            </w:r>
          </w:p>
        </w:tc>
        <w:tc>
          <w:tcPr>
            <w:tcW w:w="971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367 д. </w:t>
            </w:r>
          </w:p>
        </w:tc>
        <w:tc>
          <w:tcPr>
            <w:tcW w:w="110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731 д.</w:t>
            </w:r>
          </w:p>
        </w:tc>
        <w:tc>
          <w:tcPr>
            <w:tcW w:w="124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1095 д.</w:t>
            </w:r>
          </w:p>
        </w:tc>
      </w:tr>
      <w:tr w:rsidR="006F6FC1" w:rsidRPr="007F1399" w:rsidTr="00886ADC">
        <w:trPr>
          <w:trHeight w:val="431"/>
        </w:trPr>
        <w:tc>
          <w:tcPr>
            <w:tcW w:w="248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1500-499999</w:t>
            </w:r>
          </w:p>
        </w:tc>
        <w:tc>
          <w:tcPr>
            <w:tcW w:w="111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20,1%</w:t>
            </w:r>
          </w:p>
        </w:tc>
        <w:tc>
          <w:tcPr>
            <w:tcW w:w="124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20,1%</w:t>
            </w:r>
          </w:p>
        </w:tc>
        <w:tc>
          <w:tcPr>
            <w:tcW w:w="124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17,2%</w:t>
            </w:r>
          </w:p>
        </w:tc>
        <w:tc>
          <w:tcPr>
            <w:tcW w:w="971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12,1%</w:t>
            </w:r>
          </w:p>
        </w:tc>
        <w:tc>
          <w:tcPr>
            <w:tcW w:w="110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7,9%</w:t>
            </w:r>
          </w:p>
        </w:tc>
        <w:tc>
          <w:tcPr>
            <w:tcW w:w="124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7,8%</w:t>
            </w:r>
          </w:p>
        </w:tc>
      </w:tr>
      <w:tr w:rsidR="006F6FC1" w:rsidRPr="007F1399" w:rsidTr="00886ADC">
        <w:trPr>
          <w:trHeight w:val="545"/>
        </w:trPr>
        <w:tc>
          <w:tcPr>
            <w:tcW w:w="248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500000-1499999</w:t>
            </w:r>
          </w:p>
        </w:tc>
        <w:tc>
          <w:tcPr>
            <w:tcW w:w="1117" w:type="dxa"/>
            <w:shd w:val="clear" w:color="auto" w:fill="auto"/>
          </w:tcPr>
          <w:p w:rsidR="006F6FC1" w:rsidRPr="007F1399" w:rsidRDefault="006F6FC1" w:rsidP="000523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20,1%</w:t>
            </w:r>
          </w:p>
        </w:tc>
        <w:tc>
          <w:tcPr>
            <w:tcW w:w="1249" w:type="dxa"/>
            <w:shd w:val="clear" w:color="auto" w:fill="auto"/>
          </w:tcPr>
          <w:p w:rsidR="006F6FC1" w:rsidRPr="007F1399" w:rsidRDefault="006F6FC1" w:rsidP="000523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20,1%</w:t>
            </w:r>
          </w:p>
        </w:tc>
        <w:tc>
          <w:tcPr>
            <w:tcW w:w="124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17,3%</w:t>
            </w:r>
          </w:p>
        </w:tc>
        <w:tc>
          <w:tcPr>
            <w:tcW w:w="971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12,2%</w:t>
            </w:r>
          </w:p>
        </w:tc>
        <w:tc>
          <w:tcPr>
            <w:tcW w:w="110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24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7,9%</w:t>
            </w:r>
          </w:p>
        </w:tc>
      </w:tr>
      <w:tr w:rsidR="006F6FC1" w:rsidRPr="007F1399" w:rsidTr="00886ADC">
        <w:trPr>
          <w:trHeight w:val="520"/>
        </w:trPr>
        <w:tc>
          <w:tcPr>
            <w:tcW w:w="248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1500000</w:t>
            </w:r>
          </w:p>
        </w:tc>
        <w:tc>
          <w:tcPr>
            <w:tcW w:w="1117" w:type="dxa"/>
            <w:shd w:val="clear" w:color="auto" w:fill="auto"/>
          </w:tcPr>
          <w:p w:rsidR="006F6FC1" w:rsidRPr="007F1399" w:rsidRDefault="006F6FC1" w:rsidP="000523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20,1%</w:t>
            </w:r>
          </w:p>
        </w:tc>
        <w:tc>
          <w:tcPr>
            <w:tcW w:w="1249" w:type="dxa"/>
            <w:shd w:val="clear" w:color="auto" w:fill="auto"/>
          </w:tcPr>
          <w:p w:rsidR="006F6FC1" w:rsidRPr="007F1399" w:rsidRDefault="006F6FC1" w:rsidP="000523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20,1%</w:t>
            </w:r>
          </w:p>
        </w:tc>
        <w:tc>
          <w:tcPr>
            <w:tcW w:w="124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17,4%</w:t>
            </w:r>
          </w:p>
        </w:tc>
        <w:tc>
          <w:tcPr>
            <w:tcW w:w="971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12,3%</w:t>
            </w:r>
          </w:p>
        </w:tc>
        <w:tc>
          <w:tcPr>
            <w:tcW w:w="1109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8,1%</w:t>
            </w:r>
          </w:p>
        </w:tc>
        <w:tc>
          <w:tcPr>
            <w:tcW w:w="1247" w:type="dxa"/>
            <w:shd w:val="clear" w:color="auto" w:fill="auto"/>
          </w:tcPr>
          <w:p w:rsidR="006F6FC1" w:rsidRPr="007F1399" w:rsidRDefault="006F6FC1" w:rsidP="000523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3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</w:tbl>
    <w:p w:rsidR="006F6FC1" w:rsidRDefault="006F6FC1" w:rsidP="00886ADC">
      <w:pPr>
        <w:tabs>
          <w:tab w:val="right" w:leader="do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FC1" w:rsidRDefault="006F6FC1" w:rsidP="006F6FC1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13">
        <w:rPr>
          <w:rFonts w:ascii="Times New Roman" w:eastAsia="Times New Roman" w:hAnsi="Times New Roman" w:cs="Times New Roman"/>
          <w:sz w:val="28"/>
          <w:szCs w:val="28"/>
        </w:rPr>
        <w:t>Основная составляющая деятельности АО «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 кредитование. В своей деятельности АО «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» использует лицензионные 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скоринговые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 программы. Суть программы заключается в вычислении возможных рисков при выдаче кредитных продуктов, в основном частным лицам, путем анализа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 находящейся в базах данных различных федеральных ведомств.</w:t>
      </w:r>
    </w:p>
    <w:p w:rsidR="006F6FC1" w:rsidRPr="00431896" w:rsidRDefault="006F6FC1" w:rsidP="006F6F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1896">
        <w:rPr>
          <w:rFonts w:ascii="Times New Roman" w:eastAsia="Calibri" w:hAnsi="Times New Roman" w:cs="Times New Roman"/>
          <w:sz w:val="28"/>
          <w:szCs w:val="28"/>
        </w:rPr>
        <w:t xml:space="preserve"> целом 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имеет тенденцию соблюдения нормативов Банка России, что свидетельствует о качественном управлении рисками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ликвидности, кредитными рисками</w:t>
      </w:r>
      <w:r w:rsidRPr="00431896">
        <w:rPr>
          <w:rFonts w:ascii="Times New Roman" w:eastAsia="Times New Roman" w:hAnsi="Times New Roman" w:cs="Times New Roman"/>
          <w:sz w:val="28"/>
          <w:szCs w:val="28"/>
        </w:rPr>
        <w:t xml:space="preserve"> в АО «</w:t>
      </w:r>
      <w:proofErr w:type="spellStart"/>
      <w:r w:rsidRPr="00431896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431896">
        <w:rPr>
          <w:rFonts w:ascii="Times New Roman" w:eastAsia="Times New Roman" w:hAnsi="Times New Roman" w:cs="Times New Roman"/>
          <w:sz w:val="28"/>
          <w:szCs w:val="28"/>
        </w:rPr>
        <w:t>» и значительном снижении их уровня в динамике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813" w:rsidRPr="00BD6813" w:rsidRDefault="00BD6813" w:rsidP="00BD68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современных условиях АО «</w:t>
      </w:r>
      <w:proofErr w:type="spellStart"/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особенно уделяет влияние такому элементу экономической безопасности как кадровая безопасность. Различные по масштабам, последствиям и значимости виды преступлений и </w:t>
      </w:r>
      <w:proofErr w:type="gramStart"/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</w:t>
      </w:r>
      <w:proofErr w:type="gramEnd"/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или иначе связаны с конкретными действиями сотрудников коммерческих структур.</w:t>
      </w:r>
    </w:p>
    <w:p w:rsidR="00BD6813" w:rsidRPr="00BD6813" w:rsidRDefault="00BD6813" w:rsidP="00BD6813">
      <w:pPr>
        <w:spacing w:after="0" w:line="360" w:lineRule="auto"/>
        <w:ind w:right="-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BD6813">
        <w:rPr>
          <w:rFonts w:ascii="Times New Roman" w:eastAsia="Calibri" w:hAnsi="Times New Roman" w:cs="Times New Roman"/>
          <w:sz w:val="28"/>
          <w:szCs w:val="28"/>
          <w:lang/>
        </w:rPr>
        <w:t xml:space="preserve">В связи с этим в целях повышения экономической безопасности 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АО «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Газпромбанк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»</w:t>
      </w:r>
      <w:r w:rsidRPr="00BD6813">
        <w:rPr>
          <w:rFonts w:ascii="Times New Roman" w:eastAsia="Calibri" w:hAnsi="Times New Roman" w:cs="Times New Roman"/>
          <w:sz w:val="28"/>
          <w:szCs w:val="28"/>
          <w:lang/>
        </w:rPr>
        <w:t xml:space="preserve"> уделяет большое внимание подбору и изучения кадров, проверке любой информации, указывающей на их сомнительное поведение и компрометирующие связи. При этом в обязательном порядке проводить значительную разъяснительно-воспитательную работу, систематические инструктажи и учения по правилам и мерам безопасности, регулярные, но неожиданные тестирования различных категорий сотрудников по постоянно обновляемым программам. </w:t>
      </w:r>
    </w:p>
    <w:p w:rsidR="00BD6813" w:rsidRPr="00BD6813" w:rsidRDefault="00BD6813" w:rsidP="00BD6813">
      <w:pPr>
        <w:spacing w:after="0" w:line="360" w:lineRule="auto"/>
        <w:ind w:right="-5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sz w:val="28"/>
          <w:szCs w:val="28"/>
        </w:rPr>
        <w:t xml:space="preserve">Например, в 2022 году 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АО «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Газпромбанк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»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ввело масштабную образовательную ESG-программу для сотрудников. В ходе семинара эксперты Российской экономической школы, Европейского университета в</w:t>
      </w:r>
      <w:proofErr w:type="gram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анкт Петербурге, 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Сколковского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института науки и технологий и Московской высшей школы социальных и экономических наук осветили самые важные вопросы ESG-повестки, которая становится приоритетной на государственном уровне и уже оказывает существенное влияние на бизнес в современных условиях. </w:t>
      </w:r>
    </w:p>
    <w:p w:rsidR="00BD6813" w:rsidRDefault="00BD6813" w:rsidP="00BD6813">
      <w:pPr>
        <w:spacing w:after="0" w:line="360" w:lineRule="auto"/>
        <w:ind w:right="-5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В </w:t>
      </w:r>
      <w:proofErr w:type="spellStart"/>
      <w:r w:rsidRPr="00BD68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Газпромбанке</w:t>
      </w:r>
      <w:proofErr w:type="spellEnd"/>
      <w:r w:rsidRPr="00BD68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завершилась программа «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Амбассадоры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устойчивого развития» </w:t>
      </w:r>
      <w:r w:rsidRPr="00BD6813">
        <w:rPr>
          <w:rFonts w:ascii="Times New Roman" w:eastAsia="Calibri" w:hAnsi="Times New Roman" w:cs="Times New Roman"/>
          <w:sz w:val="28"/>
          <w:szCs w:val="28"/>
          <w:lang/>
        </w:rPr>
        <w:t>–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последний этап многоуровневого обучающего проекта по направлению устойчивого развития для </w:t>
      </w:r>
      <w:r w:rsidRPr="00BD68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сотрудников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Программа была проведена в феврале – апреле 2023 года с привлечением ведущих экспертов научного и </w:t>
      </w:r>
      <w:proofErr w:type="spellStart"/>
      <w:proofErr w:type="gram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бизнес-сообщества</w:t>
      </w:r>
      <w:proofErr w:type="spellEnd"/>
      <w:proofErr w:type="gramEnd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итогам обучения был сформирован клуб из участников, успешно прошедших обучение, для более эффективного внедрения принципов устойчивого развития в каждом </w:t>
      </w:r>
      <w:proofErr w:type="spellStart"/>
      <w:proofErr w:type="gram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бизнес-направлении</w:t>
      </w:r>
      <w:proofErr w:type="spellEnd"/>
      <w:proofErr w:type="gramEnd"/>
      <w:r w:rsidRPr="00BD6813">
        <w:rPr>
          <w:rFonts w:ascii="Times New Roman" w:eastAsia="Calibri" w:hAnsi="Times New Roman" w:cs="Times New Roman"/>
          <w:color w:val="000000"/>
          <w:sz w:val="28"/>
          <w:szCs w:val="28"/>
        </w:rPr>
        <w:t>, структурном подразделении и филиале банка.</w:t>
      </w:r>
    </w:p>
    <w:p w:rsidR="006D1AC1" w:rsidRPr="00BD6813" w:rsidRDefault="006D1AC1" w:rsidP="006D1AC1">
      <w:pPr>
        <w:spacing w:after="0" w:line="360" w:lineRule="auto"/>
        <w:ind w:right="-5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Также в рамках информационной безопасности в </w:t>
      </w:r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АО «</w:t>
      </w:r>
      <w:proofErr w:type="spellStart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Газпромбанк</w:t>
      </w:r>
      <w:proofErr w:type="spellEnd"/>
      <w:r w:rsidRPr="00BD6813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ввели </w:t>
      </w:r>
      <w:r>
        <w:rPr>
          <w:rFonts w:ascii="Times New Roman" w:hAnsi="Times New Roman" w:cs="Times New Roman"/>
          <w:sz w:val="28"/>
          <w:szCs w:val="28"/>
        </w:rPr>
        <w:t xml:space="preserve">аутентификацию и </w:t>
      </w:r>
      <w:r w:rsidRPr="006D1AC1">
        <w:rPr>
          <w:rFonts w:ascii="Times New Roman" w:hAnsi="Times New Roman" w:cs="Times New Roman"/>
          <w:sz w:val="28"/>
          <w:szCs w:val="28"/>
        </w:rPr>
        <w:t xml:space="preserve">DLP-технологию (технология предотвращения потери данных). Аутентификация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D1AC1">
        <w:rPr>
          <w:rFonts w:ascii="Times New Roman" w:hAnsi="Times New Roman" w:cs="Times New Roman"/>
          <w:sz w:val="28"/>
          <w:szCs w:val="28"/>
        </w:rPr>
        <w:t>DLP-тех</w:t>
      </w:r>
      <w:r>
        <w:rPr>
          <w:rFonts w:ascii="Times New Roman" w:hAnsi="Times New Roman" w:cs="Times New Roman"/>
          <w:sz w:val="28"/>
          <w:szCs w:val="28"/>
        </w:rPr>
        <w:t xml:space="preserve">нология </w:t>
      </w:r>
      <w:r w:rsidRPr="006D1AC1">
        <w:rPr>
          <w:rFonts w:ascii="Times New Roman" w:hAnsi="Times New Roman" w:cs="Times New Roman"/>
          <w:sz w:val="28"/>
          <w:szCs w:val="28"/>
        </w:rPr>
        <w:t>подразумева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1AC1">
        <w:rPr>
          <w:rFonts w:ascii="Times New Roman" w:hAnsi="Times New Roman" w:cs="Times New Roman"/>
          <w:sz w:val="28"/>
          <w:szCs w:val="28"/>
        </w:rPr>
        <w:t xml:space="preserve">т под собой необходимость верификации личности клиента при совершении каждой банковской транзакции. Это касается и действий, совершаемых </w:t>
      </w:r>
      <w:proofErr w:type="spellStart"/>
      <w:r w:rsidRPr="006D1AC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D1AC1">
        <w:rPr>
          <w:rFonts w:ascii="Times New Roman" w:hAnsi="Times New Roman" w:cs="Times New Roman"/>
          <w:sz w:val="28"/>
          <w:szCs w:val="28"/>
        </w:rPr>
        <w:t xml:space="preserve"> (транзакции через мобильный банк или сайт), и действий, совершаемых непосредственно в отделении банка или через банкоматы и POS-терминалы. Аутентификация затрагивает и сотрудников банка, работающих с конфиденциальной информацией. Если ранее для проведения аутентификации использовался пароль, либо </w:t>
      </w:r>
      <w:proofErr w:type="spellStart"/>
      <w:r w:rsidRPr="006D1AC1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6D1AC1">
        <w:rPr>
          <w:rFonts w:ascii="Times New Roman" w:hAnsi="Times New Roman" w:cs="Times New Roman"/>
          <w:sz w:val="28"/>
          <w:szCs w:val="28"/>
        </w:rPr>
        <w:t xml:space="preserve">, то в </w:t>
      </w:r>
      <w:r w:rsidR="00F54B05">
        <w:rPr>
          <w:rFonts w:ascii="Times New Roman" w:hAnsi="Times New Roman" w:cs="Times New Roman"/>
          <w:sz w:val="28"/>
          <w:szCs w:val="28"/>
        </w:rPr>
        <w:t>2021 году АО «</w:t>
      </w:r>
      <w:proofErr w:type="spellStart"/>
      <w:r w:rsidR="00F54B05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F54B05">
        <w:rPr>
          <w:rFonts w:ascii="Times New Roman" w:hAnsi="Times New Roman" w:cs="Times New Roman"/>
          <w:sz w:val="28"/>
          <w:szCs w:val="28"/>
        </w:rPr>
        <w:t>» внедрил</w:t>
      </w:r>
      <w:r w:rsidRPr="006D1AC1">
        <w:rPr>
          <w:rFonts w:ascii="Times New Roman" w:hAnsi="Times New Roman" w:cs="Times New Roman"/>
          <w:sz w:val="28"/>
          <w:szCs w:val="28"/>
        </w:rPr>
        <w:t xml:space="preserve"> двухфакторную и многофакторную аутентификацию, а также системы биометрич</w:t>
      </w:r>
      <w:r w:rsidR="00F54B05">
        <w:rPr>
          <w:rFonts w:ascii="Times New Roman" w:hAnsi="Times New Roman" w:cs="Times New Roman"/>
          <w:sz w:val="28"/>
          <w:szCs w:val="28"/>
        </w:rPr>
        <w:t>еской идентификации личности</w:t>
      </w:r>
      <w:r w:rsidRPr="006D1AC1">
        <w:rPr>
          <w:rFonts w:ascii="Times New Roman" w:hAnsi="Times New Roman" w:cs="Times New Roman"/>
          <w:sz w:val="28"/>
          <w:szCs w:val="28"/>
        </w:rPr>
        <w:t>. Данные технологии позволяют избежать финансовых издержек, связанных с утечкой данных, а также не допустить сопутствующего риска потери репутации</w:t>
      </w:r>
      <w:r w:rsidR="00F54B05">
        <w:rPr>
          <w:rFonts w:ascii="Times New Roman" w:hAnsi="Times New Roman" w:cs="Times New Roman"/>
          <w:sz w:val="28"/>
          <w:szCs w:val="28"/>
        </w:rPr>
        <w:t xml:space="preserve">. С этой проблемой банк хорошо справляется, что нельзя сказать о массовых </w:t>
      </w:r>
      <w:r w:rsidR="00F54B05" w:rsidRPr="00F54B05">
        <w:rPr>
          <w:rFonts w:ascii="Times New Roman" w:hAnsi="Times New Roman" w:cs="Times New Roman"/>
          <w:sz w:val="28"/>
          <w:szCs w:val="28"/>
        </w:rPr>
        <w:t>Ddos-атак</w:t>
      </w:r>
      <w:r w:rsidR="00F54B05">
        <w:rPr>
          <w:rFonts w:ascii="Times New Roman" w:hAnsi="Times New Roman" w:cs="Times New Roman"/>
          <w:sz w:val="28"/>
          <w:szCs w:val="28"/>
        </w:rPr>
        <w:t xml:space="preserve">ах, которые принесли огромные убытки банку. Только потери от одной </w:t>
      </w:r>
      <w:r w:rsidR="00F54B05" w:rsidRPr="00F54B05">
        <w:rPr>
          <w:rFonts w:ascii="Times New Roman" w:hAnsi="Times New Roman" w:cs="Times New Roman"/>
          <w:sz w:val="28"/>
          <w:szCs w:val="28"/>
        </w:rPr>
        <w:t>Ddos-атак</w:t>
      </w:r>
      <w:r w:rsidR="00F54B05">
        <w:rPr>
          <w:rFonts w:ascii="Times New Roman" w:hAnsi="Times New Roman" w:cs="Times New Roman"/>
          <w:sz w:val="28"/>
          <w:szCs w:val="28"/>
        </w:rPr>
        <w:t xml:space="preserve">и составляет 35 </w:t>
      </w:r>
      <w:proofErr w:type="spellStart"/>
      <w:proofErr w:type="gramStart"/>
      <w:r w:rsidR="00F54B0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F54B0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D6813" w:rsidRPr="00BD6813" w:rsidRDefault="00BD6813" w:rsidP="00BD681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13">
        <w:rPr>
          <w:rFonts w:ascii="Times New Roman" w:eastAsia="Times New Roman" w:hAnsi="Times New Roman" w:cs="Times New Roman"/>
          <w:sz w:val="28"/>
          <w:szCs w:val="28"/>
        </w:rPr>
        <w:t>Что касается информационной безопасности, то в АО «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» действуют три контура защиты от хакерских атак. Реализацией данной защиты занимается 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кибербезопасность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 АО «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>». Также в АО «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>» IT-специалисты финансового сектора в 2024 году посетят мероприятия «Форум будущего» и «Территория безопасности-2024».</w:t>
      </w:r>
      <w:r w:rsidR="00AC5C6B">
        <w:rPr>
          <w:rFonts w:ascii="Times New Roman" w:eastAsia="Times New Roman" w:hAnsi="Times New Roman" w:cs="Times New Roman"/>
          <w:sz w:val="28"/>
          <w:szCs w:val="28"/>
        </w:rPr>
        <w:t xml:space="preserve"> Однако даже с такой защитой на </w:t>
      </w:r>
      <w:r w:rsidR="00AC5C6B" w:rsidRPr="00BD6813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="00AC5C6B"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="00AC5C6B" w:rsidRPr="00BD68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5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C6B">
        <w:rPr>
          <w:rFonts w:ascii="Times New Roman" w:hAnsi="Times New Roman" w:cs="Times New Roman"/>
          <w:sz w:val="28"/>
          <w:szCs w:val="28"/>
        </w:rPr>
        <w:t xml:space="preserve">обрушились массовые </w:t>
      </w:r>
      <w:r w:rsidR="00AC5C6B" w:rsidRPr="00F54B05">
        <w:rPr>
          <w:rFonts w:ascii="Times New Roman" w:hAnsi="Times New Roman" w:cs="Times New Roman"/>
          <w:sz w:val="28"/>
          <w:szCs w:val="28"/>
        </w:rPr>
        <w:t>Ddos-атак</w:t>
      </w:r>
      <w:r w:rsidR="00AC5C6B">
        <w:rPr>
          <w:rFonts w:ascii="Times New Roman" w:hAnsi="Times New Roman" w:cs="Times New Roman"/>
          <w:sz w:val="28"/>
          <w:szCs w:val="28"/>
        </w:rPr>
        <w:t xml:space="preserve">ах, которые принесли огромные убытки банку. Только потери от одной </w:t>
      </w:r>
      <w:r w:rsidR="00AC5C6B" w:rsidRPr="00F54B05">
        <w:rPr>
          <w:rFonts w:ascii="Times New Roman" w:hAnsi="Times New Roman" w:cs="Times New Roman"/>
          <w:sz w:val="28"/>
          <w:szCs w:val="28"/>
        </w:rPr>
        <w:t>Ddos-атак</w:t>
      </w:r>
      <w:r w:rsidR="00AC5C6B">
        <w:rPr>
          <w:rFonts w:ascii="Times New Roman" w:hAnsi="Times New Roman" w:cs="Times New Roman"/>
          <w:sz w:val="28"/>
          <w:szCs w:val="28"/>
        </w:rPr>
        <w:t xml:space="preserve">и составляет 35 </w:t>
      </w:r>
      <w:proofErr w:type="spellStart"/>
      <w:proofErr w:type="gramStart"/>
      <w:r w:rsidR="00AC5C6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AC5C6B">
        <w:rPr>
          <w:rFonts w:ascii="Times New Roman" w:hAnsi="Times New Roman" w:cs="Times New Roman"/>
          <w:sz w:val="28"/>
          <w:szCs w:val="28"/>
        </w:rPr>
        <w:t xml:space="preserve"> руб.</w:t>
      </w:r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813" w:rsidRPr="00BD6813" w:rsidRDefault="00BD6813" w:rsidP="00BD681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13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>» принимает меры для обеспечения физической безопасности своих серверных комнат и оборудования. Это включает в себя использование систем видеонаблюдения, контроля доступа и других физических мер безопасности. АО «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» регулярно создает резервные копии данных и разрабатывает планы восстановления данных в </w:t>
      </w:r>
      <w:r w:rsidRPr="00BD6813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их потери или повреждения. Это позволяет банку быстро восстановить работу систем и минимизировать потери информации. Все эти меры помогают АО «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>» обеспечить высокий уровень информационной безопасности и защитить конфиденциальность и целостность данных своих клиентов.</w:t>
      </w:r>
    </w:p>
    <w:p w:rsidR="00C832B8" w:rsidRDefault="00C832B8" w:rsidP="00BD681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подразделений банка, хотим обратить внимание на операционный центр</w:t>
      </w:r>
      <w:r w:rsidR="000B21C2">
        <w:rPr>
          <w:rFonts w:ascii="Times New Roman" w:eastAsia="Times New Roman" w:hAnsi="Times New Roman" w:cs="Times New Roman"/>
          <w:sz w:val="28"/>
          <w:szCs w:val="28"/>
        </w:rPr>
        <w:t xml:space="preserve"> (ОЦ)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занимается внутренними процессами, платежными поручениями, выплаты вкладов и других процессов посредством программного обеспечения. Для более высокой продуктивности в данном подразделении на одного сотрудника приходится два монитора с целью удобства просмотра документов на одном экране и осуществления операцию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на втором. Это приводит к ускорению выполнения задач (таблица 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1C2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68B9" w:rsidRDefault="007968B9" w:rsidP="00BD681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2B8" w:rsidRDefault="00C832B8" w:rsidP="00C832B8">
      <w:pPr>
        <w:tabs>
          <w:tab w:val="right" w:leader="do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1C2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Продуктивность от использования 2</w:t>
      </w:r>
      <w:r w:rsidR="003A78E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мониторов (составлено автором на основе данных, предоставленных банком)</w:t>
      </w:r>
    </w:p>
    <w:tbl>
      <w:tblPr>
        <w:tblStyle w:val="a7"/>
        <w:tblW w:w="0" w:type="auto"/>
        <w:tblInd w:w="108" w:type="dxa"/>
        <w:tblLook w:val="04A0"/>
      </w:tblPr>
      <w:tblGrid>
        <w:gridCol w:w="1617"/>
        <w:gridCol w:w="2674"/>
        <w:gridCol w:w="2503"/>
        <w:gridCol w:w="2646"/>
      </w:tblGrid>
      <w:tr w:rsidR="00C832B8" w:rsidRPr="00FE3B7C" w:rsidTr="00FE3B7C">
        <w:trPr>
          <w:trHeight w:val="1362"/>
        </w:trPr>
        <w:tc>
          <w:tcPr>
            <w:tcW w:w="1612" w:type="dxa"/>
            <w:vAlign w:val="center"/>
          </w:tcPr>
          <w:p w:rsidR="00C832B8" w:rsidRPr="00FE3B7C" w:rsidRDefault="00C832B8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мониторов</w:t>
            </w:r>
          </w:p>
        </w:tc>
        <w:tc>
          <w:tcPr>
            <w:tcW w:w="2674" w:type="dxa"/>
            <w:vAlign w:val="center"/>
          </w:tcPr>
          <w:p w:rsidR="00C832B8" w:rsidRPr="00FE3B7C" w:rsidRDefault="00C832B8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выполнения задач в день</w:t>
            </w:r>
            <w:r w:rsidR="000B21C2"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одним сотрудником</w:t>
            </w:r>
          </w:p>
        </w:tc>
        <w:tc>
          <w:tcPr>
            <w:tcW w:w="2503" w:type="dxa"/>
            <w:vAlign w:val="center"/>
          </w:tcPr>
          <w:p w:rsidR="00C832B8" w:rsidRPr="00FE3B7C" w:rsidRDefault="000B21C2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выполнения плана сотрудниками ОЦ</w:t>
            </w:r>
          </w:p>
        </w:tc>
        <w:tc>
          <w:tcPr>
            <w:tcW w:w="2646" w:type="dxa"/>
            <w:vAlign w:val="center"/>
          </w:tcPr>
          <w:p w:rsidR="00C832B8" w:rsidRPr="00FE3B7C" w:rsidRDefault="000B21C2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</w:tr>
      <w:tr w:rsidR="00C832B8" w:rsidRPr="00FE3B7C" w:rsidTr="00FE3B7C">
        <w:trPr>
          <w:trHeight w:val="894"/>
        </w:trPr>
        <w:tc>
          <w:tcPr>
            <w:tcW w:w="1612" w:type="dxa"/>
            <w:vAlign w:val="center"/>
          </w:tcPr>
          <w:p w:rsidR="00C832B8" w:rsidRPr="00FE3B7C" w:rsidRDefault="00C832B8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  <w:vAlign w:val="center"/>
          </w:tcPr>
          <w:p w:rsidR="00C832B8" w:rsidRPr="00FE3B7C" w:rsidRDefault="00C832B8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03" w:type="dxa"/>
            <w:vAlign w:val="center"/>
          </w:tcPr>
          <w:p w:rsidR="00C832B8" w:rsidRPr="00FE3B7C" w:rsidRDefault="000B21C2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646" w:type="dxa"/>
            <w:vAlign w:val="center"/>
          </w:tcPr>
          <w:p w:rsidR="00C832B8" w:rsidRPr="00FE3B7C" w:rsidRDefault="000B21C2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8ч (примерно 8 задач в час)</w:t>
            </w:r>
          </w:p>
        </w:tc>
      </w:tr>
      <w:tr w:rsidR="00C832B8" w:rsidRPr="00FE3B7C" w:rsidTr="00FE3B7C">
        <w:trPr>
          <w:trHeight w:val="929"/>
        </w:trPr>
        <w:tc>
          <w:tcPr>
            <w:tcW w:w="1612" w:type="dxa"/>
            <w:vAlign w:val="center"/>
          </w:tcPr>
          <w:p w:rsidR="00C832B8" w:rsidRPr="00FE3B7C" w:rsidRDefault="00C832B8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  <w:vAlign w:val="center"/>
          </w:tcPr>
          <w:p w:rsidR="00C832B8" w:rsidRPr="00FE3B7C" w:rsidRDefault="000B21C2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03" w:type="dxa"/>
            <w:vAlign w:val="center"/>
          </w:tcPr>
          <w:p w:rsidR="00C832B8" w:rsidRPr="00FE3B7C" w:rsidRDefault="000B21C2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2646" w:type="dxa"/>
            <w:vAlign w:val="center"/>
          </w:tcPr>
          <w:p w:rsidR="00C832B8" w:rsidRPr="00FE3B7C" w:rsidRDefault="000B21C2" w:rsidP="006F6FC1">
            <w:pPr>
              <w:tabs>
                <w:tab w:val="right" w:leader="dot" w:pos="935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B7C">
              <w:rPr>
                <w:rFonts w:ascii="Times New Roman" w:eastAsia="Times New Roman" w:hAnsi="Times New Roman" w:cs="Times New Roman"/>
                <w:sz w:val="28"/>
                <w:szCs w:val="28"/>
              </w:rPr>
              <w:t>9ч (почти 10 задач в час)</w:t>
            </w:r>
          </w:p>
        </w:tc>
      </w:tr>
    </w:tbl>
    <w:p w:rsidR="00C832B8" w:rsidRPr="00BD6813" w:rsidRDefault="00C832B8" w:rsidP="003A78E6">
      <w:pPr>
        <w:tabs>
          <w:tab w:val="right" w:leader="do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1C2" w:rsidRDefault="000B21C2" w:rsidP="00BD681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значения получены компанией путем наблюдения за сотрудниками, выделив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фокус-группы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 1 и 2 мониторами). Безусловно, использование двух мониторов показали свою эффективность в исполнении большего количества задач банка. 40 человек в ОЦ с одним монитором ранее выполняли 2720 банковских задач в день, после введения мероприятия </w:t>
      </w: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3040.</w:t>
      </w:r>
    </w:p>
    <w:p w:rsidR="00BD6813" w:rsidRPr="00BD6813" w:rsidRDefault="00BD6813" w:rsidP="00BD681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Итак, 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тезисно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 xml:space="preserve"> выделим действующие в АО «</w:t>
      </w:r>
      <w:proofErr w:type="spellStart"/>
      <w:r w:rsidRPr="00BD681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BD6813">
        <w:rPr>
          <w:rFonts w:ascii="Times New Roman" w:eastAsia="Times New Roman" w:hAnsi="Times New Roman" w:cs="Times New Roman"/>
          <w:sz w:val="28"/>
          <w:szCs w:val="28"/>
        </w:rPr>
        <w:t>» меры по обеспечению экономической безопасности в современных условиях:</w:t>
      </w:r>
    </w:p>
    <w:p w:rsidR="006F6FC1" w:rsidRPr="00BD6813" w:rsidRDefault="006F6FC1" w:rsidP="006F6FC1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 w:rsidRPr="00BD6813">
        <w:rPr>
          <w:rFonts w:ascii="Times New Roman" w:eastAsia="Times New Roman" w:hAnsi="Times New Roman" w:cs="Times New Roman"/>
          <w:sz w:val="28"/>
          <w:szCs w:val="28"/>
        </w:rPr>
        <w:t>еры против санкций: обновление процентов в программе по вкладам</w:t>
      </w:r>
    </w:p>
    <w:p w:rsidR="006F6FC1" w:rsidRPr="002F234F" w:rsidRDefault="006F6FC1" w:rsidP="006F6F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кредитование: лицензионные 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скоринговые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программы.</w:t>
      </w:r>
    </w:p>
    <w:p w:rsidR="00BD6813" w:rsidRPr="002F234F" w:rsidRDefault="00BD6813" w:rsidP="00BD681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кадровая безопасность: масштабная образовательная ESG-программа для сотрудников; программа «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Амбассадоры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устойчивого развития»;</w:t>
      </w:r>
    </w:p>
    <w:p w:rsidR="00BD6813" w:rsidRPr="002F234F" w:rsidRDefault="00BD6813" w:rsidP="00BD6813">
      <w:pPr>
        <w:tabs>
          <w:tab w:val="right" w:leader="do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информационная безопасность: три контура защиты от хакерских атак; мероприятия «Форум будущего» и «Территория безопасности-2024»; использование систем видеонаблюдения, контроля доступа и других физических мер безопасности;</w:t>
      </w:r>
    </w:p>
    <w:p w:rsidR="006F6FC1" w:rsidRDefault="006F6FC1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Изучив возможные риски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угрозы, опираясь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анализ банковской практики и инструментария управления ими в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 дальнейшем мы сможем разработать мероприятия по повышению уровня экономической безопасности.</w:t>
      </w:r>
    </w:p>
    <w:p w:rsidR="00FE3B7C" w:rsidRDefault="00FE3B7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3B7C" w:rsidRDefault="00FE3B7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116D" w:rsidRDefault="00F7116D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ADC" w:rsidRDefault="00886ADC" w:rsidP="006F6F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3EFF" w:rsidRDefault="005C3EFF" w:rsidP="005C3E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3C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EFF">
        <w:rPr>
          <w:rFonts w:ascii="Times New Roman" w:hAnsi="Times New Roman" w:cs="Times New Roman"/>
          <w:b/>
          <w:sz w:val="28"/>
          <w:szCs w:val="28"/>
        </w:rPr>
        <w:t>Направления укрепления экономической безопасности АО «</w:t>
      </w:r>
      <w:proofErr w:type="spellStart"/>
      <w:r w:rsidRPr="005C3EFF">
        <w:rPr>
          <w:rFonts w:ascii="Times New Roman" w:hAnsi="Times New Roman" w:cs="Times New Roman"/>
          <w:b/>
          <w:sz w:val="28"/>
          <w:szCs w:val="28"/>
        </w:rPr>
        <w:t>Газпромбанк</w:t>
      </w:r>
      <w:proofErr w:type="spellEnd"/>
      <w:r w:rsidRPr="005C3EFF">
        <w:rPr>
          <w:rFonts w:ascii="Times New Roman" w:hAnsi="Times New Roman" w:cs="Times New Roman"/>
          <w:b/>
          <w:sz w:val="28"/>
          <w:szCs w:val="28"/>
        </w:rPr>
        <w:t>» в условиях финансовой нестабильности</w:t>
      </w:r>
    </w:p>
    <w:p w:rsidR="005C3EFF" w:rsidRPr="003C2EF7" w:rsidRDefault="005C3EFF" w:rsidP="005C3E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FF" w:rsidRPr="003C2EF7" w:rsidRDefault="005C3EFF" w:rsidP="005C3E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2EF7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Pr="005C3EFF">
        <w:rPr>
          <w:rFonts w:ascii="Times New Roman" w:hAnsi="Times New Roman" w:cs="Times New Roman"/>
          <w:b/>
          <w:sz w:val="28"/>
          <w:szCs w:val="28"/>
        </w:rPr>
        <w:t>Основные мероприятия по нейтрализации угроз и повышению уровня экономической безопасности АО «</w:t>
      </w:r>
      <w:proofErr w:type="spellStart"/>
      <w:r w:rsidRPr="005C3EFF">
        <w:rPr>
          <w:rFonts w:ascii="Times New Roman" w:hAnsi="Times New Roman" w:cs="Times New Roman"/>
          <w:b/>
          <w:sz w:val="28"/>
          <w:szCs w:val="28"/>
        </w:rPr>
        <w:t>Газпромбанк</w:t>
      </w:r>
      <w:proofErr w:type="spellEnd"/>
      <w:r w:rsidRPr="005C3EFF">
        <w:rPr>
          <w:rFonts w:ascii="Times New Roman" w:hAnsi="Times New Roman" w:cs="Times New Roman"/>
          <w:b/>
          <w:sz w:val="28"/>
          <w:szCs w:val="28"/>
        </w:rPr>
        <w:t>»</w:t>
      </w:r>
    </w:p>
    <w:p w:rsidR="005C3EFF" w:rsidRPr="003C2EF7" w:rsidRDefault="005C3EFF" w:rsidP="005C3EF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D3" w:rsidRDefault="00084BD3" w:rsidP="00084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нами</w:t>
      </w:r>
      <w:r w:rsidRPr="001F662D">
        <w:rPr>
          <w:rFonts w:ascii="Times New Roman" w:hAnsi="Times New Roman" w:cs="Times New Roman"/>
          <w:sz w:val="28"/>
          <w:szCs w:val="28"/>
        </w:rPr>
        <w:t xml:space="preserve"> был проведен анализ кредитного портфеля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662D">
        <w:rPr>
          <w:rFonts w:ascii="Times New Roman" w:hAnsi="Times New Roman" w:cs="Times New Roman"/>
          <w:sz w:val="28"/>
          <w:szCs w:val="28"/>
        </w:rPr>
        <w:t xml:space="preserve">, благодаря которому были выявлены основные проблемы коммерческого банка: </w:t>
      </w:r>
    </w:p>
    <w:p w:rsidR="00084BD3" w:rsidRDefault="00084BD3" w:rsidP="00084BD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662D">
        <w:rPr>
          <w:rFonts w:ascii="Times New Roman" w:hAnsi="Times New Roman" w:cs="Times New Roman"/>
          <w:sz w:val="28"/>
          <w:szCs w:val="28"/>
        </w:rPr>
        <w:t xml:space="preserve">1. За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F662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произошло снижение совокупной просроченной задолженности, однако динамика совсем незначительная (снижение на 2% по отношению к 2021 году).</w:t>
      </w:r>
    </w:p>
    <w:p w:rsidR="00084BD3" w:rsidRDefault="00084BD3" w:rsidP="00084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2D">
        <w:rPr>
          <w:rFonts w:ascii="Times New Roman" w:hAnsi="Times New Roman" w:cs="Times New Roman"/>
          <w:sz w:val="28"/>
          <w:szCs w:val="28"/>
        </w:rPr>
        <w:t xml:space="preserve">2. </w:t>
      </w:r>
      <w:r w:rsidR="006B3275">
        <w:rPr>
          <w:rFonts w:ascii="Times New Roman" w:hAnsi="Times New Roman" w:cs="Times New Roman"/>
          <w:sz w:val="28"/>
          <w:szCs w:val="28"/>
        </w:rPr>
        <w:t>Спад</w:t>
      </w:r>
      <w:r w:rsidRPr="001F662D">
        <w:rPr>
          <w:rFonts w:ascii="Times New Roman" w:hAnsi="Times New Roman" w:cs="Times New Roman"/>
          <w:sz w:val="28"/>
          <w:szCs w:val="28"/>
        </w:rPr>
        <w:t xml:space="preserve"> </w:t>
      </w:r>
      <w:r w:rsidR="006B3275">
        <w:rPr>
          <w:rFonts w:ascii="Times New Roman" w:hAnsi="Times New Roman" w:cs="Times New Roman"/>
          <w:sz w:val="28"/>
          <w:szCs w:val="28"/>
        </w:rPr>
        <w:t>по нормативам</w:t>
      </w:r>
      <w:r w:rsidRPr="001F662D">
        <w:rPr>
          <w:rFonts w:ascii="Times New Roman" w:hAnsi="Times New Roman" w:cs="Times New Roman"/>
          <w:sz w:val="28"/>
          <w:szCs w:val="28"/>
        </w:rPr>
        <w:t xml:space="preserve"> </w:t>
      </w:r>
      <w:r w:rsidR="006B3275">
        <w:rPr>
          <w:rFonts w:ascii="Times New Roman" w:hAnsi="Times New Roman" w:cs="Times New Roman"/>
          <w:sz w:val="28"/>
          <w:szCs w:val="28"/>
        </w:rPr>
        <w:t>ЦБР</w:t>
      </w:r>
      <w:r w:rsidRPr="001F662D">
        <w:rPr>
          <w:rFonts w:ascii="Times New Roman" w:hAnsi="Times New Roman" w:cs="Times New Roman"/>
          <w:sz w:val="28"/>
          <w:szCs w:val="28"/>
        </w:rPr>
        <w:t xml:space="preserve"> мгновенной</w:t>
      </w:r>
      <w:r>
        <w:rPr>
          <w:rFonts w:ascii="Times New Roman" w:hAnsi="Times New Roman" w:cs="Times New Roman"/>
          <w:sz w:val="28"/>
          <w:szCs w:val="28"/>
        </w:rPr>
        <w:t xml:space="preserve"> ликвидности</w:t>
      </w:r>
      <w:r w:rsidRPr="001F66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неизменность </w:t>
      </w:r>
      <w:r w:rsidRPr="001F662D">
        <w:rPr>
          <w:rFonts w:ascii="Times New Roman" w:hAnsi="Times New Roman" w:cs="Times New Roman"/>
          <w:sz w:val="28"/>
          <w:szCs w:val="28"/>
        </w:rPr>
        <w:t>текущей</w:t>
      </w:r>
      <w:r>
        <w:rPr>
          <w:rFonts w:ascii="Times New Roman" w:hAnsi="Times New Roman" w:cs="Times New Roman"/>
          <w:sz w:val="28"/>
          <w:szCs w:val="28"/>
        </w:rPr>
        <w:t xml:space="preserve"> (не повышается и не снижается) </w:t>
      </w:r>
      <w:r w:rsidRPr="001F662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незначительной мере снижение</w:t>
      </w:r>
      <w:r w:rsidRPr="001F662D">
        <w:rPr>
          <w:rFonts w:ascii="Times New Roman" w:hAnsi="Times New Roman" w:cs="Times New Roman"/>
          <w:sz w:val="28"/>
          <w:szCs w:val="28"/>
        </w:rPr>
        <w:t xml:space="preserve"> долгосрочной ликвидности.</w:t>
      </w:r>
    </w:p>
    <w:p w:rsidR="00084BD3" w:rsidRDefault="00084BD3" w:rsidP="00084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2D">
        <w:rPr>
          <w:rFonts w:ascii="Times New Roman" w:hAnsi="Times New Roman" w:cs="Times New Roman"/>
          <w:sz w:val="28"/>
          <w:szCs w:val="28"/>
        </w:rPr>
        <w:t xml:space="preserve">Данные тенденции свидетельствуют о том, что увеличивается показатель активов </w:t>
      </w:r>
      <w:proofErr w:type="gramStart"/>
      <w:r w:rsidRPr="001F662D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Pr="001F662D">
        <w:rPr>
          <w:rFonts w:ascii="Times New Roman" w:hAnsi="Times New Roman" w:cs="Times New Roman"/>
          <w:sz w:val="28"/>
          <w:szCs w:val="28"/>
        </w:rPr>
        <w:t xml:space="preserve"> за счет увеличения доли выданных кредитов физическим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2D">
        <w:rPr>
          <w:rFonts w:ascii="Times New Roman" w:hAnsi="Times New Roman" w:cs="Times New Roman"/>
          <w:sz w:val="28"/>
          <w:szCs w:val="28"/>
        </w:rPr>
        <w:t>юридическим лицам, что в свою очередь увеличивает долю просроченной задолженности в кредитном портфеле.</w:t>
      </w:r>
    </w:p>
    <w:p w:rsidR="00084BD3" w:rsidRDefault="00084BD3" w:rsidP="00084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2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требуется разработать меры по </w:t>
      </w:r>
      <w:r w:rsidRPr="00FE3B7C">
        <w:rPr>
          <w:rFonts w:ascii="Times New Roman" w:hAnsi="Times New Roman" w:cs="Times New Roman"/>
          <w:sz w:val="28"/>
          <w:szCs w:val="28"/>
        </w:rPr>
        <w:t xml:space="preserve">снижению просроченной задолженности в </w:t>
      </w:r>
      <w:r w:rsidRPr="00FE3B7C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FE3B7C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FE3B7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3B7C">
        <w:rPr>
          <w:rFonts w:ascii="Times New Roman" w:hAnsi="Times New Roman" w:cs="Times New Roman"/>
          <w:sz w:val="28"/>
          <w:szCs w:val="28"/>
        </w:rPr>
        <w:t>.</w:t>
      </w:r>
      <w:r w:rsidRPr="001F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1F662D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662D">
        <w:rPr>
          <w:rFonts w:ascii="Times New Roman" w:hAnsi="Times New Roman" w:cs="Times New Roman"/>
          <w:sz w:val="28"/>
          <w:szCs w:val="28"/>
        </w:rPr>
        <w:t xml:space="preserve"> поспособствовать к увеличению прибыли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662D">
        <w:rPr>
          <w:rFonts w:ascii="Times New Roman" w:hAnsi="Times New Roman" w:cs="Times New Roman"/>
          <w:sz w:val="28"/>
          <w:szCs w:val="28"/>
        </w:rPr>
        <w:t>, а также изменение показателей оценки качества кредитного портфеля, что существенно повысит его качество.</w:t>
      </w:r>
    </w:p>
    <w:p w:rsidR="00084BD3" w:rsidRDefault="00084BD3" w:rsidP="00084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CF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04CF">
        <w:rPr>
          <w:rFonts w:ascii="Times New Roman" w:hAnsi="Times New Roman" w:cs="Times New Roman"/>
          <w:sz w:val="28"/>
          <w:szCs w:val="28"/>
        </w:rPr>
        <w:t xml:space="preserve"> по совершенствованию качества кредитного портфеля коммерческого банка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104CF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0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8104CF">
        <w:rPr>
          <w:rFonts w:ascii="Times New Roman" w:hAnsi="Times New Roman" w:cs="Times New Roman"/>
          <w:sz w:val="28"/>
          <w:szCs w:val="28"/>
        </w:rPr>
        <w:t>. Использование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04C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4CF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104CF">
        <w:rPr>
          <w:rFonts w:ascii="Times New Roman" w:hAnsi="Times New Roman" w:cs="Times New Roman"/>
          <w:sz w:val="28"/>
          <w:szCs w:val="28"/>
        </w:rPr>
        <w:t xml:space="preserve"> позволит повысить качество кредитного портфеля.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BD3" w:rsidRDefault="006B3275" w:rsidP="00084B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84BD3" w:rsidRPr="00810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улучшения</w:t>
      </w:r>
      <w:r w:rsidR="00084BD3" w:rsidRPr="008104CF">
        <w:rPr>
          <w:rFonts w:ascii="Times New Roman" w:hAnsi="Times New Roman" w:cs="Times New Roman"/>
          <w:sz w:val="28"/>
          <w:szCs w:val="28"/>
        </w:rPr>
        <w:t xml:space="preserve"> качества кредитного портфеля </w:t>
      </w:r>
      <w:r>
        <w:rPr>
          <w:rFonts w:ascii="Times New Roman" w:hAnsi="Times New Roman" w:cs="Times New Roman"/>
          <w:sz w:val="28"/>
          <w:szCs w:val="28"/>
        </w:rPr>
        <w:t>следует корректировать</w:t>
      </w:r>
      <w:r w:rsidR="00084BD3" w:rsidRPr="008104C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4BD3" w:rsidRPr="008104CF">
        <w:rPr>
          <w:rFonts w:ascii="Times New Roman" w:hAnsi="Times New Roman" w:cs="Times New Roman"/>
          <w:sz w:val="28"/>
          <w:szCs w:val="28"/>
        </w:rPr>
        <w:t xml:space="preserve"> страхования кредита. </w:t>
      </w: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084BD3" w:rsidRPr="008104CF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084BD3" w:rsidRPr="008104CF"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страхования предполагает только добровольное страхование жизни заемщика, что включает в себя длительный больничный, инвалидность, а также уходит из жизни. </w:t>
      </w:r>
    </w:p>
    <w:p w:rsidR="00084BD3" w:rsidRPr="002F234F" w:rsidRDefault="00084BD3" w:rsidP="00084B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CF">
        <w:rPr>
          <w:rFonts w:ascii="Times New Roman" w:hAnsi="Times New Roman" w:cs="Times New Roman"/>
          <w:sz w:val="28"/>
          <w:szCs w:val="28"/>
        </w:rPr>
        <w:t xml:space="preserve">Необходимо расширить спектр страхового возмещения.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B6A1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запустить программу, которая позволяет в рамках одного полиса получить комплексную страховую защиту сразу от нескольких рисков. По данной программе по одному полису можно застраховать жильё, деньги на картах и счетах, обеспечить себя и близких защитой от несчастного случая либо выбрать ту комбинацию этих рисков, которая актуальна для каждого конкретного клиента. </w:t>
      </w:r>
    </w:p>
    <w:p w:rsidR="00FD2419" w:rsidRPr="002F234F" w:rsidRDefault="00084BD3" w:rsidP="00084BD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клиенты самостоятельно смогут выбрать наполнение полиса, включая только те риски, которые для них наиболее актуальны. Это удобно и выгодно: при выборе двух рисков клиентам предоставляется выгода 10%, трёх – 15%.</w:t>
      </w:r>
    </w:p>
    <w:p w:rsidR="00BC2BAE" w:rsidRPr="002F234F" w:rsidRDefault="00BC2BAE" w:rsidP="00C832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B6A1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ходе анализа мер и инструментария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обеспечению экономической безопасности, мы выяснили, что АО «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Газпромбанк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пользуется системой 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скоринга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проверка документов кредитора и по необходимости 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обзвон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близких, а также проверка работы. Рассмотрим одно из направлений</w:t>
      </w:r>
      <w:r w:rsidR="001B6A1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совершенствования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системы 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скоринга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АО «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Газпромбанк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r w:rsidR="001B6A1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обращение в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бюро кредитных историй заемщиков. Для этого сотрудники делают запрос в Бюро кредитных историй, где собирается информация от всех кредитных организаций, в том числе и в сфере 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микрокредитования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у заемщика слишком много действующих кредитов, или он проявил себя, как неплательщик в прошлом, банк с большой вероятностью откажет в оформлении нового займа.</w:t>
      </w:r>
      <w:r w:rsidR="001B6A1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2E84" w:rsidRPr="00FE3B7C" w:rsidRDefault="001B6A1D" w:rsidP="001A2E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показывает анализ в последний год </w:t>
      </w:r>
      <w:r w:rsidR="001A2E84" w:rsidRPr="00FE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должников, не предпринимающих никаких действий по погашению просроченной задолженности, имеет увеличивающуюся тенденцию (рисунок </w:t>
      </w:r>
      <w:r w:rsidR="0051777B" w:rsidRPr="00FE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A2E84" w:rsidRPr="00FE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A2E84" w:rsidRPr="0054521C" w:rsidRDefault="001A2E84" w:rsidP="001A2E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A2E84" w:rsidRDefault="001A2E84" w:rsidP="00164F5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21C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lastRenderedPageBreak/>
        <w:drawing>
          <wp:inline distT="0" distB="0" distL="0" distR="0">
            <wp:extent cx="3097530" cy="222293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777B" w:rsidRDefault="0051777B" w:rsidP="005177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84" w:rsidRDefault="001A2E84" w:rsidP="007968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</w:t>
      </w:r>
      <w:r w:rsidR="0051777B" w:rsidRPr="004C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Динамика роста доли неплательщиков в 2022-2023 гг</w:t>
      </w:r>
      <w:r w:rsidR="003A78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(составлено автором на основе данных, предоставленных сотрудниками </w:t>
      </w:r>
      <w:r w:rsidRPr="00135853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13585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13585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51924" w:rsidRPr="001A2E84" w:rsidRDefault="00151924" w:rsidP="001A2E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F56" w:rsidRPr="002F234F" w:rsidRDefault="001B6A1D" w:rsidP="00164F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снижения проблемной ссудной задолженности в АО «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Газпромбанк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практикуется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текущей мониторинг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кредитоспособности заемщиков,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опрос должников. Как </w:t>
      </w:r>
      <w:proofErr w:type="gram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показывает практика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большая часть заемщиков из числа опрошенных все же погашают</w:t>
      </w:r>
      <w:proofErr w:type="gramEnd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просрочки в довольно короткие сроки (рисунок </w:t>
      </w:r>
      <w:r w:rsidR="0051777B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64F56" w:rsidRDefault="00164F56" w:rsidP="00164F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F56" w:rsidRDefault="00164F56" w:rsidP="00164F5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4770" cy="204951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777B" w:rsidRDefault="0051777B" w:rsidP="00164F5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F56" w:rsidRPr="00164F56" w:rsidRDefault="00164F56" w:rsidP="007968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51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Доля </w:t>
      </w:r>
      <w:r w:rsidRPr="00164F5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добросовестных заемщиков по срокам задержки оплаты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2023 г (составлено автором на основе данных, предоставленных сотрудниками </w:t>
      </w:r>
      <w:r w:rsidRPr="00135853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135853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13585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86ADC" w:rsidRDefault="00886ADC" w:rsidP="0051777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F56" w:rsidRPr="00164F56" w:rsidRDefault="00164F56" w:rsidP="0051777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рисунка </w:t>
      </w:r>
      <w:r w:rsidR="00FB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видим, что </w:t>
      </w:r>
      <w:r w:rsidRPr="001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40% заемщиков задерживали платежи на срок до пяти дней, 30% </w:t>
      </w: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пяти до 15 дней, 17% </w:t>
      </w: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 до 30 дней, 4% </w:t>
      </w: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6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одного до двух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яцев и 8% </w:t>
      </w:r>
      <w:r w:rsidRPr="00BD68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свыше двух месяцев.</w:t>
      </w:r>
    </w:p>
    <w:p w:rsidR="00BC2BAE" w:rsidRPr="002F234F" w:rsidRDefault="00BC2BAE" w:rsidP="00164F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система достаточно эффективна, но мы предлагаем ее немного усовершенствовать, введя дополнительные задачи. </w:t>
      </w:r>
      <w:r w:rsidR="001B6A1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ледует проводить обязательную проверку данных о кредиторе на следующих сайтах: </w:t>
      </w:r>
      <w:proofErr w:type="spellStart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.л</w:t>
      </w:r>
      <w:proofErr w:type="gramEnd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юди</w:t>
      </w:r>
      <w:proofErr w:type="spellEnd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vk.com</w:t>
      </w:r>
      <w:proofErr w:type="spellEnd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ok.ru</w:t>
      </w:r>
      <w:proofErr w:type="spellEnd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crimerussia.ru</w:t>
      </w:r>
      <w:proofErr w:type="spellEnd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dp.ru</w:t>
      </w:r>
      <w:proofErr w:type="spellEnd"/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позволит определить род деятельности заемщика</w:t>
      </w:r>
      <w:r w:rsidR="001B6A1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обнаружи</w:t>
      </w:r>
      <w:r w:rsidR="00AC13D1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вает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информац</w:t>
      </w:r>
      <w:r w:rsidR="00103F14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о </w:t>
      </w:r>
      <w:r w:rsidR="001B6A1D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клиенте</w:t>
      </w:r>
      <w:r w:rsidR="00103F14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не позво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 одобрить кредит, то всю информацию о</w:t>
      </w:r>
      <w:r w:rsidR="00AC13D1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клиентах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заносить в «черный список». </w:t>
      </w:r>
      <w:r w:rsidR="00AC13D1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</w:t>
      </w:r>
      <w:r w:rsidR="00103F14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</w:t>
      </w:r>
      <w:r w:rsidR="00AC13D1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103F14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3D1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обращениях</w:t>
      </w:r>
      <w:r w:rsidR="00103F14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получение креди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AC13D1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сократит время работы сотрудников</w:t>
      </w:r>
      <w:r w:rsidR="00AC13D1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экспертизе заявки</w:t>
      </w:r>
      <w:r w:rsidR="00164F5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853" w:rsidRPr="002F234F" w:rsidRDefault="00AC13D1" w:rsidP="00C832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Важным условием </w:t>
      </w:r>
      <w:proofErr w:type="gram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задачи обеспечения экономической безопасности банка</w:t>
      </w:r>
      <w:proofErr w:type="gram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мотивация персонала. В ходе анализа</w:t>
      </w:r>
      <w:r w:rsidR="00135853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выяснили, что </w:t>
      </w:r>
      <w:r w:rsidR="00135853" w:rsidRPr="00FE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среднемесячная заработная плата сотрудников </w:t>
      </w:r>
      <w:r w:rsidR="00135853" w:rsidRPr="00FE3B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="00135853" w:rsidRPr="00FE3B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135853" w:rsidRPr="00FE3B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Краснодарского края ниже, чем средняя заработная плата сотрудников коммерческих организаций в целом в Краснодарском крае. Это может привести к оттоку ценных работников компании. Чтобы усилить</w:t>
      </w:r>
      <w:r w:rsidR="00135853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кадровую безопасность АО «</w:t>
      </w:r>
      <w:proofErr w:type="spellStart"/>
      <w:r w:rsidR="00135853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135853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мы предлагаем ввести программу поощрения сотрудников. Она будет заключаться в том, что при положительном результате работы (выполнение или перевыполнение плана) сотруднику будет выплачиваться дополнительно к</w:t>
      </w:r>
      <w:r w:rsidR="003F6C3B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имеющейся</w:t>
      </w:r>
      <w:r w:rsidR="00135853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системе премирования 30% переменной части годового вознаграждения, разделенное на три части. </w:t>
      </w:r>
      <w:r w:rsidR="00C832B8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при отрицательных результатах, работник будет лишаться от всех трех выплат за год. Поэтому, в его интересах вкладываться в работу банка и выполнять все поставленные задачи, то есть работать эффективно.</w:t>
      </w:r>
    </w:p>
    <w:p w:rsidR="00135853" w:rsidRPr="002F234F" w:rsidRDefault="00135853" w:rsidP="00C832B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 день в АО «</w:t>
      </w:r>
      <w:proofErr w:type="spellStart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действует премиальная система стимулирования 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KPI</w:t>
      </w:r>
      <w:r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сотрудникам выдаются денежные бонусы за </w:t>
      </w:r>
      <w:r w:rsidR="00C832B8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инновационные идеи, которые вопло</w:t>
      </w:r>
      <w:r w:rsidR="00C832B8">
        <w:rPr>
          <w:rFonts w:ascii="Times New Roman" w:eastAsia="Times New Roman" w:hAnsi="Times New Roman" w:cs="Times New Roman"/>
          <w:sz w:val="28"/>
          <w:szCs w:val="28"/>
        </w:rPr>
        <w:t xml:space="preserve">тились в работе банка. Но </w:t>
      </w:r>
      <w:r w:rsidR="00C832B8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здесь стоит подчеркнуть, что по статистике банка, лишь 16% сотрудников участвуют в данном материальном стимулировании, получая свои «награды».</w:t>
      </w:r>
    </w:p>
    <w:p w:rsidR="00C117DA" w:rsidRPr="002F234F" w:rsidRDefault="00AC13D1" w:rsidP="00C117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Анализ показал, </w:t>
      </w:r>
      <w:proofErr w:type="gramStart"/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несмотря на применяемые банком меры информационная безопасность остается актуальным направлением. В этой связи ее</w:t>
      </w:r>
      <w:r w:rsidR="00AC5C6B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необходимо постоянно 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укреплять</w:t>
      </w:r>
      <w:r w:rsidR="00AC5C6B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За последнее время появилось немало новых продуктов, которые 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целесообразно</w:t>
      </w:r>
      <w:r w:rsidR="00AC5C6B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внедрить в информационную деятельность банка. Например, мы считаем, что АО «</w:t>
      </w:r>
      <w:proofErr w:type="spellStart"/>
      <w:r w:rsidR="00AC5C6B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AC5C6B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следует внедрить NGFW программу, так как она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как показывает практика,</w:t>
      </w:r>
      <w:r w:rsidR="00AC5C6B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способна заблокировать самое продвинутое вредоносное программное обеспечение. В АО «</w:t>
      </w:r>
      <w:proofErr w:type="spellStart"/>
      <w:r w:rsidR="00AC5C6B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AC5C6B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уже используется DLP-технология, однако </w:t>
      </w:r>
      <w:r w:rsidR="00C117DA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ней есть свой весомый недостаток: фактическое отсутствие возможностей блокировки утечек и сложность внедрения/использования </w:t>
      </w:r>
      <w:r w:rsidR="00C117DA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117DA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19 % и 18 % соответственно; также данная система характеризуется неудобным механизмом расследования инцидентов и анализа данных.</w:t>
      </w:r>
    </w:p>
    <w:p w:rsidR="00C117DA" w:rsidRPr="002F234F" w:rsidRDefault="00C117DA" w:rsidP="00C117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Множество критериев в NGFW используется для фильтрации пакетов, включая IP-адрес назначения, порты, протоколы и даже содержимое пакета, основываясь на сигнатурном анализе или эвристических алгоритмах. NGFW также использует системы обнаружения и предотвращения вторжений (IDS/IPS), которые </w:t>
      </w:r>
      <w:proofErr w:type="spellStart"/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мониторят</w:t>
      </w:r>
      <w:proofErr w:type="spellEnd"/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сетевой трафик на предмет аномалий и атак на банковскую сферу, таких как сканирование портов, подделка IP-адресов и другие попытки взлома. IDS/IPS сигнализируют о потенциальных угрозах и могут принимать меры для предотвращения атак. На сегодняшний день такое программное обеспечение на рынке является самым продвинутым. Отдавая приоритет информационной безопасности, АО «</w:t>
      </w:r>
      <w:proofErr w:type="spellStart"/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может укрепить доверие, защитить активы клиентов и поддержать свою роль основы финансовой стабильности в эпоху цифровых технологий. </w:t>
      </w:r>
    </w:p>
    <w:p w:rsidR="00C117DA" w:rsidRPr="002F234F" w:rsidRDefault="00C117DA" w:rsidP="00C117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Внедрением будут заниматься ведущие специалисты в области 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-технологий, они же сотрудники банка, а также участие примут победители </w:t>
      </w:r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конкурсов по обеспечению информационной безопасности АО «</w:t>
      </w:r>
      <w:proofErr w:type="spellStart"/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«АйТиСэйв2023».</w:t>
      </w:r>
    </w:p>
    <w:p w:rsidR="00BC2BAE" w:rsidRDefault="00BC2BAE" w:rsidP="00BC2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одной </w:t>
      </w:r>
      <w:r w:rsidR="0002009C"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>важной, по нашему мнению, мерой может быть</w:t>
      </w:r>
      <w:r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 АО «</w:t>
      </w:r>
      <w:proofErr w:type="spellStart"/>
      <w:r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</w:t>
      </w:r>
      <w:proofErr w:type="spellStart"/>
      <w:r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>человекоцентричную</w:t>
      </w:r>
      <w:proofErr w:type="spellEnd"/>
      <w:r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бизнес-модель и разви</w:t>
      </w:r>
      <w:r w:rsidR="0002009C"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</w:t>
      </w:r>
      <w:r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</w:t>
      </w:r>
      <w:r w:rsidR="0002009C"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</w:t>
      </w:r>
      <w:r w:rsidR="0002009C"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(ИИ) «нового поколения». Это позволит принимать подавляющее большинство решений в автоматическом режиме на основе ИИ, оставив для ручных операций </w:t>
      </w:r>
      <w:r w:rsidRPr="00BC2BAE">
        <w:rPr>
          <w:rFonts w:ascii="Times New Roman" w:hAnsi="Times New Roman" w:cs="Times New Roman"/>
          <w:sz w:val="28"/>
          <w:szCs w:val="28"/>
        </w:rPr>
        <w:t xml:space="preserve">самые сложные, </w:t>
      </w:r>
      <w:proofErr w:type="spellStart"/>
      <w:r w:rsidRPr="00BC2BAE">
        <w:rPr>
          <w:rFonts w:ascii="Times New Roman" w:hAnsi="Times New Roman" w:cs="Times New Roman"/>
          <w:sz w:val="28"/>
          <w:szCs w:val="28"/>
        </w:rPr>
        <w:t>тяжелоконструируемые</w:t>
      </w:r>
      <w:proofErr w:type="spellEnd"/>
      <w:r w:rsidRPr="00BC2BAE">
        <w:rPr>
          <w:rFonts w:ascii="Times New Roman" w:hAnsi="Times New Roman" w:cs="Times New Roman"/>
          <w:sz w:val="28"/>
          <w:szCs w:val="28"/>
        </w:rPr>
        <w:t xml:space="preserve"> продукты и удовлетворение самых непростых нужд человека.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BC2BAE">
        <w:rPr>
          <w:rFonts w:ascii="Times New Roman" w:hAnsi="Times New Roman" w:cs="Times New Roman"/>
          <w:sz w:val="28"/>
          <w:szCs w:val="28"/>
        </w:rPr>
        <w:t xml:space="preserve">, предлагаем перевести «большинство решений в </w:t>
      </w:r>
      <w:proofErr w:type="spellStart"/>
      <w:r w:rsidRPr="00BC2BA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C2BAE">
        <w:rPr>
          <w:rFonts w:ascii="Times New Roman" w:hAnsi="Times New Roman" w:cs="Times New Roman"/>
          <w:sz w:val="28"/>
          <w:szCs w:val="28"/>
        </w:rPr>
        <w:t>», созда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2BAE">
        <w:rPr>
          <w:rFonts w:ascii="Times New Roman" w:hAnsi="Times New Roman" w:cs="Times New Roman"/>
          <w:sz w:val="28"/>
          <w:szCs w:val="28"/>
        </w:rPr>
        <w:t xml:space="preserve"> умного AI-помощника для клиентов.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AE">
        <w:rPr>
          <w:rFonts w:ascii="Times New Roman" w:hAnsi="Times New Roman" w:cs="Times New Roman"/>
          <w:sz w:val="28"/>
          <w:szCs w:val="28"/>
        </w:rPr>
        <w:t>Каждому человеку будет предоставлена возможность использовать преимущества ИИ, и наше внимание будет сосредоточено на создании безопасного, подконтрольного и доверенного 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AE">
        <w:rPr>
          <w:rFonts w:ascii="Times New Roman" w:hAnsi="Times New Roman" w:cs="Times New Roman"/>
          <w:sz w:val="28"/>
          <w:szCs w:val="28"/>
        </w:rPr>
        <w:t xml:space="preserve">Инвестиции банка в развитие искусственного интеллекта составят 300 </w:t>
      </w:r>
      <w:proofErr w:type="spellStart"/>
      <w:proofErr w:type="gramStart"/>
      <w:r w:rsidRPr="00BC2BA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BC2BAE">
        <w:rPr>
          <w:rFonts w:ascii="Times New Roman" w:hAnsi="Times New Roman" w:cs="Times New Roman"/>
          <w:sz w:val="28"/>
          <w:szCs w:val="28"/>
        </w:rPr>
        <w:t xml:space="preserve"> руб. В затраты включены работа разработчиков, внедрение программы, ее обслуживание.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AE">
        <w:rPr>
          <w:rFonts w:ascii="Times New Roman" w:hAnsi="Times New Roman" w:cs="Times New Roman"/>
          <w:sz w:val="28"/>
          <w:szCs w:val="28"/>
        </w:rPr>
        <w:t>Отдача от них будет значимой для финансового результата, поскольку за 2021–2023 в бизнесе, где уже используется ИИ, прибыль выросла в среднем на 20-30%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09C" w:rsidRPr="002F234F" w:rsidRDefault="0002009C" w:rsidP="003F6C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целью повышения уровня экономической безопасности </w:t>
      </w:r>
      <w:bookmarkStart w:id="18" w:name="_Hlk156135790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bookmarkEnd w:id="18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нами было рекомендован ряд мер, которые, по нашему мнению, будут эффективны и обеспечат рост уровня безопасности банка.</w:t>
      </w:r>
    </w:p>
    <w:p w:rsidR="00B015F7" w:rsidRDefault="00B015F7" w:rsidP="003F6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5F7" w:rsidRPr="003C2EF7" w:rsidRDefault="00B015F7" w:rsidP="00B015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2E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15F7">
        <w:rPr>
          <w:rFonts w:ascii="Times New Roman" w:hAnsi="Times New Roman" w:cs="Times New Roman"/>
          <w:b/>
          <w:sz w:val="28"/>
          <w:szCs w:val="28"/>
        </w:rPr>
        <w:tab/>
        <w:t xml:space="preserve">Оценка </w:t>
      </w:r>
      <w:bookmarkStart w:id="19" w:name="_Hlk156135822"/>
      <w:r w:rsidRPr="00B015F7">
        <w:rPr>
          <w:rFonts w:ascii="Times New Roman" w:hAnsi="Times New Roman" w:cs="Times New Roman"/>
          <w:b/>
          <w:sz w:val="28"/>
          <w:szCs w:val="28"/>
        </w:rPr>
        <w:t>экономической эффективности реализации предлагаемых мероприятий</w:t>
      </w:r>
      <w:bookmarkEnd w:id="19"/>
    </w:p>
    <w:p w:rsidR="00B015F7" w:rsidRPr="003C2EF7" w:rsidRDefault="00B015F7" w:rsidP="00B015F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09C" w:rsidRPr="002F234F" w:rsidRDefault="0002009C" w:rsidP="00B015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В предыдущем параграфе нами</w:t>
      </w:r>
      <w:r w:rsidRPr="002F234F">
        <w:rPr>
          <w:color w:val="000000" w:themeColor="text1"/>
        </w:rPr>
        <w:t xml:space="preserve">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предложены меры по укреплению экономической безопасности банка АО «</w:t>
      </w:r>
      <w:proofErr w:type="spellStart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». Проведем оценку</w:t>
      </w:r>
      <w:r w:rsidRPr="002F234F">
        <w:rPr>
          <w:color w:val="000000" w:themeColor="text1"/>
        </w:rPr>
        <w:t xml:space="preserve">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эффективности реализации предлагаемых мероприятий.</w:t>
      </w:r>
    </w:p>
    <w:p w:rsidR="00B015F7" w:rsidRPr="002F234F" w:rsidRDefault="00B015F7" w:rsidP="00B015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 из предложенных </w:t>
      </w:r>
      <w:r w:rsidR="0002009C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является запуск программы </w:t>
      </w:r>
      <w:bookmarkStart w:id="20" w:name="_Hlk156135930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 кредита</w:t>
      </w:r>
      <w:bookmarkEnd w:id="20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позволяет в рамках одного полиса получить комплексную страховую за</w:t>
      </w:r>
      <w:r w:rsidR="006331B8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щиту сразу от нескольких рисков (таблица </w:t>
      </w:r>
      <w:r w:rsidR="0051777B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331B8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331B8" w:rsidRPr="002F234F" w:rsidRDefault="006331B8" w:rsidP="00633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1B8" w:rsidRPr="002F234F" w:rsidRDefault="0051777B" w:rsidP="00123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Таблица 24</w:t>
      </w:r>
      <w:r w:rsidR="006331B8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1B8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2353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="0002009C" w:rsidRPr="002F234F">
        <w:rPr>
          <w:color w:val="000000" w:themeColor="text1"/>
        </w:rPr>
        <w:t xml:space="preserve"> </w:t>
      </w:r>
      <w:r w:rsidR="0002009C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страхования кредита</w:t>
      </w:r>
      <w:r w:rsidR="0012353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клиентов </w:t>
      </w:r>
      <w:r w:rsidR="00123536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="00123536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123536" w:rsidRPr="002F23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123536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(составлено автором)</w:t>
      </w:r>
    </w:p>
    <w:tbl>
      <w:tblPr>
        <w:tblStyle w:val="a7"/>
        <w:tblW w:w="0" w:type="auto"/>
        <w:tblInd w:w="108" w:type="dxa"/>
        <w:tblLook w:val="04A0"/>
      </w:tblPr>
      <w:tblGrid>
        <w:gridCol w:w="1793"/>
        <w:gridCol w:w="1901"/>
        <w:gridCol w:w="1901"/>
        <w:gridCol w:w="1901"/>
        <w:gridCol w:w="1903"/>
      </w:tblGrid>
      <w:tr w:rsidR="00123536" w:rsidRPr="002F234F" w:rsidTr="009A4028">
        <w:trPr>
          <w:trHeight w:val="701"/>
        </w:trPr>
        <w:tc>
          <w:tcPr>
            <w:tcW w:w="1793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Выгода</w:t>
            </w:r>
          </w:p>
        </w:tc>
        <w:tc>
          <w:tcPr>
            <w:tcW w:w="1901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выгоды</w:t>
            </w:r>
          </w:p>
        </w:tc>
        <w:tc>
          <w:tcPr>
            <w:tcW w:w="1901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Оплата, в месяц</w:t>
            </w:r>
          </w:p>
        </w:tc>
        <w:tc>
          <w:tcPr>
            <w:tcW w:w="1901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Возможность оплаты</w:t>
            </w:r>
          </w:p>
        </w:tc>
        <w:tc>
          <w:tcPr>
            <w:tcW w:w="1903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Выгода для банка, в год</w:t>
            </w:r>
          </w:p>
        </w:tc>
      </w:tr>
      <w:tr w:rsidR="00123536" w:rsidRPr="002F234F" w:rsidTr="009A4028">
        <w:trPr>
          <w:trHeight w:val="1089"/>
        </w:trPr>
        <w:tc>
          <w:tcPr>
            <w:tcW w:w="1793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выборе двух рисков</w:t>
            </w:r>
          </w:p>
        </w:tc>
        <w:tc>
          <w:tcPr>
            <w:tcW w:w="1901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901" w:type="dxa"/>
            <w:vMerge w:val="restart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1C42" w:rsidRPr="002F234F" w:rsidRDefault="003B1C42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900 руб.</w:t>
            </w:r>
          </w:p>
        </w:tc>
        <w:tc>
          <w:tcPr>
            <w:tcW w:w="1901" w:type="dxa"/>
            <w:vMerge w:val="restart"/>
            <w:vAlign w:val="center"/>
          </w:tcPr>
          <w:p w:rsidR="003B1C42" w:rsidRPr="002F234F" w:rsidRDefault="003B1C42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 в месяц, раз в 3 месяца или раз в год</w:t>
            </w:r>
          </w:p>
        </w:tc>
        <w:tc>
          <w:tcPr>
            <w:tcW w:w="1903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10800 руб. с одного человека</w:t>
            </w:r>
          </w:p>
        </w:tc>
      </w:tr>
      <w:tr w:rsidR="00123536" w:rsidRPr="002F234F" w:rsidTr="009A4028">
        <w:trPr>
          <w:trHeight w:val="1066"/>
        </w:trPr>
        <w:tc>
          <w:tcPr>
            <w:tcW w:w="1793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выборе трех рисков</w:t>
            </w:r>
          </w:p>
        </w:tc>
        <w:tc>
          <w:tcPr>
            <w:tcW w:w="1901" w:type="dxa"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1901" w:type="dxa"/>
            <w:vMerge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</w:tcPr>
          <w:p w:rsidR="00123536" w:rsidRPr="002F234F" w:rsidRDefault="00123536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123536" w:rsidRPr="002F234F" w:rsidRDefault="003B1C42" w:rsidP="00020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3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27 000 </w:t>
            </w:r>
            <w:proofErr w:type="spellStart"/>
            <w:proofErr w:type="gramStart"/>
            <w:r w:rsidRPr="002F23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млн</w:t>
            </w:r>
            <w:proofErr w:type="spellEnd"/>
            <w:proofErr w:type="gramEnd"/>
            <w:r w:rsidRPr="002F23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руб. с 30 </w:t>
            </w:r>
            <w:proofErr w:type="spellStart"/>
            <w:r w:rsidRPr="002F23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млн</w:t>
            </w:r>
            <w:proofErr w:type="spellEnd"/>
            <w:r w:rsidRPr="002F23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клиентов</w:t>
            </w:r>
          </w:p>
        </w:tc>
      </w:tr>
    </w:tbl>
    <w:p w:rsidR="00123536" w:rsidRPr="002F234F" w:rsidRDefault="00123536" w:rsidP="00FB49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C3B" w:rsidRDefault="00123536" w:rsidP="00BC2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единому полису страхователь освобождается от необходимости отслеживать срок действия трёх полисов, огра</w:t>
      </w:r>
      <w:r w:rsidRPr="00123536">
        <w:rPr>
          <w:rFonts w:ascii="Times New Roman" w:hAnsi="Times New Roman" w:cs="Times New Roman"/>
          <w:sz w:val="28"/>
          <w:szCs w:val="28"/>
        </w:rPr>
        <w:t>ничиваясь одним</w:t>
      </w:r>
      <w:r>
        <w:rPr>
          <w:rFonts w:ascii="Times New Roman" w:hAnsi="Times New Roman" w:cs="Times New Roman"/>
          <w:sz w:val="28"/>
          <w:szCs w:val="28"/>
        </w:rPr>
        <w:t xml:space="preserve"> (риски: страхование жилья; страхование денег на картах и счетах; обеспечение себя </w:t>
      </w:r>
      <w:r w:rsidRPr="00123536">
        <w:rPr>
          <w:rFonts w:ascii="Times New Roman" w:hAnsi="Times New Roman" w:cs="Times New Roman"/>
          <w:sz w:val="28"/>
          <w:szCs w:val="28"/>
        </w:rPr>
        <w:t>и близких защитой от несчастного случая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3536">
        <w:rPr>
          <w:rFonts w:ascii="Times New Roman" w:hAnsi="Times New Roman" w:cs="Times New Roman"/>
          <w:sz w:val="28"/>
          <w:szCs w:val="28"/>
        </w:rPr>
        <w:t xml:space="preserve">. Пока оплачивать можно раз в год, но в ближайшее время появится возможность его оформления по подписке с ежемесячной или ежеквартальной оплатой. Оформить полис и выбрать его наполнение клиенты могут в любом офисе </w:t>
      </w:r>
      <w:proofErr w:type="spellStart"/>
      <w:r w:rsidRPr="00123536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Pr="00123536">
        <w:rPr>
          <w:rFonts w:ascii="Times New Roman" w:hAnsi="Times New Roman" w:cs="Times New Roman"/>
          <w:sz w:val="28"/>
          <w:szCs w:val="28"/>
        </w:rPr>
        <w:t>.</w:t>
      </w:r>
    </w:p>
    <w:p w:rsidR="0051777B" w:rsidRDefault="00123536" w:rsidP="00BC2B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C5C6B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AC5C6B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AC5C6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данная программа будет приносить хороший доход, поскольку страховку, как правило, оформляют на длительный срок, то есть от года. С одного клиента минимальная выгода для банка за год составит 10800 руб.</w:t>
      </w:r>
      <w:r w:rsidR="003B1C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3536" w:rsidRDefault="003B1C42" w:rsidP="00BC2B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2023 год количество клиентов </w:t>
      </w:r>
      <w:r w:rsidRPr="00AC5C6B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AC5C6B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AC5C6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60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человек. Предположим, что только половина из них воспользуется предлагаемой выгодной программой. Доход банка составит 27 000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886ADC" w:rsidRDefault="003B1C42" w:rsidP="00886A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Теперь сравним показатели </w:t>
      </w:r>
      <w:r w:rsidRPr="003B1C42">
        <w:rPr>
          <w:rFonts w:ascii="Times New Roman" w:eastAsia="Calibri" w:hAnsi="Times New Roman" w:cs="Times New Roman"/>
          <w:sz w:val="28"/>
          <w:szCs w:val="28"/>
        </w:rPr>
        <w:t xml:space="preserve">кредитного портфеля </w:t>
      </w:r>
      <w:r w:rsidRPr="00AC5C6B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AC5C6B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AC5C6B">
        <w:rPr>
          <w:rFonts w:ascii="Times New Roman" w:eastAsia="Calibri" w:hAnsi="Times New Roman" w:cs="Times New Roman"/>
          <w:sz w:val="28"/>
          <w:szCs w:val="28"/>
        </w:rPr>
        <w:t>»</w:t>
      </w:r>
      <w:r w:rsidRPr="003B1C42">
        <w:rPr>
          <w:rFonts w:ascii="Times New Roman" w:eastAsia="Calibri" w:hAnsi="Times New Roman" w:cs="Times New Roman"/>
          <w:sz w:val="28"/>
          <w:szCs w:val="28"/>
        </w:rPr>
        <w:t xml:space="preserve"> до и после применения мероприяти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B1C42">
        <w:rPr>
          <w:rFonts w:ascii="Times New Roman" w:eastAsia="Calibri" w:hAnsi="Times New Roman" w:cs="Times New Roman"/>
          <w:sz w:val="28"/>
          <w:szCs w:val="28"/>
        </w:rPr>
        <w:t xml:space="preserve"> по повышению качества кредитно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портфеля коммерческого банка, показатели </w:t>
      </w:r>
      <w:r w:rsidRPr="003B1C42">
        <w:rPr>
          <w:rFonts w:ascii="Times New Roman" w:eastAsia="Calibri" w:hAnsi="Times New Roman" w:cs="Times New Roman"/>
          <w:sz w:val="28"/>
          <w:szCs w:val="28"/>
        </w:rPr>
        <w:t xml:space="preserve">представлены в таблице </w:t>
      </w:r>
      <w:r w:rsidR="0051777B">
        <w:rPr>
          <w:rFonts w:ascii="Times New Roman" w:eastAsia="Calibri" w:hAnsi="Times New Roman" w:cs="Times New Roman"/>
          <w:sz w:val="28"/>
          <w:szCs w:val="28"/>
        </w:rPr>
        <w:t>25</w:t>
      </w:r>
      <w:r w:rsidRPr="003B1C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49DB" w:rsidRDefault="00FB49DB" w:rsidP="00886A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C42" w:rsidRDefault="003B1C42" w:rsidP="003B1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51777B">
        <w:rPr>
          <w:rFonts w:ascii="Times New Roman" w:eastAsia="Calibri" w:hAnsi="Times New Roman" w:cs="Times New Roman"/>
          <w:sz w:val="28"/>
          <w:szCs w:val="28"/>
        </w:rPr>
        <w:t>25</w:t>
      </w:r>
      <w:r w:rsidR="009A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028" w:rsidRPr="002F2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9A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1C42">
        <w:rPr>
          <w:rFonts w:ascii="Times New Roman" w:eastAsia="Calibri" w:hAnsi="Times New Roman" w:cs="Times New Roman"/>
          <w:sz w:val="28"/>
          <w:szCs w:val="28"/>
        </w:rPr>
        <w:t xml:space="preserve">Экономический эффект после применения мероприятий по повышению качества кредитного портфеля </w:t>
      </w:r>
      <w:r w:rsidRPr="00AC5C6B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AC5C6B">
        <w:rPr>
          <w:rFonts w:ascii="Times New Roman" w:eastAsia="Calibri" w:hAnsi="Times New Roman" w:cs="Times New Roman"/>
          <w:sz w:val="28"/>
          <w:szCs w:val="28"/>
        </w:rPr>
        <w:t>Газпромбанк</w:t>
      </w:r>
      <w:proofErr w:type="spellEnd"/>
      <w:r w:rsidRPr="00AC5C6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основе данных за 2022</w:t>
      </w:r>
      <w:r w:rsidRPr="003B1C4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(составлено автором)</w:t>
      </w:r>
    </w:p>
    <w:tbl>
      <w:tblPr>
        <w:tblStyle w:val="a7"/>
        <w:tblW w:w="9487" w:type="dxa"/>
        <w:tblInd w:w="108" w:type="dxa"/>
        <w:tblLayout w:type="fixed"/>
        <w:tblLook w:val="04A0"/>
      </w:tblPr>
      <w:tblGrid>
        <w:gridCol w:w="4003"/>
        <w:gridCol w:w="1286"/>
        <w:gridCol w:w="2287"/>
        <w:gridCol w:w="1911"/>
      </w:tblGrid>
      <w:tr w:rsidR="003B1C42" w:rsidRPr="00785B6A" w:rsidTr="00886ADC">
        <w:trPr>
          <w:trHeight w:val="983"/>
        </w:trPr>
        <w:tc>
          <w:tcPr>
            <w:tcW w:w="4003" w:type="dxa"/>
          </w:tcPr>
          <w:p w:rsidR="003B1C42" w:rsidRPr="00785B6A" w:rsidRDefault="003B1C42" w:rsidP="007546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86" w:type="dxa"/>
          </w:tcPr>
          <w:p w:rsidR="003B1C42" w:rsidRPr="00785B6A" w:rsidRDefault="003B1C42" w:rsidP="007546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2022, </w:t>
            </w:r>
            <w:proofErr w:type="spellStart"/>
            <w:proofErr w:type="gramStart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87" w:type="dxa"/>
          </w:tcPr>
          <w:p w:rsidR="001F669A" w:rsidRPr="001F669A" w:rsidRDefault="001F669A" w:rsidP="001F66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применения </w:t>
            </w:r>
          </w:p>
          <w:p w:rsidR="003B1C42" w:rsidRPr="00785B6A" w:rsidRDefault="00903CDE" w:rsidP="001F66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8" w:type="dxa"/>
          </w:tcPr>
          <w:p w:rsidR="003B1C42" w:rsidRPr="00785B6A" w:rsidRDefault="003B1C42" w:rsidP="001F66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Относительное изме</w:t>
            </w:r>
            <w:r w:rsidR="001F669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нение, %</w:t>
            </w:r>
          </w:p>
        </w:tc>
      </w:tr>
      <w:tr w:rsidR="003B1C42" w:rsidRPr="00785B6A" w:rsidTr="00886ADC">
        <w:trPr>
          <w:trHeight w:val="167"/>
        </w:trPr>
        <w:tc>
          <w:tcPr>
            <w:tcW w:w="9487" w:type="dxa"/>
            <w:gridSpan w:val="4"/>
          </w:tcPr>
          <w:p w:rsidR="003B1C42" w:rsidRPr="00785B6A" w:rsidRDefault="003B1C42" w:rsidP="003B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кредитный портфель</w:t>
            </w:r>
          </w:p>
        </w:tc>
      </w:tr>
      <w:tr w:rsidR="00A940D0" w:rsidRPr="00785B6A" w:rsidTr="00886ADC">
        <w:trPr>
          <w:trHeight w:val="228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банкам</w:t>
            </w:r>
          </w:p>
        </w:tc>
        <w:tc>
          <w:tcPr>
            <w:tcW w:w="1286" w:type="dxa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8560462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9844531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юридическим лицам</w:t>
            </w:r>
          </w:p>
        </w:tc>
        <w:tc>
          <w:tcPr>
            <w:tcW w:w="1286" w:type="dxa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20964031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22012233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A940D0" w:rsidRPr="00785B6A" w:rsidTr="00886ADC">
        <w:trPr>
          <w:trHeight w:val="228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ИП</w:t>
            </w:r>
          </w:p>
        </w:tc>
        <w:tc>
          <w:tcPr>
            <w:tcW w:w="1286" w:type="dxa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224896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247386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940D0" w:rsidRPr="00785B6A" w:rsidTr="00886ADC">
        <w:trPr>
          <w:trHeight w:val="502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физическим лицам</w:t>
            </w:r>
          </w:p>
        </w:tc>
        <w:tc>
          <w:tcPr>
            <w:tcW w:w="1286" w:type="dxa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9865472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11838566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кредитный портфель</w:t>
            </w:r>
          </w:p>
        </w:tc>
        <w:tc>
          <w:tcPr>
            <w:tcW w:w="1286" w:type="dxa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39614861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43942716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3B1C42" w:rsidRPr="00785B6A" w:rsidTr="00886ADC">
        <w:trPr>
          <w:trHeight w:val="479"/>
        </w:trPr>
        <w:tc>
          <w:tcPr>
            <w:tcW w:w="9487" w:type="dxa"/>
            <w:gridSpan w:val="4"/>
          </w:tcPr>
          <w:p w:rsidR="003B1C42" w:rsidRPr="00785B6A" w:rsidRDefault="001F669A" w:rsidP="001F6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Совокупная просроченная задолженность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банкам</w:t>
            </w:r>
          </w:p>
        </w:tc>
        <w:tc>
          <w:tcPr>
            <w:tcW w:w="1286" w:type="dxa"/>
            <w:vAlign w:val="center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100698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133928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юридическим лицам</w:t>
            </w:r>
          </w:p>
        </w:tc>
        <w:tc>
          <w:tcPr>
            <w:tcW w:w="1286" w:type="dxa"/>
            <w:vAlign w:val="center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1321589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1281941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ИП</w:t>
            </w:r>
          </w:p>
        </w:tc>
        <w:tc>
          <w:tcPr>
            <w:tcW w:w="1286" w:type="dxa"/>
            <w:vAlign w:val="center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62861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6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физическим лицам</w:t>
            </w:r>
          </w:p>
        </w:tc>
        <w:tc>
          <w:tcPr>
            <w:tcW w:w="1286" w:type="dxa"/>
            <w:vAlign w:val="center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835964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827604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785B6A" w:rsidRDefault="00A940D0" w:rsidP="00A940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Совокупная просроченная задолженность</w:t>
            </w:r>
          </w:p>
        </w:tc>
        <w:tc>
          <w:tcPr>
            <w:tcW w:w="1286" w:type="dxa"/>
          </w:tcPr>
          <w:p w:rsidR="00A940D0" w:rsidRPr="00785B6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2321112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2293134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BA3B2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A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04675" w:rsidRPr="00785B6A" w:rsidTr="00886ADC">
        <w:trPr>
          <w:trHeight w:val="479"/>
        </w:trPr>
        <w:tc>
          <w:tcPr>
            <w:tcW w:w="9487" w:type="dxa"/>
            <w:gridSpan w:val="4"/>
          </w:tcPr>
          <w:p w:rsidR="00D04675" w:rsidRPr="00785B6A" w:rsidRDefault="00D04675" w:rsidP="00D04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Совокупные резервы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D04675" w:rsidRDefault="00A940D0" w:rsidP="00A9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75">
              <w:rPr>
                <w:rFonts w:ascii="Times New Roman" w:hAnsi="Times New Roman" w:cs="Times New Roman"/>
                <w:sz w:val="24"/>
                <w:szCs w:val="24"/>
              </w:rPr>
              <w:t>Кредиты банкам</w:t>
            </w:r>
          </w:p>
        </w:tc>
        <w:tc>
          <w:tcPr>
            <w:tcW w:w="1286" w:type="dxa"/>
          </w:tcPr>
          <w:p w:rsidR="00A940D0" w:rsidRPr="001F669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182366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344672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D04675" w:rsidRDefault="00A940D0" w:rsidP="00A9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75">
              <w:rPr>
                <w:rFonts w:ascii="Times New Roman" w:hAnsi="Times New Roman" w:cs="Times New Roman"/>
                <w:sz w:val="24"/>
                <w:szCs w:val="24"/>
              </w:rPr>
              <w:t>Кредиты юридическим лицам</w:t>
            </w:r>
          </w:p>
        </w:tc>
        <w:tc>
          <w:tcPr>
            <w:tcW w:w="1286" w:type="dxa"/>
          </w:tcPr>
          <w:p w:rsidR="00A940D0" w:rsidRPr="001F669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2654125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2707208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D04675" w:rsidRDefault="00A940D0" w:rsidP="00A9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75">
              <w:rPr>
                <w:rFonts w:ascii="Times New Roman" w:hAnsi="Times New Roman" w:cs="Times New Roman"/>
                <w:sz w:val="24"/>
                <w:szCs w:val="24"/>
              </w:rPr>
              <w:t>Кредиты ИП</w:t>
            </w:r>
          </w:p>
        </w:tc>
        <w:tc>
          <w:tcPr>
            <w:tcW w:w="1286" w:type="dxa"/>
          </w:tcPr>
          <w:p w:rsidR="00A940D0" w:rsidRPr="001F669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67851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61066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D04675" w:rsidRDefault="00A940D0" w:rsidP="00A9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75">
              <w:rPr>
                <w:rFonts w:ascii="Times New Roman" w:hAnsi="Times New Roman" w:cs="Times New Roman"/>
                <w:sz w:val="24"/>
                <w:szCs w:val="24"/>
              </w:rPr>
              <w:t>Кредиты физическим лицам</w:t>
            </w:r>
          </w:p>
        </w:tc>
        <w:tc>
          <w:tcPr>
            <w:tcW w:w="1286" w:type="dxa"/>
          </w:tcPr>
          <w:p w:rsidR="00A940D0" w:rsidRPr="001F669A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931586</w:t>
            </w:r>
          </w:p>
        </w:tc>
        <w:tc>
          <w:tcPr>
            <w:tcW w:w="2287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922270</w:t>
            </w:r>
          </w:p>
        </w:tc>
        <w:tc>
          <w:tcPr>
            <w:tcW w:w="1908" w:type="dxa"/>
            <w:vAlign w:val="center"/>
          </w:tcPr>
          <w:p w:rsidR="00A940D0" w:rsidRP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A940D0" w:rsidRPr="00785B6A" w:rsidTr="00886ADC">
        <w:trPr>
          <w:trHeight w:val="479"/>
        </w:trPr>
        <w:tc>
          <w:tcPr>
            <w:tcW w:w="4003" w:type="dxa"/>
          </w:tcPr>
          <w:p w:rsidR="00A940D0" w:rsidRPr="00D04675" w:rsidRDefault="00A940D0" w:rsidP="00A9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Совокупные резервы</w:t>
            </w:r>
          </w:p>
        </w:tc>
        <w:tc>
          <w:tcPr>
            <w:tcW w:w="1286" w:type="dxa"/>
          </w:tcPr>
          <w:p w:rsidR="00A940D0" w:rsidRDefault="00A940D0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3835928</w:t>
            </w:r>
          </w:p>
        </w:tc>
        <w:tc>
          <w:tcPr>
            <w:tcW w:w="2287" w:type="dxa"/>
            <w:vAlign w:val="center"/>
          </w:tcPr>
          <w:p w:rsidR="00A940D0" w:rsidRPr="00A940D0" w:rsidRDefault="00BA3B25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40D0" w:rsidRPr="00A94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035215</w:t>
            </w:r>
          </w:p>
        </w:tc>
        <w:tc>
          <w:tcPr>
            <w:tcW w:w="1908" w:type="dxa"/>
            <w:vAlign w:val="center"/>
          </w:tcPr>
          <w:p w:rsidR="00A940D0" w:rsidRPr="00A940D0" w:rsidRDefault="00BA3B25" w:rsidP="00A940D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95E82" w:rsidRPr="00785B6A" w:rsidTr="00886ADC">
        <w:trPr>
          <w:trHeight w:val="479"/>
        </w:trPr>
        <w:tc>
          <w:tcPr>
            <w:tcW w:w="4003" w:type="dxa"/>
          </w:tcPr>
          <w:p w:rsidR="00395E82" w:rsidRPr="00D04675" w:rsidRDefault="00395E82" w:rsidP="0039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резервов в общей</w:t>
            </w:r>
            <w:r w:rsidRPr="00D0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675">
              <w:rPr>
                <w:rFonts w:ascii="Times New Roman" w:hAnsi="Times New Roman" w:cs="Times New Roman"/>
                <w:sz w:val="24"/>
                <w:szCs w:val="24"/>
              </w:rPr>
              <w:t>ссудной</w:t>
            </w:r>
            <w:proofErr w:type="gramEnd"/>
            <w:r w:rsidRPr="00D0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E82" w:rsidRPr="00D04675" w:rsidRDefault="00395E82" w:rsidP="0039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75">
              <w:rPr>
                <w:rFonts w:ascii="Times New Roman" w:hAnsi="Times New Roman" w:cs="Times New Roman"/>
                <w:sz w:val="24"/>
                <w:szCs w:val="24"/>
              </w:rPr>
              <w:t>задолженности, %</w:t>
            </w:r>
          </w:p>
        </w:tc>
        <w:tc>
          <w:tcPr>
            <w:tcW w:w="1286" w:type="dxa"/>
          </w:tcPr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287" w:type="dxa"/>
          </w:tcPr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908" w:type="dxa"/>
          </w:tcPr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E82" w:rsidRPr="00785B6A" w:rsidTr="00886ADC">
        <w:trPr>
          <w:trHeight w:val="479"/>
        </w:trPr>
        <w:tc>
          <w:tcPr>
            <w:tcW w:w="4003" w:type="dxa"/>
          </w:tcPr>
          <w:p w:rsidR="00395E82" w:rsidRDefault="00395E82" w:rsidP="00395E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просроченной задолженности в кредитном портфеле, %</w:t>
            </w:r>
          </w:p>
        </w:tc>
        <w:tc>
          <w:tcPr>
            <w:tcW w:w="1286" w:type="dxa"/>
            <w:vAlign w:val="center"/>
          </w:tcPr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87" w:type="dxa"/>
            <w:vAlign w:val="center"/>
          </w:tcPr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08" w:type="dxa"/>
          </w:tcPr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95E82" w:rsidRPr="00785B6A" w:rsidTr="00886ADC">
        <w:trPr>
          <w:trHeight w:val="479"/>
        </w:trPr>
        <w:tc>
          <w:tcPr>
            <w:tcW w:w="4003" w:type="dxa"/>
          </w:tcPr>
          <w:p w:rsidR="00395E82" w:rsidRPr="001F669A" w:rsidRDefault="00395E82" w:rsidP="00395E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совокупных резервов к совокупной просроченной задолженности</w:t>
            </w:r>
          </w:p>
        </w:tc>
        <w:tc>
          <w:tcPr>
            <w:tcW w:w="1286" w:type="dxa"/>
          </w:tcPr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87" w:type="dxa"/>
          </w:tcPr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08" w:type="dxa"/>
          </w:tcPr>
          <w:p w:rsidR="00395E82" w:rsidRPr="00395E82" w:rsidRDefault="00395E82" w:rsidP="00395E8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</w:tbl>
    <w:p w:rsidR="003B1C42" w:rsidRDefault="003B1C42" w:rsidP="00BC2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675" w:rsidRDefault="00903CDE" w:rsidP="00BC2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значения после применения мероприятия прогнозные, поскольку обычно страховые или банковские компании,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добавляя нововведение в </w:t>
      </w:r>
      <w:r w:rsidR="00BA3B25">
        <w:rPr>
          <w:rFonts w:ascii="Times New Roman" w:hAnsi="Times New Roman" w:cs="Times New Roman"/>
          <w:sz w:val="28"/>
          <w:szCs w:val="28"/>
        </w:rPr>
        <w:t>сферу страхования клиента получают</w:t>
      </w:r>
      <w:proofErr w:type="gramEnd"/>
      <w:r w:rsidR="00BA3B25">
        <w:rPr>
          <w:rFonts w:ascii="Times New Roman" w:hAnsi="Times New Roman" w:cs="Times New Roman"/>
          <w:sz w:val="28"/>
          <w:szCs w:val="28"/>
        </w:rPr>
        <w:t xml:space="preserve"> в среднем такую тенденцию, положительно характеризующую эффективность мероприятия, данные изм</w:t>
      </w:r>
      <w:r w:rsidR="00FB49DB">
        <w:rPr>
          <w:rFonts w:ascii="Times New Roman" w:hAnsi="Times New Roman" w:cs="Times New Roman"/>
          <w:sz w:val="28"/>
          <w:szCs w:val="28"/>
        </w:rPr>
        <w:t>енения представлены в таблице 25</w:t>
      </w:r>
      <w:r w:rsidR="00BA3B25">
        <w:rPr>
          <w:rFonts w:ascii="Times New Roman" w:hAnsi="Times New Roman" w:cs="Times New Roman"/>
          <w:sz w:val="28"/>
          <w:szCs w:val="28"/>
        </w:rPr>
        <w:t>.</w:t>
      </w:r>
    </w:p>
    <w:p w:rsidR="00BA3B25" w:rsidRDefault="006B3275" w:rsidP="006B3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таблицу 25, следует отметить, чт</w:t>
      </w:r>
      <w:r w:rsidR="00FB49DB">
        <w:rPr>
          <w:rFonts w:ascii="Times New Roman" w:hAnsi="Times New Roman" w:cs="Times New Roman"/>
          <w:sz w:val="28"/>
          <w:szCs w:val="28"/>
        </w:rPr>
        <w:t>о воспользовавшись</w:t>
      </w:r>
      <w:r>
        <w:rPr>
          <w:rFonts w:ascii="Times New Roman" w:hAnsi="Times New Roman" w:cs="Times New Roman"/>
          <w:sz w:val="28"/>
          <w:szCs w:val="28"/>
        </w:rPr>
        <w:t xml:space="preserve"> предложенным мероприятием, качество кредитного портфеля будет повышаться </w:t>
      </w:r>
      <w:r w:rsidR="00BA3B25">
        <w:rPr>
          <w:rFonts w:ascii="Times New Roman" w:hAnsi="Times New Roman" w:cs="Times New Roman"/>
          <w:sz w:val="28"/>
          <w:szCs w:val="28"/>
        </w:rPr>
        <w:t>на 11</w:t>
      </w:r>
      <w:r w:rsidR="00BA3B25" w:rsidRPr="00BA3B25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Это даст возможность</w:t>
      </w:r>
      <w:r w:rsidR="00BA3B25" w:rsidRPr="00BA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="00BA3B25" w:rsidRPr="00BA3B25">
        <w:rPr>
          <w:rFonts w:ascii="Times New Roman" w:hAnsi="Times New Roman" w:cs="Times New Roman"/>
          <w:sz w:val="28"/>
          <w:szCs w:val="28"/>
        </w:rPr>
        <w:t xml:space="preserve"> сумму просроченной задолженности на </w:t>
      </w:r>
      <w:r w:rsidR="00BA3B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="00BA3B25" w:rsidRPr="00BA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3B25" w:rsidRPr="00BA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снизить</w:t>
      </w:r>
      <w:r w:rsidR="00BA3B25" w:rsidRPr="00BA3B25">
        <w:rPr>
          <w:rFonts w:ascii="Times New Roman" w:hAnsi="Times New Roman" w:cs="Times New Roman"/>
          <w:sz w:val="28"/>
          <w:szCs w:val="28"/>
        </w:rPr>
        <w:t xml:space="preserve"> формирование резерва на возможные потери по ссудам.</w:t>
      </w:r>
    </w:p>
    <w:p w:rsidR="00BA3B25" w:rsidRDefault="00BA3B25" w:rsidP="00BC2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B25">
        <w:rPr>
          <w:rFonts w:ascii="Times New Roman" w:hAnsi="Times New Roman" w:cs="Times New Roman"/>
          <w:sz w:val="28"/>
          <w:szCs w:val="28"/>
        </w:rPr>
        <w:t>Показатель «</w:t>
      </w:r>
      <w:r w:rsidRPr="00BA3B25">
        <w:rPr>
          <w:rFonts w:ascii="Times New Roman" w:hAnsi="Times New Roman" w:cs="Times New Roman"/>
          <w:color w:val="000000"/>
          <w:sz w:val="28"/>
          <w:szCs w:val="28"/>
        </w:rPr>
        <w:t>Совокупные резервы»</w:t>
      </w:r>
      <w:r w:rsidRPr="00BA3B25">
        <w:rPr>
          <w:rFonts w:ascii="Times New Roman" w:hAnsi="Times New Roman" w:cs="Times New Roman"/>
          <w:sz w:val="28"/>
          <w:szCs w:val="28"/>
        </w:rPr>
        <w:t xml:space="preserve"> уменьшится на </w:t>
      </w:r>
      <w:r>
        <w:rPr>
          <w:rFonts w:ascii="Times New Roman" w:hAnsi="Times New Roman" w:cs="Times New Roman"/>
          <w:sz w:val="28"/>
          <w:szCs w:val="28"/>
        </w:rPr>
        <w:t>10%</w:t>
      </w:r>
      <w:r w:rsidRPr="00BA3B25">
        <w:rPr>
          <w:rFonts w:ascii="Times New Roman" w:hAnsi="Times New Roman" w:cs="Times New Roman"/>
          <w:sz w:val="28"/>
          <w:szCs w:val="28"/>
        </w:rPr>
        <w:t xml:space="preserve">. </w:t>
      </w:r>
      <w:r w:rsidR="006B3275">
        <w:rPr>
          <w:rFonts w:ascii="Times New Roman" w:hAnsi="Times New Roman" w:cs="Times New Roman"/>
          <w:sz w:val="28"/>
          <w:szCs w:val="28"/>
        </w:rPr>
        <w:t>Эта</w:t>
      </w:r>
      <w:r w:rsidRPr="00BA3B25"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6B3275">
        <w:rPr>
          <w:rFonts w:ascii="Times New Roman" w:hAnsi="Times New Roman" w:cs="Times New Roman"/>
          <w:sz w:val="28"/>
          <w:szCs w:val="28"/>
        </w:rPr>
        <w:t>станет активами (из пассивов)</w:t>
      </w:r>
      <w:r w:rsidRPr="00BA3B25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BA3B2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A3B25">
        <w:rPr>
          <w:rFonts w:ascii="Times New Roman" w:hAnsi="Times New Roman" w:cs="Times New Roman"/>
          <w:sz w:val="28"/>
          <w:szCs w:val="28"/>
        </w:rPr>
        <w:t xml:space="preserve"> позволит принести дополнительную прибыль банку. Изменение данных показателей приведет к улучшению коэффициентов оценки качества кредитного портфеля и повышению экономического эффекта управления кредитным портфелем.</w:t>
      </w:r>
    </w:p>
    <w:p w:rsidR="00E6054D" w:rsidRPr="00E6054D" w:rsidRDefault="00E6054D" w:rsidP="00E605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рассмотрим подробнее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оприятие по обязательной провер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данных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заемщике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Нами было предложено дополнительно проверять информацию на определенных сайтах, указанных в предыдущем пункте работы. Более того, данные, которые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позволяют одобрить кредит кли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енту, будут заноситься в черный список с целью избегания повторных операций.</w:t>
      </w:r>
    </w:p>
    <w:p w:rsidR="00784ED1" w:rsidRDefault="00E6054D" w:rsidP="00E605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определить, наскол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экономически эффективно дан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мероприятие. </w:t>
      </w:r>
      <w:proofErr w:type="gramStart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2022 год потери от мошенничества в АО «</w:t>
      </w:r>
      <w:proofErr w:type="spellStart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Газпромбанк</w:t>
      </w:r>
      <w:proofErr w:type="spellEnd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составили 26789000 руб. Руководители подразделений по кадрам считают, что данное мероприятие позволит снизить уровень мошенничества на 20%. Таким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 ущерб от мошеннических дей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 после введения мероприятия составит 21431200 руб. Эффективность составит 5357800 руб. (разница ущерба от мошенничества до введенного мероприятия и после).</w:t>
      </w:r>
      <w:proofErr w:type="gramEnd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экономический эффект имеется, а служба безопасности станет работать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ффективнее, применяя разработан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нами рекомендации.</w:t>
      </w:r>
    </w:p>
    <w:p w:rsidR="00886ADC" w:rsidRDefault="00E6054D" w:rsidP="00886A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4D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поощрения сотрудников как мера по укреплению кадровой безопасности будет работать на повышение мотивации персонала, который станет работать более качественно и выполнять планы, а также предотвратить отток сотрудников (таблица 2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6).</w:t>
      </w:r>
    </w:p>
    <w:p w:rsidR="00FB49DB" w:rsidRPr="00E6054D" w:rsidRDefault="00FB49DB" w:rsidP="00886A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54D" w:rsidRPr="00E6054D" w:rsidRDefault="00E6054D" w:rsidP="00E6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4D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6054D">
        <w:rPr>
          <w:rFonts w:ascii="Times New Roman" w:eastAsia="Times New Roman" w:hAnsi="Times New Roman" w:cs="Times New Roman"/>
          <w:sz w:val="28"/>
          <w:szCs w:val="28"/>
        </w:rPr>
        <w:t xml:space="preserve"> – Размер зарплаты при получении премии (составлено автором)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191"/>
      </w:tblGrid>
      <w:tr w:rsidR="00E6054D" w:rsidRPr="00E6054D" w:rsidTr="009A4028"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E6054D" w:rsidRPr="00E6054D" w:rsidRDefault="00E6054D" w:rsidP="00E6054D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зарплата, тыс. руб.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E6054D" w:rsidRPr="00E6054D" w:rsidRDefault="00E6054D" w:rsidP="00E6054D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4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трех выплат за год, руб.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E6054D" w:rsidRPr="00E6054D" w:rsidRDefault="00E6054D" w:rsidP="00E6054D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4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заработной платы и премии, тыс. руб.</w:t>
            </w:r>
          </w:p>
        </w:tc>
      </w:tr>
      <w:tr w:rsidR="00E6054D" w:rsidRPr="00E6054D" w:rsidTr="009A4028"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E6054D" w:rsidRPr="00E6054D" w:rsidRDefault="00E6054D" w:rsidP="00E6054D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4D">
              <w:rPr>
                <w:rFonts w:ascii="Times New Roman" w:eastAsia="Times New Roman" w:hAnsi="Times New Roman" w:cs="Times New Roman"/>
                <w:sz w:val="24"/>
                <w:szCs w:val="24"/>
              </w:rPr>
              <w:t>36041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E6054D" w:rsidRPr="00E6054D" w:rsidRDefault="00E6054D" w:rsidP="00E6054D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4D">
              <w:rPr>
                <w:rFonts w:ascii="Times New Roman" w:eastAsia="Times New Roman" w:hAnsi="Times New Roman" w:cs="Times New Roman"/>
                <w:sz w:val="24"/>
                <w:szCs w:val="24"/>
              </w:rPr>
              <w:t>10812,3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E6054D" w:rsidRPr="00E6054D" w:rsidRDefault="00E6054D" w:rsidP="00E6054D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4D">
              <w:rPr>
                <w:rFonts w:ascii="Times New Roman" w:eastAsia="Times New Roman" w:hAnsi="Times New Roman" w:cs="Times New Roman"/>
                <w:sz w:val="24"/>
                <w:szCs w:val="24"/>
              </w:rPr>
              <w:t>46853,3</w:t>
            </w:r>
          </w:p>
        </w:tc>
      </w:tr>
    </w:tbl>
    <w:p w:rsidR="00E6054D" w:rsidRPr="00E6054D" w:rsidRDefault="00E6054D" w:rsidP="00E605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54D" w:rsidRDefault="00E6054D" w:rsidP="00E605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4D">
        <w:rPr>
          <w:rFonts w:ascii="Times New Roman" w:eastAsia="Times New Roman" w:hAnsi="Times New Roman" w:cs="Times New Roman"/>
          <w:sz w:val="28"/>
          <w:szCs w:val="28"/>
        </w:rPr>
        <w:t>Таким образом, при положительном результате работы сотрудников, средняя заработная плата одного сотрудника вырастит на 10812,3 в год. И таким образом заработная плата составит 46853,3 руб., что в сумме превышает среднемесячную заработную плату работников банков в целом (42403 руб.).</w:t>
      </w:r>
    </w:p>
    <w:p w:rsidR="00E6054D" w:rsidRPr="00E6054D" w:rsidRDefault="00E6054D" w:rsidP="00E605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4D">
        <w:rPr>
          <w:rFonts w:ascii="Times New Roman" w:eastAsia="Times New Roman" w:hAnsi="Times New Roman" w:cs="Times New Roman"/>
          <w:sz w:val="28"/>
          <w:szCs w:val="28"/>
        </w:rPr>
        <w:t xml:space="preserve">Далее необходимо рассчитать экономическую эффективность от внедрения 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NGFW программы. За 2023 год от вредоносной </w:t>
      </w:r>
      <w:proofErr w:type="spellStart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Ddos</w:t>
      </w:r>
      <w:proofErr w:type="spellEnd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-атаки </w:t>
      </w:r>
      <w:r w:rsidRPr="00E6054D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E6054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E6054D">
        <w:rPr>
          <w:rFonts w:ascii="Times New Roman" w:eastAsia="Times New Roman" w:hAnsi="Times New Roman" w:cs="Times New Roman"/>
          <w:sz w:val="28"/>
          <w:szCs w:val="28"/>
        </w:rPr>
        <w:t xml:space="preserve">» потерял 35 </w:t>
      </w:r>
      <w:proofErr w:type="spellStart"/>
      <w:proofErr w:type="gramStart"/>
      <w:r w:rsidRPr="00E6054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6054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(данные, предоставленные банком)</w:t>
      </w:r>
      <w:r w:rsidRPr="00E6054D">
        <w:rPr>
          <w:rFonts w:ascii="Times New Roman" w:eastAsia="Times New Roman" w:hAnsi="Times New Roman" w:cs="Times New Roman"/>
          <w:sz w:val="28"/>
          <w:szCs w:val="28"/>
        </w:rPr>
        <w:t xml:space="preserve"> Отмечается, что при использовании данных межсетевых экранов позволит предупредить до 35% </w:t>
      </w:r>
      <w:proofErr w:type="spellStart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Ddos</w:t>
      </w:r>
      <w:proofErr w:type="spellEnd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следует из статистики РБК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Эффективность от внедрения данного мероприятия приведены в таблице 2</w:t>
      </w:r>
      <w:r w:rsidR="0051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54D" w:rsidRDefault="00E6054D" w:rsidP="00E60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6054D" w:rsidRPr="00E6054D" w:rsidRDefault="00E6054D" w:rsidP="00E60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  <w:r w:rsidR="0051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4D">
        <w:rPr>
          <w:rFonts w:ascii="Times New Roman" w:eastAsia="Times New Roman" w:hAnsi="Times New Roman" w:cs="Times New Roman"/>
          <w:sz w:val="28"/>
          <w:szCs w:val="28"/>
        </w:rPr>
        <w:t xml:space="preserve">– Эффективность от внедрения 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NGFW программы (составлено автором)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7"/>
        <w:gridCol w:w="1134"/>
        <w:gridCol w:w="1701"/>
        <w:gridCol w:w="1985"/>
        <w:gridCol w:w="1241"/>
      </w:tblGrid>
      <w:tr w:rsidR="00E6054D" w:rsidRPr="00E6054D" w:rsidTr="009A4028">
        <w:tc>
          <w:tcPr>
            <w:tcW w:w="1985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межсетевого экрана </w:t>
            </w:r>
            <w:proofErr w:type="spellStart"/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Cisco</w:t>
            </w:r>
            <w:proofErr w:type="spellEnd"/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FPR1120-NGFW-K9 </w:t>
            </w:r>
          </w:p>
        </w:tc>
        <w:tc>
          <w:tcPr>
            <w:tcW w:w="1417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NGFW, шт.</w:t>
            </w:r>
          </w:p>
        </w:tc>
        <w:tc>
          <w:tcPr>
            <w:tcW w:w="1134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установку, руб.</w:t>
            </w:r>
          </w:p>
        </w:tc>
        <w:tc>
          <w:tcPr>
            <w:tcW w:w="1701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Потери до внедрения мероприятия, </w:t>
            </w:r>
            <w:proofErr w:type="spellStart"/>
            <w:proofErr w:type="gramStart"/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985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внедрение мероприятия, </w:t>
            </w:r>
            <w:proofErr w:type="spellStart"/>
            <w:proofErr w:type="gramStart"/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41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Ddos-атак, </w:t>
            </w:r>
            <w:proofErr w:type="spellStart"/>
            <w:proofErr w:type="gramStart"/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E6054D" w:rsidRPr="00E6054D" w:rsidTr="009A4028">
        <w:tc>
          <w:tcPr>
            <w:tcW w:w="1985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429875 руб.</w:t>
            </w:r>
          </w:p>
        </w:tc>
        <w:tc>
          <w:tcPr>
            <w:tcW w:w="1417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701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1" w:type="dxa"/>
            <w:shd w:val="clear" w:color="auto" w:fill="auto"/>
          </w:tcPr>
          <w:p w:rsidR="00E6054D" w:rsidRPr="00E6054D" w:rsidRDefault="00E6054D" w:rsidP="00E6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</w:tr>
    </w:tbl>
    <w:p w:rsidR="00E6054D" w:rsidRPr="00E6054D" w:rsidRDefault="00E6054D" w:rsidP="00FB4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4D" w:rsidRDefault="00E6054D" w:rsidP="00E605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4D">
        <w:rPr>
          <w:rFonts w:ascii="Times New Roman" w:eastAsia="Times New Roman" w:hAnsi="Times New Roman" w:cs="Times New Roman"/>
          <w:sz w:val="28"/>
          <w:szCs w:val="28"/>
        </w:rPr>
        <w:t>Таким образом, из таблицы 2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054D">
        <w:rPr>
          <w:rFonts w:ascii="Times New Roman" w:eastAsia="Times New Roman" w:hAnsi="Times New Roman" w:cs="Times New Roman"/>
          <w:sz w:val="28"/>
          <w:szCs w:val="28"/>
        </w:rPr>
        <w:t xml:space="preserve"> мы видим, что АО «</w:t>
      </w:r>
      <w:proofErr w:type="spellStart"/>
      <w:r w:rsidRPr="00E6054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E6054D">
        <w:rPr>
          <w:rFonts w:ascii="Times New Roman" w:eastAsia="Times New Roman" w:hAnsi="Times New Roman" w:cs="Times New Roman"/>
          <w:sz w:val="28"/>
          <w:szCs w:val="28"/>
        </w:rPr>
        <w:t xml:space="preserve">» следует воспользоваться 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NGFW программами, так как при </w:t>
      </w:r>
      <w:proofErr w:type="spellStart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единоразовых</w:t>
      </w:r>
      <w:proofErr w:type="spellEnd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затратах на покупку и установку межсетевых экранов уйдет 1,3 </w:t>
      </w:r>
      <w:proofErr w:type="spellStart"/>
      <w:proofErr w:type="gramStart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что </w:t>
      </w:r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почти в 35 раз меньше от потерь при </w:t>
      </w:r>
      <w:proofErr w:type="spellStart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Ddos</w:t>
      </w:r>
      <w:proofErr w:type="spellEnd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-атаках. При чем в дальнейшем данная система позволит снизить потери от данных атак на 35%, то есть на 12,25 </w:t>
      </w:r>
      <w:proofErr w:type="spellStart"/>
      <w:proofErr w:type="gramStart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E6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Что является максимально эффективным решением для </w:t>
      </w:r>
      <w:r w:rsidRPr="00E6054D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E6054D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E6054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663AA" w:rsidRDefault="00C663AA" w:rsidP="00E60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нашей идеей является внедрить переход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</w:t>
      </w:r>
      <w:r w:rsidRPr="00BC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BAE">
        <w:rPr>
          <w:rFonts w:ascii="Times New Roman" w:hAnsi="Times New Roman" w:cs="Times New Roman"/>
          <w:sz w:val="28"/>
          <w:szCs w:val="28"/>
        </w:rPr>
        <w:t>человекоцентричную</w:t>
      </w:r>
      <w:proofErr w:type="spellEnd"/>
      <w:r w:rsidRPr="00BC2BAE">
        <w:rPr>
          <w:rFonts w:ascii="Times New Roman" w:hAnsi="Times New Roman" w:cs="Times New Roman"/>
          <w:sz w:val="28"/>
          <w:szCs w:val="28"/>
        </w:rPr>
        <w:t xml:space="preserve"> бизнес-модель и развивать искусственный интеллект (ИИ) «нового поколения».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BC2BAE">
        <w:rPr>
          <w:rFonts w:ascii="Times New Roman" w:hAnsi="Times New Roman" w:cs="Times New Roman"/>
          <w:sz w:val="28"/>
          <w:szCs w:val="28"/>
        </w:rPr>
        <w:t xml:space="preserve">, предлагаем перевести «большинство решений в </w:t>
      </w:r>
      <w:proofErr w:type="spellStart"/>
      <w:r w:rsidRPr="00BC2BA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C2BAE">
        <w:rPr>
          <w:rFonts w:ascii="Times New Roman" w:hAnsi="Times New Roman" w:cs="Times New Roman"/>
          <w:sz w:val="28"/>
          <w:szCs w:val="28"/>
        </w:rPr>
        <w:t>», созда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2BAE">
        <w:rPr>
          <w:rFonts w:ascii="Times New Roman" w:hAnsi="Times New Roman" w:cs="Times New Roman"/>
          <w:sz w:val="28"/>
          <w:szCs w:val="28"/>
        </w:rPr>
        <w:t xml:space="preserve"> умного AI-помощника для клиентов.</w:t>
      </w:r>
    </w:p>
    <w:p w:rsidR="00C663AA" w:rsidRDefault="00C663AA" w:rsidP="00E60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AA">
        <w:rPr>
          <w:rFonts w:ascii="Times New Roman" w:hAnsi="Times New Roman" w:cs="Times New Roman"/>
          <w:sz w:val="28"/>
          <w:szCs w:val="28"/>
        </w:rPr>
        <w:t xml:space="preserve">«ИИ в банковском деле на 10% ускорит доступ к продуктам для многих клиентов, также рост активных клиентов может составить от 7%» </w:t>
      </w:r>
      <w:r w:rsidRPr="00E605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63AA">
        <w:rPr>
          <w:rFonts w:ascii="Times New Roman" w:hAnsi="Times New Roman" w:cs="Times New Roman"/>
          <w:sz w:val="28"/>
          <w:szCs w:val="28"/>
        </w:rPr>
        <w:t xml:space="preserve"> назвал одну из причин использования ИИ исполнительный вице-президент, руководитель отдела по</w:t>
      </w:r>
      <w:r>
        <w:rPr>
          <w:rFonts w:ascii="Times New Roman" w:hAnsi="Times New Roman" w:cs="Times New Roman"/>
          <w:sz w:val="28"/>
          <w:szCs w:val="28"/>
        </w:rPr>
        <w:t xml:space="preserve"> работе с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(таблица</w:t>
      </w:r>
      <w:r w:rsidR="0051777B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63AA" w:rsidRDefault="00C663AA" w:rsidP="00C66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A" w:rsidRDefault="00C663AA" w:rsidP="00C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777B">
        <w:rPr>
          <w:rFonts w:ascii="Times New Roman" w:hAnsi="Times New Roman" w:cs="Times New Roman"/>
          <w:sz w:val="28"/>
          <w:szCs w:val="28"/>
        </w:rPr>
        <w:t xml:space="preserve">28 </w:t>
      </w:r>
      <w:r w:rsidRPr="00E6054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от введенного мероприятия (составлено автором)</w:t>
      </w:r>
    </w:p>
    <w:tbl>
      <w:tblPr>
        <w:tblStyle w:val="a7"/>
        <w:tblW w:w="9493" w:type="dxa"/>
        <w:tblInd w:w="108" w:type="dxa"/>
        <w:tblLook w:val="04A0"/>
      </w:tblPr>
      <w:tblGrid>
        <w:gridCol w:w="1721"/>
        <w:gridCol w:w="2724"/>
        <w:gridCol w:w="1720"/>
        <w:gridCol w:w="1720"/>
        <w:gridCol w:w="1608"/>
      </w:tblGrid>
      <w:tr w:rsidR="000172F6" w:rsidRPr="007626AA" w:rsidTr="009A4028">
        <w:trPr>
          <w:trHeight w:val="128"/>
        </w:trPr>
        <w:tc>
          <w:tcPr>
            <w:tcW w:w="1721" w:type="dxa"/>
          </w:tcPr>
          <w:p w:rsidR="000172F6" w:rsidRPr="007626AA" w:rsidRDefault="000172F6" w:rsidP="00C66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2724" w:type="dxa"/>
          </w:tcPr>
          <w:p w:rsidR="000172F6" w:rsidRPr="007626AA" w:rsidRDefault="000172F6" w:rsidP="00C66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Доступ к продуктам</w:t>
            </w:r>
          </w:p>
        </w:tc>
        <w:tc>
          <w:tcPr>
            <w:tcW w:w="1720" w:type="dxa"/>
          </w:tcPr>
          <w:p w:rsidR="000172F6" w:rsidRPr="007626AA" w:rsidRDefault="000172F6" w:rsidP="00C66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Количество услуг</w:t>
            </w:r>
          </w:p>
        </w:tc>
        <w:tc>
          <w:tcPr>
            <w:tcW w:w="1720" w:type="dxa"/>
          </w:tcPr>
          <w:p w:rsidR="000172F6" w:rsidRPr="007626AA" w:rsidRDefault="000172F6" w:rsidP="00C66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Количество клиентов</w:t>
            </w:r>
          </w:p>
        </w:tc>
        <w:tc>
          <w:tcPr>
            <w:tcW w:w="1608" w:type="dxa"/>
          </w:tcPr>
          <w:p w:rsidR="000172F6" w:rsidRPr="007626AA" w:rsidRDefault="000172F6" w:rsidP="00C66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Рост новых клиентов</w:t>
            </w:r>
          </w:p>
        </w:tc>
      </w:tr>
      <w:tr w:rsidR="000172F6" w:rsidRPr="007626AA" w:rsidTr="009A4028">
        <w:trPr>
          <w:trHeight w:val="306"/>
        </w:trPr>
        <w:tc>
          <w:tcPr>
            <w:tcW w:w="1721" w:type="dxa"/>
          </w:tcPr>
          <w:p w:rsidR="000172F6" w:rsidRPr="007626AA" w:rsidRDefault="000172F6" w:rsidP="00C66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До мероприятия</w:t>
            </w:r>
          </w:p>
        </w:tc>
        <w:tc>
          <w:tcPr>
            <w:tcW w:w="2724" w:type="dxa"/>
          </w:tcPr>
          <w:p w:rsidR="000172F6" w:rsidRPr="007626AA" w:rsidRDefault="000172F6" w:rsidP="0001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Посредством готовых ответов бота клиенты могли получать 80% услуг</w:t>
            </w:r>
          </w:p>
        </w:tc>
        <w:tc>
          <w:tcPr>
            <w:tcW w:w="1720" w:type="dxa"/>
          </w:tcPr>
          <w:p w:rsidR="000172F6" w:rsidRPr="007626AA" w:rsidRDefault="000172F6" w:rsidP="00017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40473</w:t>
            </w:r>
          </w:p>
        </w:tc>
        <w:tc>
          <w:tcPr>
            <w:tcW w:w="1720" w:type="dxa"/>
          </w:tcPr>
          <w:p w:rsidR="000172F6" w:rsidRPr="007626AA" w:rsidRDefault="000172F6" w:rsidP="00017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proofErr w:type="gramStart"/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7626AA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608" w:type="dxa"/>
            <w:vMerge w:val="restart"/>
          </w:tcPr>
          <w:p w:rsidR="000172F6" w:rsidRPr="007626AA" w:rsidRDefault="000172F6" w:rsidP="00017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F6" w:rsidRPr="007626AA" w:rsidRDefault="000172F6" w:rsidP="00017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F6" w:rsidRPr="007626AA" w:rsidRDefault="000172F6" w:rsidP="00762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F6" w:rsidRPr="007626AA" w:rsidRDefault="000172F6" w:rsidP="00017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</w:tr>
      <w:tr w:rsidR="000172F6" w:rsidRPr="007626AA" w:rsidTr="009A4028">
        <w:trPr>
          <w:trHeight w:val="434"/>
        </w:trPr>
        <w:tc>
          <w:tcPr>
            <w:tcW w:w="1721" w:type="dxa"/>
          </w:tcPr>
          <w:p w:rsidR="000172F6" w:rsidRPr="007626AA" w:rsidRDefault="000172F6" w:rsidP="00C66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После мероприятия</w:t>
            </w:r>
          </w:p>
        </w:tc>
        <w:tc>
          <w:tcPr>
            <w:tcW w:w="2724" w:type="dxa"/>
          </w:tcPr>
          <w:p w:rsidR="000172F6" w:rsidRPr="007626AA" w:rsidRDefault="000172F6" w:rsidP="00C66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Ответы генерируются ИИ, что позволяет решить большинство вопросов клиентов. 90% услуг будет предоставлено</w:t>
            </w:r>
          </w:p>
        </w:tc>
        <w:tc>
          <w:tcPr>
            <w:tcW w:w="1720" w:type="dxa"/>
          </w:tcPr>
          <w:p w:rsidR="000172F6" w:rsidRPr="007626AA" w:rsidRDefault="000172F6" w:rsidP="00017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44520</w:t>
            </w:r>
          </w:p>
        </w:tc>
        <w:tc>
          <w:tcPr>
            <w:tcW w:w="1720" w:type="dxa"/>
          </w:tcPr>
          <w:p w:rsidR="000172F6" w:rsidRPr="007626AA" w:rsidRDefault="000172F6" w:rsidP="00017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A">
              <w:rPr>
                <w:rFonts w:ascii="Times New Roman" w:hAnsi="Times New Roman" w:cs="Times New Roman"/>
                <w:sz w:val="20"/>
                <w:szCs w:val="20"/>
              </w:rPr>
              <w:t xml:space="preserve">62,4 </w:t>
            </w:r>
            <w:proofErr w:type="spellStart"/>
            <w:proofErr w:type="gramStart"/>
            <w:r w:rsidRPr="007626AA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7626AA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608" w:type="dxa"/>
            <w:vMerge/>
          </w:tcPr>
          <w:p w:rsidR="000172F6" w:rsidRPr="007626AA" w:rsidRDefault="000172F6" w:rsidP="00C66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3AA" w:rsidRDefault="00C663AA" w:rsidP="00C66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175" w:rsidRDefault="00A61175" w:rsidP="00A61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2F6">
        <w:rPr>
          <w:rFonts w:ascii="Times New Roman" w:hAnsi="Times New Roman" w:cs="Times New Roman"/>
          <w:sz w:val="28"/>
          <w:szCs w:val="28"/>
        </w:rPr>
        <w:t>Из таблицы мы видим, что клиенты смогут удаленно пользоваться большим количеством услуг банка, что означает, будет рост продаж продуктов АО «</w:t>
      </w:r>
      <w:proofErr w:type="spellStart"/>
      <w:r w:rsidRPr="000172F6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172F6">
        <w:rPr>
          <w:rFonts w:ascii="Times New Roman" w:hAnsi="Times New Roman" w:cs="Times New Roman"/>
          <w:sz w:val="28"/>
          <w:szCs w:val="28"/>
        </w:rPr>
        <w:t xml:space="preserve">», так как дистанционно, в любой точке, человек может получить услугу с помощью ИИ инструмента, более того, это максимально удобно, и даже по тем вопросам, по которым необходимо явиться в банк, ИИ поможет реализовать задачу </w:t>
      </w:r>
      <w:proofErr w:type="spellStart"/>
      <w:r w:rsidRPr="000172F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172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1175" w:rsidRDefault="009A4028" w:rsidP="00A61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внедрения искусственного интеллекта </w:t>
      </w:r>
      <w:r w:rsidR="00A61175" w:rsidRPr="000172F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61175" w:rsidRPr="000172F6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A61175" w:rsidRPr="000172F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сможет</w:t>
      </w:r>
      <w:proofErr w:type="gramEnd"/>
      <w:r w:rsidR="00A61175" w:rsidRPr="000172F6">
        <w:rPr>
          <w:rFonts w:ascii="Times New Roman" w:hAnsi="Times New Roman" w:cs="Times New Roman"/>
          <w:sz w:val="28"/>
          <w:szCs w:val="28"/>
        </w:rPr>
        <w:t xml:space="preserve"> нарастит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A61175" w:rsidRPr="000172F6">
        <w:rPr>
          <w:rFonts w:ascii="Times New Roman" w:hAnsi="Times New Roman" w:cs="Times New Roman"/>
          <w:sz w:val="28"/>
          <w:szCs w:val="28"/>
        </w:rPr>
        <w:t xml:space="preserve">клиентов. </w:t>
      </w:r>
      <w:r w:rsidR="00A61175">
        <w:rPr>
          <w:rFonts w:ascii="Times New Roman" w:hAnsi="Times New Roman" w:cs="Times New Roman"/>
          <w:sz w:val="28"/>
          <w:szCs w:val="28"/>
        </w:rPr>
        <w:t>Н</w:t>
      </w:r>
      <w:r w:rsidR="00A61175" w:rsidRPr="000172F6">
        <w:rPr>
          <w:rFonts w:ascii="Times New Roman" w:hAnsi="Times New Roman" w:cs="Times New Roman"/>
          <w:sz w:val="28"/>
          <w:szCs w:val="28"/>
        </w:rPr>
        <w:t xml:space="preserve">а начало 2023 года 60 </w:t>
      </w:r>
      <w:proofErr w:type="spellStart"/>
      <w:proofErr w:type="gramStart"/>
      <w:r w:rsidR="00A61175" w:rsidRPr="000172F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A61175" w:rsidRPr="00017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175" w:rsidRPr="000172F6">
        <w:rPr>
          <w:rFonts w:ascii="Times New Roman" w:hAnsi="Times New Roman" w:cs="Times New Roman"/>
          <w:sz w:val="28"/>
          <w:szCs w:val="28"/>
        </w:rPr>
        <w:t>человек-физических</w:t>
      </w:r>
      <w:proofErr w:type="spellEnd"/>
      <w:r w:rsidR="00A61175" w:rsidRPr="000172F6">
        <w:rPr>
          <w:rFonts w:ascii="Times New Roman" w:hAnsi="Times New Roman" w:cs="Times New Roman"/>
          <w:sz w:val="28"/>
          <w:szCs w:val="28"/>
        </w:rPr>
        <w:t xml:space="preserve"> лиц пользуются услугами АО «</w:t>
      </w:r>
      <w:proofErr w:type="spellStart"/>
      <w:r w:rsidR="00A61175" w:rsidRPr="000172F6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A61175" w:rsidRPr="000172F6">
        <w:rPr>
          <w:rFonts w:ascii="Times New Roman" w:hAnsi="Times New Roman" w:cs="Times New Roman"/>
          <w:sz w:val="28"/>
          <w:szCs w:val="28"/>
        </w:rPr>
        <w:t xml:space="preserve">». После введения мероприятия количество активных клиентов вырастет на 7%, до 64,2 </w:t>
      </w:r>
      <w:proofErr w:type="spellStart"/>
      <w:proofErr w:type="gramStart"/>
      <w:r w:rsidR="00A61175" w:rsidRPr="000172F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A61175" w:rsidRPr="000172F6">
        <w:rPr>
          <w:rFonts w:ascii="Times New Roman" w:hAnsi="Times New Roman" w:cs="Times New Roman"/>
          <w:sz w:val="28"/>
          <w:szCs w:val="28"/>
        </w:rPr>
        <w:t xml:space="preserve"> </w:t>
      </w:r>
      <w:r w:rsidR="00A61175" w:rsidRPr="000172F6">
        <w:rPr>
          <w:rFonts w:ascii="Times New Roman" w:hAnsi="Times New Roman" w:cs="Times New Roman"/>
          <w:sz w:val="28"/>
          <w:szCs w:val="28"/>
        </w:rPr>
        <w:lastRenderedPageBreak/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981">
        <w:rPr>
          <w:rFonts w:ascii="Times New Roman" w:hAnsi="Times New Roman" w:cs="Times New Roman"/>
          <w:sz w:val="28"/>
          <w:szCs w:val="28"/>
        </w:rPr>
        <w:t>Что в конечном итоге поспособствует увеличению прибыли компании, за счет увеличения продаж с помощью дистанционных сервисов: интернет – банка, мобильного банка, устройств самообслуживания.</w:t>
      </w:r>
    </w:p>
    <w:p w:rsidR="007626AA" w:rsidRDefault="007626AA" w:rsidP="009A4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 рост новых клиентов благодаря введенному мероприятию выглядит следующим образом (рисунок</w:t>
      </w:r>
      <w:r w:rsidR="0051777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26AA" w:rsidRDefault="007626AA" w:rsidP="00C66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AA" w:rsidRDefault="007626AA" w:rsidP="007626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3630" cy="234741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1777B" w:rsidRDefault="0051777B" w:rsidP="00FB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6AA" w:rsidRDefault="00F82D72" w:rsidP="007968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1777B">
        <w:rPr>
          <w:rFonts w:ascii="Times New Roman" w:hAnsi="Times New Roman" w:cs="Times New Roman"/>
          <w:sz w:val="28"/>
          <w:szCs w:val="28"/>
        </w:rPr>
        <w:t xml:space="preserve"> 6 </w:t>
      </w:r>
      <w:r w:rsidR="007626AA" w:rsidRPr="00E6054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626AA">
        <w:rPr>
          <w:rFonts w:ascii="Times New Roman" w:eastAsia="Times New Roman" w:hAnsi="Times New Roman" w:cs="Times New Roman"/>
          <w:sz w:val="28"/>
          <w:szCs w:val="28"/>
        </w:rPr>
        <w:t xml:space="preserve"> Динамика количества операций в мобильном банке</w:t>
      </w:r>
      <w:r w:rsidR="0051777B">
        <w:rPr>
          <w:rFonts w:ascii="Times New Roman" w:eastAsia="Times New Roman" w:hAnsi="Times New Roman" w:cs="Times New Roman"/>
          <w:sz w:val="28"/>
          <w:szCs w:val="28"/>
        </w:rPr>
        <w:t xml:space="preserve"> (составлено автором)</w:t>
      </w:r>
    </w:p>
    <w:p w:rsidR="007626AA" w:rsidRDefault="007626AA" w:rsidP="00C66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AA" w:rsidRPr="007626AA" w:rsidRDefault="007626AA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AA">
        <w:rPr>
          <w:rFonts w:ascii="Times New Roman" w:hAnsi="Times New Roman" w:cs="Times New Roman"/>
          <w:sz w:val="28"/>
          <w:szCs w:val="28"/>
        </w:rPr>
        <w:t>Таким образом, с целью повышения уровня экономической безопасности АО «</w:t>
      </w:r>
      <w:proofErr w:type="spellStart"/>
      <w:r w:rsidRPr="007626AA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7626AA">
        <w:rPr>
          <w:rFonts w:ascii="Times New Roman" w:hAnsi="Times New Roman" w:cs="Times New Roman"/>
          <w:sz w:val="28"/>
          <w:szCs w:val="28"/>
        </w:rPr>
        <w:t>» нами было порекомендовано ввести в деятельность банка запуск программы страхования кредита. После введения мероприятия по повышению качества кредитного портфеля, его качество повысится на 11%. Внедрение данного мероприятия позволит снизить сумму просроченной задолженности на 3%, а, следовательно, уменьшится формирование резерва на возможные потери по ссудам. Показатель «Совокупные резервы» уменьшится на 10%. Изменение данных показателей приведет к улучшению коэффициентов оценки качества кредитного портфеля и повышению экономического эффекта управления кредитным портфелем.</w:t>
      </w:r>
    </w:p>
    <w:p w:rsidR="007626AA" w:rsidRPr="007626AA" w:rsidRDefault="007626AA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AA">
        <w:rPr>
          <w:rFonts w:ascii="Times New Roman" w:hAnsi="Times New Roman" w:cs="Times New Roman"/>
          <w:sz w:val="28"/>
          <w:szCs w:val="28"/>
        </w:rPr>
        <w:lastRenderedPageBreak/>
        <w:t>Далее мы предложили мероприятие по обязательной проверке данных о заемщике. Руководители подразделений по кадрам считают, что данное мероприятие позволит снизить уровень мошенничества на 20%. Таким образом, ущерб от мошеннических действий после введения мероприятия составит 21431200 руб. Эффективность составит 5357800 руб. Таким образом, экономический эффект имеется, а служба безопасности станет работать эффективнее, применяя разработанные нами рекомендации.</w:t>
      </w:r>
    </w:p>
    <w:p w:rsidR="007626AA" w:rsidRPr="007626AA" w:rsidRDefault="007626AA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AA">
        <w:rPr>
          <w:rFonts w:ascii="Times New Roman" w:hAnsi="Times New Roman" w:cs="Times New Roman"/>
          <w:sz w:val="28"/>
          <w:szCs w:val="28"/>
        </w:rPr>
        <w:t>Программа поощрения сотрудников как мера по укреплению кадровой безопасности будет работать на повышение мотивации персонала, который станет работать более качественно и выполнять планы, а также предотвратить отток сотрудников. Таким образом, при положительном результате работы сотрудников, средняя заработная плата одного сотрудника вырастит на 10812,3 в год. И таким образом заработная плата составит 46853,3 руб., что в сумме превышает среднемесячную заработную плату работников банков в целом (42403 руб.).</w:t>
      </w:r>
    </w:p>
    <w:p w:rsidR="007626AA" w:rsidRPr="007626AA" w:rsidRDefault="007626AA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A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7626AA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7626AA">
        <w:rPr>
          <w:rFonts w:ascii="Times New Roman" w:hAnsi="Times New Roman" w:cs="Times New Roman"/>
          <w:sz w:val="28"/>
          <w:szCs w:val="28"/>
        </w:rPr>
        <w:t xml:space="preserve">» следует воспользоваться NGFW программами, так как при </w:t>
      </w:r>
      <w:proofErr w:type="spellStart"/>
      <w:r w:rsidRPr="007626AA">
        <w:rPr>
          <w:rFonts w:ascii="Times New Roman" w:hAnsi="Times New Roman" w:cs="Times New Roman"/>
          <w:sz w:val="28"/>
          <w:szCs w:val="28"/>
        </w:rPr>
        <w:t>единоразовых</w:t>
      </w:r>
      <w:proofErr w:type="spellEnd"/>
      <w:r w:rsidRPr="007626AA">
        <w:rPr>
          <w:rFonts w:ascii="Times New Roman" w:hAnsi="Times New Roman" w:cs="Times New Roman"/>
          <w:sz w:val="28"/>
          <w:szCs w:val="28"/>
        </w:rPr>
        <w:t xml:space="preserve"> затратах на покупку и установку межсетевых экранов уйдет 1,3 </w:t>
      </w:r>
      <w:proofErr w:type="spellStart"/>
      <w:proofErr w:type="gramStart"/>
      <w:r w:rsidRPr="007626A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626AA">
        <w:rPr>
          <w:rFonts w:ascii="Times New Roman" w:hAnsi="Times New Roman" w:cs="Times New Roman"/>
          <w:sz w:val="28"/>
          <w:szCs w:val="28"/>
        </w:rPr>
        <w:t xml:space="preserve"> руб., что почти в 35 раз меньше от потерь при Ddos-атаках. При чем в дальнейшем данная система позволит снизить потери от данных атак на 35%, то есть на 12,25 </w:t>
      </w:r>
      <w:proofErr w:type="spellStart"/>
      <w:proofErr w:type="gramStart"/>
      <w:r w:rsidRPr="007626A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626AA">
        <w:rPr>
          <w:rFonts w:ascii="Times New Roman" w:hAnsi="Times New Roman" w:cs="Times New Roman"/>
          <w:sz w:val="28"/>
          <w:szCs w:val="28"/>
        </w:rPr>
        <w:t xml:space="preserve"> руб. Что является максимально эффективным решением для АО «</w:t>
      </w:r>
      <w:proofErr w:type="spellStart"/>
      <w:r w:rsidRPr="007626AA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7626AA">
        <w:rPr>
          <w:rFonts w:ascii="Times New Roman" w:hAnsi="Times New Roman" w:cs="Times New Roman"/>
          <w:sz w:val="28"/>
          <w:szCs w:val="28"/>
        </w:rPr>
        <w:t>».</w:t>
      </w:r>
    </w:p>
    <w:p w:rsidR="007626AA" w:rsidRDefault="007626AA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AA">
        <w:rPr>
          <w:rFonts w:ascii="Times New Roman" w:hAnsi="Times New Roman" w:cs="Times New Roman"/>
          <w:sz w:val="28"/>
          <w:szCs w:val="28"/>
        </w:rPr>
        <w:t xml:space="preserve">Предлагаем перевести «большинство решений в </w:t>
      </w:r>
      <w:proofErr w:type="spellStart"/>
      <w:r w:rsidRPr="007626A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626AA">
        <w:rPr>
          <w:rFonts w:ascii="Times New Roman" w:hAnsi="Times New Roman" w:cs="Times New Roman"/>
          <w:sz w:val="28"/>
          <w:szCs w:val="28"/>
        </w:rPr>
        <w:t>», создав умного AI-помощника для клиентов. АО «</w:t>
      </w:r>
      <w:proofErr w:type="spellStart"/>
      <w:r w:rsidRPr="007626AA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7626AA">
        <w:rPr>
          <w:rFonts w:ascii="Times New Roman" w:hAnsi="Times New Roman" w:cs="Times New Roman"/>
          <w:sz w:val="28"/>
          <w:szCs w:val="28"/>
        </w:rPr>
        <w:t xml:space="preserve">» таким образом нарастит клиентов. 60 </w:t>
      </w:r>
      <w:proofErr w:type="spellStart"/>
      <w:proofErr w:type="gramStart"/>
      <w:r w:rsidRPr="007626A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62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6AA">
        <w:rPr>
          <w:rFonts w:ascii="Times New Roman" w:hAnsi="Times New Roman" w:cs="Times New Roman"/>
          <w:sz w:val="28"/>
          <w:szCs w:val="28"/>
        </w:rPr>
        <w:t>человек-физических</w:t>
      </w:r>
      <w:proofErr w:type="spellEnd"/>
      <w:r w:rsidRPr="007626AA">
        <w:rPr>
          <w:rFonts w:ascii="Times New Roman" w:hAnsi="Times New Roman" w:cs="Times New Roman"/>
          <w:sz w:val="28"/>
          <w:szCs w:val="28"/>
        </w:rPr>
        <w:t xml:space="preserve"> лиц пользуются услугами АО «</w:t>
      </w:r>
      <w:proofErr w:type="spellStart"/>
      <w:r w:rsidRPr="007626AA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7626AA">
        <w:rPr>
          <w:rFonts w:ascii="Times New Roman" w:hAnsi="Times New Roman" w:cs="Times New Roman"/>
          <w:sz w:val="28"/>
          <w:szCs w:val="28"/>
        </w:rPr>
        <w:t xml:space="preserve">» на начало 2023 года. После введения мероприятия количество активных клиентов вырастет на 7%, до 64,2 </w:t>
      </w:r>
      <w:proofErr w:type="spellStart"/>
      <w:proofErr w:type="gramStart"/>
      <w:r w:rsidRPr="007626A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626A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3030D" w:rsidRDefault="0003030D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30D" w:rsidRDefault="0003030D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30D" w:rsidRDefault="0003030D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30D" w:rsidRDefault="0003030D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30D" w:rsidRPr="0003030D" w:rsidRDefault="0003030D" w:rsidP="003D6F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0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30D">
        <w:rPr>
          <w:rFonts w:ascii="Times New Roman" w:hAnsi="Times New Roman" w:cs="Times New Roman"/>
          <w:sz w:val="28"/>
          <w:szCs w:val="28"/>
        </w:rPr>
        <w:t xml:space="preserve">Делая вывод всему вышесказанному, можно сказать, что в выпускной квалификационной работе мы раскрыли </w:t>
      </w:r>
      <w:r w:rsidRPr="0003030D">
        <w:rPr>
          <w:rFonts w:ascii="Times New Roman" w:hAnsi="Times New Roman" w:cs="Times New Roman"/>
          <w:iCs/>
          <w:sz w:val="28"/>
          <w:szCs w:val="28"/>
        </w:rPr>
        <w:t>понятие и сущность экономической безопасности коммерческого банка</w:t>
      </w:r>
      <w:r w:rsidRPr="0003030D">
        <w:rPr>
          <w:rFonts w:ascii="Times New Roman" w:hAnsi="Times New Roman" w:cs="Times New Roman"/>
          <w:sz w:val="28"/>
          <w:szCs w:val="28"/>
        </w:rPr>
        <w:t xml:space="preserve">; изучили особенности и инструментарий обеспечения экономической безопасности </w:t>
      </w:r>
      <w:r w:rsidRPr="0003030D">
        <w:rPr>
          <w:rFonts w:ascii="Times New Roman" w:hAnsi="Times New Roman" w:cs="Times New Roman"/>
          <w:iCs/>
          <w:sz w:val="28"/>
          <w:szCs w:val="28"/>
        </w:rPr>
        <w:t>коммерческого банка в условиях финансовой нестабильности</w:t>
      </w:r>
      <w:r w:rsidRPr="0003030D">
        <w:rPr>
          <w:rFonts w:ascii="Times New Roman" w:hAnsi="Times New Roman" w:cs="Times New Roman"/>
          <w:sz w:val="28"/>
          <w:szCs w:val="28"/>
        </w:rPr>
        <w:t xml:space="preserve">; рассмотрели показатели-индикаторы уровня экономической безопасности </w:t>
      </w:r>
      <w:r w:rsidRPr="0003030D">
        <w:rPr>
          <w:rFonts w:ascii="Times New Roman" w:hAnsi="Times New Roman" w:cs="Times New Roman"/>
          <w:iCs/>
          <w:sz w:val="28"/>
          <w:szCs w:val="28"/>
        </w:rPr>
        <w:t>коммерческого банка</w:t>
      </w:r>
      <w:r w:rsidRPr="0003030D">
        <w:rPr>
          <w:rFonts w:ascii="Times New Roman" w:hAnsi="Times New Roman" w:cs="Times New Roman"/>
          <w:sz w:val="28"/>
          <w:szCs w:val="28"/>
        </w:rPr>
        <w:t>; изучили организационно-экономическую характеристику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 и его места в банковской системе;</w:t>
      </w:r>
      <w:proofErr w:type="gramEnd"/>
      <w:r w:rsidRPr="0003030D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gramStart"/>
      <w:r w:rsidRPr="0003030D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03030D">
        <w:rPr>
          <w:rFonts w:ascii="Times New Roman" w:hAnsi="Times New Roman" w:cs="Times New Roman"/>
          <w:sz w:val="28"/>
          <w:szCs w:val="28"/>
        </w:rPr>
        <w:t xml:space="preserve"> и дать оценку основных показателей уровня экономической безопасности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»; изучили механизм и инструментарий обеспечения экономической безопасности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 в современных условиях; разработали основные мероприятия по нейтрализации угроз и повышению уровня экономической безопасности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»; оценили экономическую эффективность реализации предлагаемых мероприятий.</w:t>
      </w:r>
    </w:p>
    <w:p w:rsidR="0003030D" w:rsidRPr="0003030D" w:rsidRDefault="00A61175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исследованы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и инструментарий обеспечения экономической безопасности коммерческого банка в условиях финансовой нестабильности. Для начала необходимо указать</w:t>
      </w:r>
      <w:r w:rsidR="0003030D" w:rsidRPr="0003030D">
        <w:rPr>
          <w:rFonts w:ascii="Times New Roman" w:hAnsi="Times New Roman" w:cs="Times New Roman"/>
          <w:sz w:val="28"/>
          <w:szCs w:val="28"/>
        </w:rPr>
        <w:t>, что инструментарий делится на две основные группы: внешние и внутренние. Внешние методы обеспечения экономической безопасности банков использует государство в целях обеспечения безопасности банковской системы. Внутренние методы включают не только управление рисками, но и управление доходностью и ликвидностью банка.</w:t>
      </w:r>
    </w:p>
    <w:p w:rsidR="0003030D" w:rsidRPr="0003030D" w:rsidRDefault="0003030D" w:rsidP="00C663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П</w:t>
      </w:r>
      <w:r w:rsidR="00C66362">
        <w:rPr>
          <w:rFonts w:ascii="Times New Roman" w:hAnsi="Times New Roman" w:cs="Times New Roman"/>
          <w:sz w:val="28"/>
          <w:szCs w:val="28"/>
        </w:rPr>
        <w:t xml:space="preserve">еречислим основные инструменты: управление рисками; </w:t>
      </w:r>
      <w:r w:rsidRPr="0003030D">
        <w:rPr>
          <w:rFonts w:ascii="Times New Roman" w:hAnsi="Times New Roman" w:cs="Times New Roman"/>
          <w:sz w:val="28"/>
          <w:szCs w:val="28"/>
        </w:rPr>
        <w:t>создание резервов;</w:t>
      </w:r>
      <w:r w:rsidR="00C66362">
        <w:rPr>
          <w:rFonts w:ascii="Times New Roman" w:hAnsi="Times New Roman" w:cs="Times New Roman"/>
          <w:sz w:val="28"/>
          <w:szCs w:val="28"/>
        </w:rPr>
        <w:t xml:space="preserve"> диверсификация;</w:t>
      </w:r>
      <w:r w:rsidRPr="0003030D">
        <w:rPr>
          <w:rFonts w:ascii="Times New Roman" w:hAnsi="Times New Roman" w:cs="Times New Roman"/>
          <w:sz w:val="28"/>
          <w:szCs w:val="28"/>
        </w:rPr>
        <w:t xml:space="preserve"> организационная защита.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Определенные инструменты обеспечения экономической безопасности коммерческого банка необходимы, поскольку банки в своей деятельности постоянно сталкиваются с различными угрозами и рисками. Часть из них порождается внешними причинами, часть – внутренними.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экономической безопасности банка целесообразно использовать подходы комплексно для получения наиболее точного результата: индикаторный и интегральный. </w:t>
      </w:r>
      <w:proofErr w:type="gramStart"/>
      <w:r w:rsidRPr="0003030D">
        <w:rPr>
          <w:rFonts w:ascii="Times New Roman" w:hAnsi="Times New Roman" w:cs="Times New Roman"/>
          <w:sz w:val="28"/>
          <w:szCs w:val="28"/>
        </w:rPr>
        <w:t>Индикаторный</w:t>
      </w:r>
      <w:proofErr w:type="gramEnd"/>
      <w:r w:rsidRPr="0003030D">
        <w:rPr>
          <w:rFonts w:ascii="Times New Roman" w:hAnsi="Times New Roman" w:cs="Times New Roman"/>
          <w:sz w:val="28"/>
          <w:szCs w:val="28"/>
        </w:rPr>
        <w:t xml:space="preserve"> заключается в использовании нормативов как показателей-индикаторов, характеризующих финансовую составляющую экономической безопасности банка, и в сравнении их фактических значений коэффициентов с пороговыми. 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Осуществлять оценку экономической безопасности следует по следующим показателям: группа показателей достаточностью капитала, которые характеризуют достаточность банка; обязательные нормативы деятельности банка.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Интегральные показатели: показатели кредитного риска; международное рейтинговое агентства Акционерное общество «Рейтинговое агентство «Эксперт РА»; нормативы кадровых рисков.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30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 организационная структура состоит из 21 подразделения: руководство; административно-управленческий персонал; служба персонала; юридический отдел; отдел клиентских отношений; кредитный отдел; отдел финансового анализа и планирования; операционный отдел; отдел обслуживания физических лиц; отдел кассовых операций; отдел валютных операций; отдел депозитарных операций; отдел информационных технологий; отдел банковских карт; экспертный отдел; отдел инкассации;</w:t>
      </w:r>
      <w:proofErr w:type="gramEnd"/>
      <w:r w:rsidRPr="0003030D">
        <w:rPr>
          <w:rFonts w:ascii="Times New Roman" w:hAnsi="Times New Roman" w:cs="Times New Roman"/>
          <w:sz w:val="28"/>
          <w:szCs w:val="28"/>
        </w:rPr>
        <w:t xml:space="preserve"> хозяйстве</w:t>
      </w:r>
      <w:r w:rsidR="00FE3B7C">
        <w:rPr>
          <w:rFonts w:ascii="Times New Roman" w:hAnsi="Times New Roman" w:cs="Times New Roman"/>
          <w:sz w:val="28"/>
          <w:szCs w:val="28"/>
        </w:rPr>
        <w:t>нный отдел; дополнительный офис</w:t>
      </w:r>
      <w:r w:rsidRPr="0003030D">
        <w:rPr>
          <w:rFonts w:ascii="Times New Roman" w:hAnsi="Times New Roman" w:cs="Times New Roman"/>
          <w:sz w:val="28"/>
          <w:szCs w:val="28"/>
        </w:rPr>
        <w:t>.</w:t>
      </w:r>
    </w:p>
    <w:p w:rsidR="0003030D" w:rsidRPr="0003030D" w:rsidRDefault="00A61175" w:rsidP="00C663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активов АО «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, то денежные средства банка увеличились, это говорит о значимости ликвидных активов банка. Наибольшую долю в активах занимают финансовые активы, кото</w:t>
      </w:r>
      <w:r w:rsidR="0003030D" w:rsidRPr="0003030D">
        <w:rPr>
          <w:rFonts w:ascii="Times New Roman" w:hAnsi="Times New Roman" w:cs="Times New Roman"/>
          <w:sz w:val="28"/>
          <w:szCs w:val="28"/>
        </w:rPr>
        <w:t>рые выросли в 2022 году на 34,3%. Это говорит о росте прибыли банка, АО «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03030D" w:rsidRPr="0003030D">
        <w:rPr>
          <w:rFonts w:ascii="Times New Roman" w:hAnsi="Times New Roman" w:cs="Times New Roman"/>
          <w:sz w:val="28"/>
          <w:szCs w:val="28"/>
        </w:rPr>
        <w:t xml:space="preserve">» успешно управляет своими активами и получает прибыль от своих инвестиций и операций. Так же это произошло за счет роста клиентских активов почти на 500%.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0D" w:rsidRPr="0003030D">
        <w:rPr>
          <w:rFonts w:ascii="Times New Roman" w:hAnsi="Times New Roman" w:cs="Times New Roman"/>
          <w:sz w:val="28"/>
          <w:szCs w:val="28"/>
        </w:rPr>
        <w:t xml:space="preserve">Розничный кредитный портфель 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Газпромбанка</w:t>
      </w:r>
      <w:proofErr w:type="spellEnd"/>
      <w:r w:rsidR="0003030D" w:rsidRPr="0003030D">
        <w:rPr>
          <w:rFonts w:ascii="Times New Roman" w:hAnsi="Times New Roman" w:cs="Times New Roman"/>
          <w:sz w:val="28"/>
          <w:szCs w:val="28"/>
        </w:rPr>
        <w:t xml:space="preserve"> (ГПБ) по итогам 2022 года по РСБУ превысил 840 </w:t>
      </w:r>
      <w:proofErr w:type="spellStart"/>
      <w:proofErr w:type="gramStart"/>
      <w:r w:rsidR="0003030D" w:rsidRPr="0003030D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03030D" w:rsidRPr="0003030D">
        <w:rPr>
          <w:rFonts w:ascii="Times New Roman" w:hAnsi="Times New Roman" w:cs="Times New Roman"/>
          <w:sz w:val="28"/>
          <w:szCs w:val="28"/>
        </w:rPr>
        <w:t xml:space="preserve"> рублей. Таким образом, рост портфеля кредитов 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физли</w:t>
      </w:r>
      <w:r w:rsidR="00C66362">
        <w:rPr>
          <w:rFonts w:ascii="Times New Roman" w:hAnsi="Times New Roman" w:cs="Times New Roman"/>
          <w:sz w:val="28"/>
          <w:szCs w:val="28"/>
        </w:rPr>
        <w:t>цам</w:t>
      </w:r>
      <w:proofErr w:type="spellEnd"/>
      <w:r w:rsidR="00C66362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C66362">
        <w:rPr>
          <w:rFonts w:ascii="Times New Roman" w:hAnsi="Times New Roman" w:cs="Times New Roman"/>
          <w:sz w:val="28"/>
          <w:szCs w:val="28"/>
        </w:rPr>
        <w:lastRenderedPageBreak/>
        <w:t xml:space="preserve">составил 10,2%. </w:t>
      </w:r>
      <w:r w:rsidR="0003030D" w:rsidRPr="0003030D">
        <w:rPr>
          <w:rFonts w:ascii="Times New Roman" w:hAnsi="Times New Roman" w:cs="Times New Roman"/>
          <w:sz w:val="28"/>
          <w:szCs w:val="28"/>
        </w:rPr>
        <w:t>Изучив пассивы АО «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03030D" w:rsidRPr="0003030D">
        <w:rPr>
          <w:rFonts w:ascii="Times New Roman" w:hAnsi="Times New Roman" w:cs="Times New Roman"/>
          <w:sz w:val="28"/>
          <w:szCs w:val="28"/>
        </w:rPr>
        <w:t>», необходимо отметить, что динамика изменения положительная, пассивы выросли на 48%. Это значит, что деловая активность АО «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03030D" w:rsidRPr="0003030D">
        <w:rPr>
          <w:rFonts w:ascii="Times New Roman" w:hAnsi="Times New Roman" w:cs="Times New Roman"/>
          <w:sz w:val="28"/>
          <w:szCs w:val="28"/>
        </w:rPr>
        <w:t>» увеличивается. АО «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03030D" w:rsidRPr="0003030D">
        <w:rPr>
          <w:rFonts w:ascii="Times New Roman" w:hAnsi="Times New Roman" w:cs="Times New Roman"/>
          <w:sz w:val="28"/>
          <w:szCs w:val="28"/>
        </w:rPr>
        <w:t>» на сегодняшний день, считается финансово-устойчивым банком России. Однако есть незначительные отрицательные тенденции в показателях деятельности банка, которые могут нести угрозу стабильности банка</w:t>
      </w:r>
      <w:proofErr w:type="gramStart"/>
      <w:r w:rsidR="0003030D" w:rsidRPr="00030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030D" w:rsidRPr="00030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30D" w:rsidRPr="000303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030D" w:rsidRPr="0003030D">
        <w:rPr>
          <w:rFonts w:ascii="Times New Roman" w:hAnsi="Times New Roman" w:cs="Times New Roman"/>
          <w:sz w:val="28"/>
          <w:szCs w:val="28"/>
        </w:rPr>
        <w:t>апитал АО «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03030D" w:rsidRPr="0003030D">
        <w:rPr>
          <w:rFonts w:ascii="Times New Roman" w:hAnsi="Times New Roman" w:cs="Times New Roman"/>
          <w:sz w:val="28"/>
          <w:szCs w:val="28"/>
        </w:rPr>
        <w:t>» вырос на 4,5 при росте источников собственных средств из года в год (рост в 2022 году произошел на 22148995 тыс. руб.). Тенденция является отрицательной для АО «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03030D" w:rsidRPr="0003030D">
        <w:rPr>
          <w:rFonts w:ascii="Times New Roman" w:hAnsi="Times New Roman" w:cs="Times New Roman"/>
          <w:sz w:val="28"/>
          <w:szCs w:val="28"/>
        </w:rPr>
        <w:t>», поскольку обязательства показывают рост в 2022 году на 52,4%. Это влечет к финансовой неустойчивости АО «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03030D" w:rsidRPr="0003030D">
        <w:rPr>
          <w:rFonts w:ascii="Times New Roman" w:hAnsi="Times New Roman" w:cs="Times New Roman"/>
          <w:sz w:val="28"/>
          <w:szCs w:val="28"/>
        </w:rPr>
        <w:t>».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 xml:space="preserve">Ключевые составляющие прибыли (чистые процентные доходы: рост составил 18%.) показывают стабильный рост, отражая рекордную динамику клиентской базы и наращивание бизнеса в ключевых сегментах рынка одновременно с эффективным контролем рисков. Однако, например, такой показатель, как прибыль до налогообложения сократилась на 112 568 889 тыс. руб. или на 10%, что считается отрицательным фактом. 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 xml:space="preserve">Рентабельность активов и капитала имеет тенденцию снижения. </w:t>
      </w:r>
      <w:proofErr w:type="gramStart"/>
      <w:r w:rsidRPr="0003030D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03030D">
        <w:rPr>
          <w:rFonts w:ascii="Times New Roman" w:hAnsi="Times New Roman" w:cs="Times New Roman"/>
          <w:sz w:val="28"/>
          <w:szCs w:val="28"/>
        </w:rPr>
        <w:t xml:space="preserve"> в общем в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 наблюдаются средние показатели рентабельности капитала, поскольку показатель рентабельность должен быть положительным, что и видно, исходя из данных 2022 года.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В виду большой конкуренции на рынке банковских услуг, внедрения новых технологий и появления новых банковских продуктов,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 необходимо постоянно проводить мероприятия для поддержания и повышения своей эффективности.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На основании проведенного анализа обеспечения экономической безопасности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 можно сделать следующие выводы: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– обращаясь к национальной рейтинговой шкале «Эксперта РА» для Российской Федерации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 в целом имеет высокий рейтинг на уровне «</w:t>
      </w:r>
      <w:proofErr w:type="spellStart"/>
      <w:proofErr w:type="gramStart"/>
      <w:r w:rsidRPr="0003030D">
        <w:rPr>
          <w:rFonts w:ascii="Times New Roman" w:hAnsi="Times New Roman" w:cs="Times New Roman"/>
          <w:sz w:val="28"/>
          <w:szCs w:val="28"/>
        </w:rPr>
        <w:t>ru</w:t>
      </w:r>
      <w:proofErr w:type="gramEnd"/>
      <w:r w:rsidRPr="0003030D">
        <w:rPr>
          <w:rFonts w:ascii="Times New Roman" w:hAnsi="Times New Roman" w:cs="Times New Roman"/>
          <w:sz w:val="28"/>
          <w:szCs w:val="28"/>
        </w:rPr>
        <w:t>АА+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», прогноз – «стабильный». Уровень «</w:t>
      </w:r>
      <w:proofErr w:type="spellStart"/>
      <w:proofErr w:type="gramStart"/>
      <w:r w:rsidRPr="0003030D">
        <w:rPr>
          <w:rFonts w:ascii="Times New Roman" w:hAnsi="Times New Roman" w:cs="Times New Roman"/>
          <w:sz w:val="28"/>
          <w:szCs w:val="28"/>
        </w:rPr>
        <w:t>ru</w:t>
      </w:r>
      <w:proofErr w:type="gramEnd"/>
      <w:r w:rsidRPr="0003030D">
        <w:rPr>
          <w:rFonts w:ascii="Times New Roman" w:hAnsi="Times New Roman" w:cs="Times New Roman"/>
          <w:sz w:val="28"/>
          <w:szCs w:val="28"/>
        </w:rPr>
        <w:t>АА+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Pr="0003030D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АА, он обозначает наличие высокого уровня кредитоспособности, который лишь незначительно ниже, чем у объектов рейтинга в рейтинговой категории 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ruAAA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;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–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 в рейтинге по размеру активов и величине портфеля кредитов субъектам МСБ в 2022 году находится на третьем месте, что считается положительным фактором, это указывает на его финансовую устойчивость и стабильность. Это позволяет Банку ГПБ (АО) привлекать большое количество клиентов и увеличивать свою долю на рынке кредитных услуг;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– изучая кадровый потенциал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 в разрезе экономической безопасности, можно сказать, что Банк продолжает уделять большое внимание вопросам укрепления своего кадрового потенциала, в том числе за счет програ</w:t>
      </w:r>
      <w:r w:rsidR="00FE3B7C">
        <w:rPr>
          <w:rFonts w:ascii="Times New Roman" w:hAnsi="Times New Roman" w:cs="Times New Roman"/>
          <w:sz w:val="28"/>
          <w:szCs w:val="28"/>
        </w:rPr>
        <w:t>мм обучения и развития персонала</w:t>
      </w:r>
      <w:r w:rsidRPr="0003030D">
        <w:rPr>
          <w:rFonts w:ascii="Times New Roman" w:hAnsi="Times New Roman" w:cs="Times New Roman"/>
          <w:sz w:val="28"/>
          <w:szCs w:val="28"/>
        </w:rPr>
        <w:t>;</w:t>
      </w:r>
    </w:p>
    <w:p w:rsidR="0003030D" w:rsidRPr="0003030D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D">
        <w:rPr>
          <w:rFonts w:ascii="Times New Roman" w:hAnsi="Times New Roman" w:cs="Times New Roman"/>
          <w:sz w:val="28"/>
          <w:szCs w:val="28"/>
        </w:rPr>
        <w:t>– для положительного функционирования центра управления информационной безопасности необходимо постоянно совершенствовать деятельность данного центра, обеспечивать обновленной и актуальной защитой, поскольку информационная безопасность нуждается в сильной защите конфиденциальных данных компании, ведь каждый день появляются новые способы по нарушению процесса защиты, а также ежегодно происходят различного рода информационные атаки на АО «</w:t>
      </w:r>
      <w:proofErr w:type="spellStart"/>
      <w:r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03030D">
        <w:rPr>
          <w:rFonts w:ascii="Times New Roman" w:hAnsi="Times New Roman" w:cs="Times New Roman"/>
          <w:sz w:val="28"/>
          <w:szCs w:val="28"/>
        </w:rPr>
        <w:t>».</w:t>
      </w:r>
    </w:p>
    <w:p w:rsidR="0003030D" w:rsidRPr="002F234F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Изучив возможные риски и опираясь на анализ банковской деятельности АО «</w:t>
      </w:r>
      <w:proofErr w:type="spellStart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A61175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нами разработаны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повышению уровня экономической безопасности.</w:t>
      </w:r>
    </w:p>
    <w:p w:rsidR="0003030D" w:rsidRPr="002F234F" w:rsidRDefault="00A61175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повышения уровня экономической безопасности АО «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» нами было</w:t>
      </w:r>
      <w:r w:rsidR="0003030D" w:rsidRPr="0003030D">
        <w:rPr>
          <w:rFonts w:ascii="Times New Roman" w:hAnsi="Times New Roman" w:cs="Times New Roman"/>
          <w:sz w:val="28"/>
          <w:szCs w:val="28"/>
        </w:rPr>
        <w:t xml:space="preserve"> порекомендовано ввести мероприятие по совершенствованию качества кредитного портфеля коммерческого банка АО «</w:t>
      </w:r>
      <w:proofErr w:type="spellStart"/>
      <w:r w:rsidR="0003030D" w:rsidRPr="0003030D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="0003030D" w:rsidRPr="0003030D">
        <w:rPr>
          <w:rFonts w:ascii="Times New Roman" w:hAnsi="Times New Roman" w:cs="Times New Roman"/>
          <w:sz w:val="28"/>
          <w:szCs w:val="28"/>
        </w:rPr>
        <w:t xml:space="preserve">».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запустить программу, которая позволяет в рамках одного полиса получить комплексную страховую защиту сразу от нескольких рисков.</w:t>
      </w:r>
    </w:p>
    <w:p w:rsidR="00A61175" w:rsidRPr="002F234F" w:rsidRDefault="00A61175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совершенствования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кредитного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скоринга</w:t>
      </w:r>
      <w:proofErr w:type="spellEnd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предложено 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усовершенствовать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процедуру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введя дополнительные задачи. Во-первых, следует проводить обязательную проверку данных о кредиторе на следующих сайтах: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gram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юди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vk.com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ok.ru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crimerussia.ru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dp.ru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. Это позволит определить род деятельности заемщика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уточнить его кредитную историю, что сократит время принятия решения по заявке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3030D" w:rsidRPr="002F234F" w:rsidRDefault="00A61175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В целях укрепления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кадров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АО «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предложено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ввести программу поощрения сотрудников. Она будет заключаться в том, что при положительном результате работы (выполнение или перевыполнение плана) сотруднику будет выплачиваться дополнительно к имеющейся системе премирования 30% переменной части годового вознаграждения, разделенное на три части.</w:t>
      </w:r>
    </w:p>
    <w:p w:rsidR="0003030D" w:rsidRPr="002F234F" w:rsidRDefault="00A61175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укрепления информационной безопасности 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E1A33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внедрить NGFW программу, </w:t>
      </w:r>
      <w:r w:rsidR="007E1A33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способную</w:t>
      </w:r>
      <w:r w:rsidR="00FB4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заблокировать самое продвинутое вредоносное программное обеспечение.</w:t>
      </w:r>
    </w:p>
    <w:p w:rsidR="0003030D" w:rsidRPr="002F234F" w:rsidRDefault="007E1A33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рекомендован </w:t>
      </w:r>
      <w:r w:rsidR="00DB4E71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ереход АО «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человекоцентричную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бизнес-модель и развивать искусственный интеллект (ИИ) «нового поколения».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Это позволит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перевести «большинство решений в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», создав умного AI-помощника для клиентов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внимание сотрудников 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будет сосредоточено на создании безопасного, подконтрольного и доверенного ИИ.</w:t>
      </w:r>
    </w:p>
    <w:p w:rsidR="0003030D" w:rsidRPr="002F234F" w:rsidRDefault="0003030D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повышения уровня экономической безопасности АО «</w:t>
      </w:r>
      <w:proofErr w:type="spellStart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рекомендован запуск программы страхования кредита. </w:t>
      </w:r>
      <w:r w:rsidR="00FE3B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качество повысится на 11%. Внедрение данного мероприятия позволит снизить сумму просроченной задолженности на 3%, а, следовательно, уменьшится формирование резерва на возможные потери по ссудам. </w:t>
      </w:r>
      <w:r w:rsidR="007E1A33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ожидается, это повысит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качеств</w:t>
      </w:r>
      <w:r w:rsidR="007E1A33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кредитного портфеля и повы</w:t>
      </w:r>
      <w:r w:rsidR="007E1A33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сит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</w:t>
      </w:r>
      <w:r w:rsidR="007E1A33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</w:t>
      </w:r>
      <w:r w:rsidR="007E1A33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тивность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кредитным портфелем.</w:t>
      </w:r>
    </w:p>
    <w:p w:rsidR="0003030D" w:rsidRPr="002F234F" w:rsidRDefault="007E1A33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также предложено 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по обязательной проверке данных о заемщике. Руководители подразделений по кадрам считают, что 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данное мероприятие позволит снизить уровень мошенничества на 20%. Таким образом, ущерб от мошеннических действий после введения мероприятия составит 21431200 руб. Эффективность составит 5357800 руб. Таким образом, экономический эффект имеется, а служба безопасности станет работать эффективнее, применяя разработанные нами рекомендации.</w:t>
      </w:r>
    </w:p>
    <w:p w:rsidR="0003030D" w:rsidRPr="002F234F" w:rsidRDefault="007E1A33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проведенного исследования рекомендована п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поощрения сотрудников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Предполагается, что она 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мотивации персонала,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росту его качества работы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предотвратит отток сотрудников. Таким образом, при положительном результате работы сотрудников, средняя заработная плата одного сотрудника вырастит на 10812,3 в год.</w:t>
      </w:r>
    </w:p>
    <w:p w:rsidR="0003030D" w:rsidRPr="002F234F" w:rsidRDefault="007E1A33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показывают, что 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следует воспользоваться NGFW программами, так как при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единоразовых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затратах на покупку и установку межсетевых экранов уйдет 1,3 </w:t>
      </w:r>
      <w:proofErr w:type="spellStart"/>
      <w:proofErr w:type="gram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что почти в 35 раз меньше от потерь при Ddos-атаках. При чем в дальнейшем данная система позволит снизить потери от данных атак на 35%, то есть на 12,25 </w:t>
      </w:r>
      <w:proofErr w:type="spellStart"/>
      <w:proofErr w:type="gram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Что является максимально эффективным решением для АО «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3030D" w:rsidRPr="002F234F" w:rsidRDefault="007E1A33" w:rsidP="000303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предложено</w:t>
      </w:r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перевести «большинство решений в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», создав умного AI-помощника для клиентов. АО «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таким образом нарастит клиентов. 60 </w:t>
      </w:r>
      <w:proofErr w:type="spellStart"/>
      <w:proofErr w:type="gram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человек-физических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пользуются услугами АО «</w:t>
      </w:r>
      <w:proofErr w:type="spell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начало 2023 года. После введения мероприятия количество активных клиентов вырастет на 7%, до 64,2 </w:t>
      </w:r>
      <w:proofErr w:type="spellStart"/>
      <w:proofErr w:type="gramStart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="0003030D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2F234F" w:rsidRDefault="007E1A33" w:rsidP="00C663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обоснованных в работе рекомендаций по </w:t>
      </w:r>
      <w:r w:rsidR="00DB4E71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укреплению экономической безопасности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E71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АО «</w:t>
      </w:r>
      <w:proofErr w:type="spellStart"/>
      <w:r w:rsidR="00DB4E71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нашему мнению, позволит </w:t>
      </w:r>
      <w:r w:rsidR="00DB4E71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банку </w:t>
      </w:r>
      <w:r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</w:t>
      </w:r>
      <w:r w:rsidR="00DB4E71" w:rsidRPr="002F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противостоять выявленным негативным факторам и угрозам финансовой нестабильности и обеспечит его дальнейший устойчивый рост. </w:t>
      </w:r>
    </w:p>
    <w:p w:rsidR="00FE3B7C" w:rsidRDefault="00FE3B7C" w:rsidP="00C663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B7C" w:rsidRPr="00C66362" w:rsidRDefault="00FE3B7C" w:rsidP="00C663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88D" w:rsidRPr="00EF7C5C" w:rsidRDefault="00AF388D" w:rsidP="00AF38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СПИСОК ИСПОЛЬЗОВАННЫХ ИСТОЧНИКОВ</w:t>
      </w:r>
      <w:r w:rsidRPr="00EF7C5C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AF388D" w:rsidRPr="00EF7C5C" w:rsidRDefault="00AF388D" w:rsidP="00AF3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D2F" w:rsidRDefault="00AF388D" w:rsidP="00512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512D2F" w:rsidRPr="00512D2F">
        <w:rPr>
          <w:rFonts w:ascii="Times New Roman" w:eastAsia="Calibri" w:hAnsi="Times New Roman" w:cs="Times New Roman"/>
          <w:sz w:val="28"/>
        </w:rPr>
        <w:t xml:space="preserve">Абрамова </w:t>
      </w:r>
      <w:r w:rsidR="00512D2F">
        <w:rPr>
          <w:rFonts w:ascii="Times New Roman" w:eastAsia="Calibri" w:hAnsi="Times New Roman" w:cs="Times New Roman"/>
          <w:sz w:val="28"/>
        </w:rPr>
        <w:t>Ю.А</w:t>
      </w:r>
      <w:r w:rsidR="00512D2F" w:rsidRPr="00512D2F">
        <w:rPr>
          <w:rFonts w:ascii="Times New Roman" w:eastAsia="Calibri" w:hAnsi="Times New Roman" w:cs="Times New Roman"/>
          <w:sz w:val="28"/>
        </w:rPr>
        <w:t>.</w:t>
      </w:r>
      <w:r w:rsidR="00512D2F">
        <w:rPr>
          <w:rFonts w:ascii="Times New Roman" w:eastAsia="Calibri" w:hAnsi="Times New Roman" w:cs="Times New Roman"/>
          <w:sz w:val="28"/>
        </w:rPr>
        <w:t xml:space="preserve"> К вопросу о системе экономической безопасности в банковском секторе / Ю. А. Абрамова //</w:t>
      </w:r>
      <w:r w:rsidR="00512D2F" w:rsidRPr="00512D2F">
        <w:rPr>
          <w:rFonts w:ascii="Times New Roman" w:eastAsia="Calibri" w:hAnsi="Times New Roman" w:cs="Times New Roman"/>
          <w:sz w:val="28"/>
        </w:rPr>
        <w:t xml:space="preserve"> Гло</w:t>
      </w:r>
      <w:r w:rsidR="00512D2F">
        <w:rPr>
          <w:rFonts w:ascii="Times New Roman" w:eastAsia="Calibri" w:hAnsi="Times New Roman" w:cs="Times New Roman"/>
          <w:sz w:val="28"/>
        </w:rPr>
        <w:t xml:space="preserve">бус: экономика и юриспруденция.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>– 2020. – №</w:t>
      </w:r>
      <w:r w:rsidR="00512D2F">
        <w:rPr>
          <w:rFonts w:ascii="Times New Roman" w:eastAsia="Calibri" w:hAnsi="Times New Roman" w:cs="Times New Roman"/>
          <w:sz w:val="28"/>
        </w:rPr>
        <w:t xml:space="preserve">4 (40).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512D2F" w:rsidRPr="00512D2F">
        <w:rPr>
          <w:rFonts w:ascii="Times New Roman" w:eastAsia="Calibri" w:hAnsi="Times New Roman" w:cs="Times New Roman"/>
          <w:sz w:val="28"/>
        </w:rPr>
        <w:t xml:space="preserve">18-23.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12D2F" w:rsidRPr="00AF388D">
        <w:rPr>
          <w:rFonts w:ascii="Times New Roman" w:eastAsia="Calibri" w:hAnsi="Times New Roman" w:cs="Times New Roman"/>
          <w:sz w:val="28"/>
        </w:rPr>
        <w:t>ISSN:</w:t>
      </w:r>
      <w:r w:rsidR="00512D2F">
        <w:rPr>
          <w:rFonts w:ascii="Times New Roman" w:eastAsia="Calibri" w:hAnsi="Times New Roman" w:cs="Times New Roman"/>
          <w:sz w:val="28"/>
        </w:rPr>
        <w:t xml:space="preserve"> 2713-3052.</w:t>
      </w:r>
    </w:p>
    <w:p w:rsidR="00E90CE0" w:rsidRDefault="00AF1501" w:rsidP="00512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r w:rsidR="00E90CE0">
        <w:rPr>
          <w:rFonts w:ascii="Times New Roman" w:eastAsia="Calibri" w:hAnsi="Times New Roman" w:cs="Times New Roman"/>
          <w:sz w:val="28"/>
        </w:rPr>
        <w:t>Автушенко</w:t>
      </w:r>
      <w:proofErr w:type="spellEnd"/>
      <w:r w:rsidR="00E90CE0">
        <w:rPr>
          <w:rFonts w:ascii="Times New Roman" w:eastAsia="Calibri" w:hAnsi="Times New Roman" w:cs="Times New Roman"/>
          <w:sz w:val="28"/>
        </w:rPr>
        <w:t xml:space="preserve"> О.М. Оценка экономической безопасности коммерческого банка: сравнительный анализ подходов и вопросы совершенствования / О. М. </w:t>
      </w:r>
      <w:proofErr w:type="spellStart"/>
      <w:r w:rsidR="00E90CE0">
        <w:rPr>
          <w:rFonts w:ascii="Times New Roman" w:eastAsia="Calibri" w:hAnsi="Times New Roman" w:cs="Times New Roman"/>
          <w:sz w:val="28"/>
        </w:rPr>
        <w:t>Автошенко</w:t>
      </w:r>
      <w:proofErr w:type="spellEnd"/>
      <w:r w:rsidR="00E90CE0">
        <w:rPr>
          <w:rFonts w:ascii="Times New Roman" w:eastAsia="Calibri" w:hAnsi="Times New Roman" w:cs="Times New Roman"/>
          <w:sz w:val="28"/>
        </w:rPr>
        <w:t xml:space="preserve">, Н. А. Кулагина, О. С. </w:t>
      </w:r>
      <w:proofErr w:type="spellStart"/>
      <w:r w:rsidR="00370639">
        <w:rPr>
          <w:rFonts w:ascii="Times New Roman" w:eastAsia="Calibri" w:hAnsi="Times New Roman" w:cs="Times New Roman"/>
          <w:sz w:val="28"/>
        </w:rPr>
        <w:t>Надежина</w:t>
      </w:r>
      <w:proofErr w:type="spellEnd"/>
      <w:r w:rsidR="00370639">
        <w:rPr>
          <w:rFonts w:ascii="Times New Roman" w:eastAsia="Calibri" w:hAnsi="Times New Roman" w:cs="Times New Roman"/>
          <w:sz w:val="28"/>
        </w:rPr>
        <w:t xml:space="preserve"> // 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Вестник Алтайской академии экономики и права.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2020.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№ 12-3.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370639">
        <w:rPr>
          <w:rFonts w:ascii="Times New Roman" w:eastAsia="Calibri" w:hAnsi="Times New Roman" w:cs="Times New Roman"/>
          <w:sz w:val="28"/>
        </w:rPr>
        <w:t>С. 457-462.</w:t>
      </w:r>
      <w:r w:rsidR="00370639">
        <w:rPr>
          <w:rFonts w:ascii="Times New Roman" w:eastAsia="Calibri" w:hAnsi="Times New Roman" w:cs="Times New Roman"/>
          <w:sz w:val="28"/>
        </w:rPr>
        <w:t xml:space="preserve">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AF388D">
        <w:rPr>
          <w:rFonts w:ascii="Times New Roman" w:eastAsia="Calibri" w:hAnsi="Times New Roman" w:cs="Times New Roman"/>
          <w:sz w:val="28"/>
        </w:rPr>
        <w:t>ISSN:</w:t>
      </w:r>
      <w:r w:rsidR="00370639">
        <w:rPr>
          <w:rFonts w:ascii="Times New Roman" w:eastAsia="Calibri" w:hAnsi="Times New Roman" w:cs="Times New Roman"/>
          <w:sz w:val="28"/>
        </w:rPr>
        <w:t xml:space="preserve"> 7493-1425.</w:t>
      </w:r>
    </w:p>
    <w:p w:rsidR="00166475" w:rsidRDefault="00AF1501" w:rsidP="00512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="00166475" w:rsidRPr="00166475">
        <w:rPr>
          <w:rFonts w:ascii="Times New Roman" w:eastAsia="Calibri" w:hAnsi="Times New Roman" w:cs="Times New Roman"/>
          <w:sz w:val="28"/>
        </w:rPr>
        <w:t xml:space="preserve">Баженов </w:t>
      </w:r>
      <w:r w:rsidR="00166475">
        <w:rPr>
          <w:rFonts w:ascii="Times New Roman" w:eastAsia="Calibri" w:hAnsi="Times New Roman" w:cs="Times New Roman"/>
          <w:sz w:val="28"/>
        </w:rPr>
        <w:t xml:space="preserve">А.С. Проблемы, с которыми столкнулась банковская система РФ в период </w:t>
      </w:r>
      <w:proofErr w:type="spellStart"/>
      <w:r w:rsidR="00166475">
        <w:rPr>
          <w:rFonts w:ascii="Times New Roman" w:eastAsia="Calibri" w:hAnsi="Times New Roman" w:cs="Times New Roman"/>
          <w:sz w:val="28"/>
        </w:rPr>
        <w:t>санкционного</w:t>
      </w:r>
      <w:proofErr w:type="spellEnd"/>
      <w:r w:rsidR="00166475">
        <w:rPr>
          <w:rFonts w:ascii="Times New Roman" w:eastAsia="Calibri" w:hAnsi="Times New Roman" w:cs="Times New Roman"/>
          <w:sz w:val="28"/>
        </w:rPr>
        <w:t xml:space="preserve"> кризиса и пути их решения / А. С. Баженов //</w:t>
      </w:r>
      <w:r w:rsidR="00166475" w:rsidRPr="00166475">
        <w:rPr>
          <w:rFonts w:ascii="Times New Roman" w:eastAsia="Calibri" w:hAnsi="Times New Roman" w:cs="Times New Roman"/>
          <w:sz w:val="28"/>
        </w:rPr>
        <w:t xml:space="preserve"> Финансы и кредит: адаптация и тренды развития</w:t>
      </w:r>
      <w:r w:rsidR="00512D2F">
        <w:rPr>
          <w:rFonts w:ascii="Times New Roman" w:eastAsia="Calibri" w:hAnsi="Times New Roman" w:cs="Times New Roman"/>
          <w:sz w:val="28"/>
        </w:rPr>
        <w:t xml:space="preserve">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>– 2023. –</w:t>
      </w:r>
      <w:r w:rsidR="00512D2F">
        <w:rPr>
          <w:rFonts w:ascii="Times New Roman" w:eastAsia="Calibri" w:hAnsi="Times New Roman" w:cs="Times New Roman"/>
          <w:sz w:val="28"/>
        </w:rPr>
        <w:t xml:space="preserve"> с. 1100-1103.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12D2F" w:rsidRPr="00AF388D">
        <w:rPr>
          <w:rFonts w:ascii="Times New Roman" w:eastAsia="Calibri" w:hAnsi="Times New Roman" w:cs="Times New Roman"/>
          <w:sz w:val="28"/>
        </w:rPr>
        <w:t>ISSN:</w:t>
      </w:r>
      <w:r w:rsidR="00512D2F">
        <w:rPr>
          <w:rFonts w:ascii="Times New Roman" w:eastAsia="Calibri" w:hAnsi="Times New Roman" w:cs="Times New Roman"/>
          <w:sz w:val="28"/>
        </w:rPr>
        <w:t xml:space="preserve"> 3382-5993.</w:t>
      </w:r>
    </w:p>
    <w:p w:rsidR="00FB195A" w:rsidRDefault="00AF1501" w:rsidP="00FB19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r w:rsidR="00FB195A">
        <w:rPr>
          <w:rFonts w:ascii="Times New Roman" w:eastAsia="Calibri" w:hAnsi="Times New Roman" w:cs="Times New Roman"/>
          <w:sz w:val="28"/>
        </w:rPr>
        <w:t>Баранова А.С. Баланс банка. Пассивы и активы. «</w:t>
      </w:r>
      <w:proofErr w:type="spellStart"/>
      <w:r w:rsidR="00FB195A">
        <w:rPr>
          <w:rFonts w:ascii="Times New Roman" w:eastAsia="Calibri" w:hAnsi="Times New Roman" w:cs="Times New Roman"/>
          <w:sz w:val="28"/>
        </w:rPr>
        <w:t>Газпромбанк</w:t>
      </w:r>
      <w:proofErr w:type="spellEnd"/>
      <w:r w:rsidR="00FB195A">
        <w:rPr>
          <w:rFonts w:ascii="Times New Roman" w:eastAsia="Calibri" w:hAnsi="Times New Roman" w:cs="Times New Roman"/>
          <w:sz w:val="28"/>
        </w:rPr>
        <w:t xml:space="preserve">» / А. С. Баранова // </w:t>
      </w:r>
      <w:r w:rsidR="00FB195A" w:rsidRPr="00FB195A">
        <w:rPr>
          <w:rFonts w:ascii="Times New Roman" w:eastAsia="Calibri" w:hAnsi="Times New Roman" w:cs="Times New Roman"/>
          <w:sz w:val="28"/>
        </w:rPr>
        <w:t>Ульяновский государс</w:t>
      </w:r>
      <w:r w:rsidR="00FB195A">
        <w:rPr>
          <w:rFonts w:ascii="Times New Roman" w:eastAsia="Calibri" w:hAnsi="Times New Roman" w:cs="Times New Roman"/>
          <w:sz w:val="28"/>
        </w:rPr>
        <w:t xml:space="preserve">твенный технический университет </w:t>
      </w:r>
      <w:r w:rsidR="00FB195A" w:rsidRPr="00FB195A">
        <w:rPr>
          <w:rFonts w:ascii="Times New Roman" w:eastAsia="Calibri" w:hAnsi="Times New Roman" w:cs="Times New Roman"/>
          <w:sz w:val="28"/>
        </w:rPr>
        <w:t xml:space="preserve">Тип: статья в сборнике трудов конференции Язык: русский Год издания: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195A" w:rsidRPr="00FB195A">
        <w:rPr>
          <w:rFonts w:ascii="Times New Roman" w:eastAsia="Calibri" w:hAnsi="Times New Roman" w:cs="Times New Roman"/>
          <w:sz w:val="28"/>
        </w:rPr>
        <w:t>2021</w:t>
      </w:r>
      <w:r w:rsidR="00FB195A">
        <w:rPr>
          <w:rFonts w:ascii="Times New Roman" w:eastAsia="Calibri" w:hAnsi="Times New Roman" w:cs="Times New Roman"/>
          <w:sz w:val="28"/>
        </w:rPr>
        <w:t xml:space="preserve">.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195A">
        <w:rPr>
          <w:rFonts w:ascii="Times New Roman" w:eastAsia="Calibri" w:hAnsi="Times New Roman" w:cs="Times New Roman"/>
          <w:sz w:val="28"/>
        </w:rPr>
        <w:t>С.</w:t>
      </w:r>
      <w:r w:rsidR="00FB195A" w:rsidRPr="00FB195A">
        <w:rPr>
          <w:rFonts w:ascii="Times New Roman" w:eastAsia="Calibri" w:hAnsi="Times New Roman" w:cs="Times New Roman"/>
          <w:sz w:val="28"/>
        </w:rPr>
        <w:t xml:space="preserve"> 68-72</w:t>
      </w:r>
      <w:r w:rsidR="00FB195A">
        <w:rPr>
          <w:rFonts w:ascii="Times New Roman" w:eastAsia="Calibri" w:hAnsi="Times New Roman" w:cs="Times New Roman"/>
          <w:sz w:val="28"/>
        </w:rPr>
        <w:t xml:space="preserve">.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195A" w:rsidRPr="00AF388D">
        <w:rPr>
          <w:rFonts w:ascii="Times New Roman" w:eastAsia="Calibri" w:hAnsi="Times New Roman" w:cs="Times New Roman"/>
          <w:sz w:val="28"/>
        </w:rPr>
        <w:t>ISSN:</w:t>
      </w:r>
      <w:r w:rsidR="00FB195A">
        <w:rPr>
          <w:rFonts w:ascii="Times New Roman" w:eastAsia="Calibri" w:hAnsi="Times New Roman" w:cs="Times New Roman"/>
          <w:sz w:val="28"/>
        </w:rPr>
        <w:t xml:space="preserve"> </w:t>
      </w:r>
      <w:r w:rsidR="00FB195A" w:rsidRPr="00FB195A">
        <w:rPr>
          <w:rFonts w:ascii="Times New Roman" w:eastAsia="Calibri" w:hAnsi="Times New Roman" w:cs="Times New Roman"/>
          <w:sz w:val="28"/>
        </w:rPr>
        <w:t>4626</w:t>
      </w:r>
      <w:r w:rsidR="00FB195A">
        <w:rPr>
          <w:rFonts w:ascii="Times New Roman" w:eastAsia="Calibri" w:hAnsi="Times New Roman" w:cs="Times New Roman"/>
          <w:sz w:val="28"/>
        </w:rPr>
        <w:t>-</w:t>
      </w:r>
      <w:r w:rsidR="00FB195A" w:rsidRPr="00FB195A">
        <w:rPr>
          <w:rFonts w:ascii="Times New Roman" w:eastAsia="Calibri" w:hAnsi="Times New Roman" w:cs="Times New Roman"/>
          <w:sz w:val="28"/>
        </w:rPr>
        <w:t>6590</w:t>
      </w:r>
      <w:r w:rsidR="00C66362">
        <w:rPr>
          <w:rFonts w:ascii="Times New Roman" w:eastAsia="Calibri" w:hAnsi="Times New Roman" w:cs="Times New Roman"/>
          <w:sz w:val="28"/>
        </w:rPr>
        <w:t>.</w:t>
      </w:r>
    </w:p>
    <w:p w:rsidR="00512D2F" w:rsidRDefault="00AF1501" w:rsidP="00512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="00512D2F" w:rsidRPr="00512D2F">
        <w:rPr>
          <w:rFonts w:ascii="Times New Roman" w:eastAsia="Calibri" w:hAnsi="Times New Roman" w:cs="Times New Roman"/>
          <w:sz w:val="28"/>
        </w:rPr>
        <w:t>Берлин</w:t>
      </w:r>
      <w:r w:rsidR="00512D2F">
        <w:rPr>
          <w:rFonts w:ascii="Times New Roman" w:eastAsia="Calibri" w:hAnsi="Times New Roman" w:cs="Times New Roman"/>
          <w:sz w:val="28"/>
        </w:rPr>
        <w:t xml:space="preserve"> С.И</w:t>
      </w:r>
      <w:r w:rsidR="00512D2F" w:rsidRPr="002F234F">
        <w:rPr>
          <w:rFonts w:ascii="Times New Roman" w:eastAsia="Calibri" w:hAnsi="Times New Roman" w:cs="Times New Roman"/>
          <w:color w:val="000000" w:themeColor="text1"/>
          <w:sz w:val="28"/>
        </w:rPr>
        <w:t xml:space="preserve">. </w:t>
      </w:r>
      <w:r w:rsidR="00DB4E71" w:rsidRPr="002F234F">
        <w:rPr>
          <w:rFonts w:ascii="Times New Roman" w:eastAsia="Calibri" w:hAnsi="Times New Roman" w:cs="Times New Roman"/>
          <w:color w:val="000000" w:themeColor="text1"/>
          <w:sz w:val="28"/>
        </w:rPr>
        <w:t>и</w:t>
      </w:r>
      <w:r w:rsidR="00512D2F" w:rsidRPr="00512D2F">
        <w:rPr>
          <w:rFonts w:ascii="Times New Roman" w:eastAsia="Calibri" w:hAnsi="Times New Roman" w:cs="Times New Roman"/>
          <w:sz w:val="28"/>
        </w:rPr>
        <w:t xml:space="preserve"> Н.В. Кравченко.</w:t>
      </w:r>
      <w:r w:rsidR="00512D2F">
        <w:rPr>
          <w:rFonts w:ascii="Times New Roman" w:eastAsia="Calibri" w:hAnsi="Times New Roman" w:cs="Times New Roman"/>
          <w:sz w:val="28"/>
        </w:rPr>
        <w:t xml:space="preserve"> Повышение экономической безопасности банковского сектора в условиях международных </w:t>
      </w:r>
      <w:proofErr w:type="spellStart"/>
      <w:r w:rsidR="00512D2F">
        <w:rPr>
          <w:rFonts w:ascii="Times New Roman" w:eastAsia="Calibri" w:hAnsi="Times New Roman" w:cs="Times New Roman"/>
          <w:sz w:val="28"/>
        </w:rPr>
        <w:t>санкционных</w:t>
      </w:r>
      <w:proofErr w:type="spellEnd"/>
      <w:r w:rsidR="00512D2F">
        <w:rPr>
          <w:rFonts w:ascii="Times New Roman" w:eastAsia="Calibri" w:hAnsi="Times New Roman" w:cs="Times New Roman"/>
          <w:sz w:val="28"/>
        </w:rPr>
        <w:t xml:space="preserve"> воздействий / С. И. Берлин, Н. В. Кравченко //</w:t>
      </w:r>
      <w:r w:rsidR="00512D2F" w:rsidRPr="00512D2F">
        <w:rPr>
          <w:rFonts w:ascii="Times New Roman" w:eastAsia="Calibri" w:hAnsi="Times New Roman" w:cs="Times New Roman"/>
          <w:sz w:val="28"/>
        </w:rPr>
        <w:t xml:space="preserve"> </w:t>
      </w:r>
      <w:r w:rsidR="00512D2F">
        <w:rPr>
          <w:rFonts w:ascii="Times New Roman" w:eastAsia="Calibri" w:hAnsi="Times New Roman" w:cs="Times New Roman"/>
          <w:sz w:val="28"/>
        </w:rPr>
        <w:t xml:space="preserve">Вестник Академии знаний.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>– 2021. – №</w:t>
      </w:r>
      <w:r w:rsidR="00512D2F">
        <w:rPr>
          <w:rFonts w:ascii="Times New Roman" w:eastAsia="Calibri" w:hAnsi="Times New Roman" w:cs="Times New Roman"/>
          <w:sz w:val="28"/>
        </w:rPr>
        <w:t xml:space="preserve">2 (43).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512D2F" w:rsidRPr="00512D2F">
        <w:rPr>
          <w:rFonts w:ascii="Times New Roman" w:eastAsia="Calibri" w:hAnsi="Times New Roman" w:cs="Times New Roman"/>
          <w:sz w:val="28"/>
        </w:rPr>
        <w:t xml:space="preserve">340-346.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12D2F" w:rsidRPr="00AF388D">
        <w:rPr>
          <w:rFonts w:ascii="Times New Roman" w:eastAsia="Calibri" w:hAnsi="Times New Roman" w:cs="Times New Roman"/>
          <w:sz w:val="28"/>
        </w:rPr>
        <w:t>ISSN:</w:t>
      </w:r>
      <w:r w:rsidR="00512D2F">
        <w:rPr>
          <w:rFonts w:ascii="Times New Roman" w:eastAsia="Calibri" w:hAnsi="Times New Roman" w:cs="Times New Roman"/>
          <w:sz w:val="28"/>
        </w:rPr>
        <w:t xml:space="preserve"> </w:t>
      </w:r>
      <w:r w:rsidR="00512D2F" w:rsidRPr="00512D2F">
        <w:rPr>
          <w:rFonts w:ascii="Times New Roman" w:eastAsia="Calibri" w:hAnsi="Times New Roman" w:cs="Times New Roman"/>
          <w:sz w:val="28"/>
        </w:rPr>
        <w:t>2304-6139</w:t>
      </w:r>
      <w:r w:rsidR="00512D2F">
        <w:rPr>
          <w:rFonts w:ascii="Times New Roman" w:eastAsia="Calibri" w:hAnsi="Times New Roman" w:cs="Times New Roman"/>
          <w:sz w:val="28"/>
        </w:rPr>
        <w:t>.</w:t>
      </w:r>
    </w:p>
    <w:p w:rsidR="00D34B2E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 </w:t>
      </w:r>
      <w:proofErr w:type="spellStart"/>
      <w:r w:rsidR="00D34B2E" w:rsidRPr="00D34B2E">
        <w:rPr>
          <w:rFonts w:ascii="Times New Roman" w:eastAsia="Calibri" w:hAnsi="Times New Roman" w:cs="Times New Roman"/>
          <w:sz w:val="28"/>
        </w:rPr>
        <w:t>Бернадина</w:t>
      </w:r>
      <w:proofErr w:type="spellEnd"/>
      <w:r w:rsidR="00D34B2E" w:rsidRPr="00D34B2E">
        <w:rPr>
          <w:rFonts w:ascii="Times New Roman" w:eastAsia="Calibri" w:hAnsi="Times New Roman" w:cs="Times New Roman"/>
          <w:sz w:val="28"/>
        </w:rPr>
        <w:t xml:space="preserve"> </w:t>
      </w:r>
      <w:r w:rsidR="00D34B2E">
        <w:rPr>
          <w:rFonts w:ascii="Times New Roman" w:eastAsia="Calibri" w:hAnsi="Times New Roman" w:cs="Times New Roman"/>
          <w:sz w:val="28"/>
        </w:rPr>
        <w:t>Е.Е</w:t>
      </w:r>
      <w:r w:rsidR="00D34B2E" w:rsidRPr="00D34B2E">
        <w:rPr>
          <w:rFonts w:ascii="Times New Roman" w:eastAsia="Calibri" w:hAnsi="Times New Roman" w:cs="Times New Roman"/>
          <w:sz w:val="28"/>
        </w:rPr>
        <w:t>.</w:t>
      </w:r>
      <w:r w:rsidR="00D34B2E">
        <w:rPr>
          <w:rFonts w:ascii="Times New Roman" w:eastAsia="Calibri" w:hAnsi="Times New Roman" w:cs="Times New Roman"/>
          <w:sz w:val="28"/>
        </w:rPr>
        <w:t xml:space="preserve"> Управление качеством кредитного портфеля / Е. Е. </w:t>
      </w:r>
      <w:proofErr w:type="spellStart"/>
      <w:r w:rsidR="00D34B2E">
        <w:rPr>
          <w:rFonts w:ascii="Times New Roman" w:eastAsia="Calibri" w:hAnsi="Times New Roman" w:cs="Times New Roman"/>
          <w:sz w:val="28"/>
        </w:rPr>
        <w:t>Бернадина</w:t>
      </w:r>
      <w:proofErr w:type="spellEnd"/>
      <w:r w:rsidR="00D34B2E">
        <w:rPr>
          <w:rFonts w:ascii="Times New Roman" w:eastAsia="Calibri" w:hAnsi="Times New Roman" w:cs="Times New Roman"/>
          <w:sz w:val="28"/>
        </w:rPr>
        <w:t xml:space="preserve"> //</w:t>
      </w:r>
      <w:r w:rsidR="00D34B2E" w:rsidRPr="00D34B2E">
        <w:rPr>
          <w:rFonts w:ascii="Times New Roman" w:eastAsia="Calibri" w:hAnsi="Times New Roman" w:cs="Times New Roman"/>
          <w:sz w:val="28"/>
        </w:rPr>
        <w:t xml:space="preserve"> Вестник науки и творчества</w:t>
      </w:r>
      <w:r w:rsidR="00D34B2E">
        <w:rPr>
          <w:rFonts w:ascii="Times New Roman" w:eastAsia="Calibri" w:hAnsi="Times New Roman" w:cs="Times New Roman"/>
          <w:sz w:val="28"/>
        </w:rPr>
        <w:t xml:space="preserve">. </w:t>
      </w:r>
      <w:r w:rsidR="00D34B2E">
        <w:rPr>
          <w:rFonts w:ascii="Times New Roman" w:hAnsi="Times New Roman" w:cs="Times New Roman"/>
          <w:color w:val="000000" w:themeColor="text1"/>
          <w:sz w:val="28"/>
          <w:szCs w:val="28"/>
        </w:rPr>
        <w:t>– 2021. – №</w:t>
      </w:r>
      <w:r w:rsidR="00D34B2E">
        <w:rPr>
          <w:rFonts w:ascii="Times New Roman" w:eastAsia="Calibri" w:hAnsi="Times New Roman" w:cs="Times New Roman"/>
          <w:sz w:val="28"/>
        </w:rPr>
        <w:t xml:space="preserve"> 5 (65). </w:t>
      </w:r>
      <w:r w:rsidR="00D3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D34B2E" w:rsidRPr="00D34B2E">
        <w:rPr>
          <w:rFonts w:ascii="Times New Roman" w:eastAsia="Calibri" w:hAnsi="Times New Roman" w:cs="Times New Roman"/>
          <w:sz w:val="28"/>
        </w:rPr>
        <w:t>14-20.</w:t>
      </w:r>
      <w:r w:rsidR="00D34B2E">
        <w:rPr>
          <w:rFonts w:ascii="Times New Roman" w:eastAsia="Calibri" w:hAnsi="Times New Roman" w:cs="Times New Roman"/>
          <w:sz w:val="28"/>
        </w:rPr>
        <w:t xml:space="preserve"> </w:t>
      </w:r>
      <w:r w:rsidR="00D3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34B2E" w:rsidRPr="00AF388D">
        <w:rPr>
          <w:rFonts w:ascii="Times New Roman" w:eastAsia="Calibri" w:hAnsi="Times New Roman" w:cs="Times New Roman"/>
          <w:sz w:val="28"/>
        </w:rPr>
        <w:t>ISSN:</w:t>
      </w:r>
      <w:r w:rsidR="00D34B2E">
        <w:rPr>
          <w:rFonts w:ascii="Times New Roman" w:eastAsia="Calibri" w:hAnsi="Times New Roman" w:cs="Times New Roman"/>
          <w:sz w:val="28"/>
        </w:rPr>
        <w:t xml:space="preserve"> 5534-4596.</w:t>
      </w:r>
    </w:p>
    <w:p w:rsidR="00370639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7. </w:t>
      </w:r>
      <w:proofErr w:type="spellStart"/>
      <w:r w:rsidR="00370639">
        <w:rPr>
          <w:rFonts w:ascii="Times New Roman" w:eastAsia="Calibri" w:hAnsi="Times New Roman" w:cs="Times New Roman"/>
          <w:sz w:val="28"/>
        </w:rPr>
        <w:t>Бикташева</w:t>
      </w:r>
      <w:proofErr w:type="spellEnd"/>
      <w:r w:rsidR="00370639">
        <w:rPr>
          <w:rFonts w:ascii="Times New Roman" w:eastAsia="Calibri" w:hAnsi="Times New Roman" w:cs="Times New Roman"/>
          <w:sz w:val="28"/>
        </w:rPr>
        <w:t xml:space="preserve"> Л.И. Экономическая безопасность коммерческого банка / Л. И. </w:t>
      </w:r>
      <w:proofErr w:type="spellStart"/>
      <w:r w:rsidR="00370639">
        <w:rPr>
          <w:rFonts w:ascii="Times New Roman" w:eastAsia="Calibri" w:hAnsi="Times New Roman" w:cs="Times New Roman"/>
          <w:sz w:val="28"/>
        </w:rPr>
        <w:t>Бикташева</w:t>
      </w:r>
      <w:proofErr w:type="spellEnd"/>
      <w:r w:rsidR="00370639">
        <w:rPr>
          <w:rFonts w:ascii="Times New Roman" w:eastAsia="Calibri" w:hAnsi="Times New Roman" w:cs="Times New Roman"/>
          <w:sz w:val="28"/>
        </w:rPr>
        <w:t xml:space="preserve"> // Экономика и социум.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>– 2022. – №</w:t>
      </w:r>
      <w:r w:rsidR="00370639">
        <w:rPr>
          <w:rFonts w:ascii="Times New Roman" w:eastAsia="Calibri" w:hAnsi="Times New Roman" w:cs="Times New Roman"/>
          <w:sz w:val="28"/>
        </w:rPr>
        <w:t xml:space="preserve">3-2 (94).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370639" w:rsidRPr="00370639">
        <w:rPr>
          <w:rFonts w:ascii="Times New Roman" w:eastAsia="Calibri" w:hAnsi="Times New Roman" w:cs="Times New Roman"/>
          <w:sz w:val="28"/>
        </w:rPr>
        <w:t>459-462.</w:t>
      </w:r>
      <w:r w:rsidR="00370639">
        <w:rPr>
          <w:rFonts w:ascii="Times New Roman" w:eastAsia="Calibri" w:hAnsi="Times New Roman" w:cs="Times New Roman"/>
          <w:sz w:val="28"/>
        </w:rPr>
        <w:t xml:space="preserve">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AF388D">
        <w:rPr>
          <w:rFonts w:ascii="Times New Roman" w:eastAsia="Calibri" w:hAnsi="Times New Roman" w:cs="Times New Roman"/>
          <w:sz w:val="28"/>
        </w:rPr>
        <w:t>ISSN:</w:t>
      </w:r>
      <w:r w:rsidR="00370639">
        <w:rPr>
          <w:rFonts w:ascii="Times New Roman" w:eastAsia="Calibri" w:hAnsi="Times New Roman" w:cs="Times New Roman"/>
          <w:sz w:val="28"/>
        </w:rPr>
        <w:t xml:space="preserve"> </w:t>
      </w:r>
      <w:r w:rsidR="00370639" w:rsidRPr="00370639">
        <w:rPr>
          <w:rFonts w:ascii="Times New Roman" w:eastAsia="Calibri" w:hAnsi="Times New Roman" w:cs="Times New Roman"/>
          <w:sz w:val="28"/>
        </w:rPr>
        <w:t>2225-1545</w:t>
      </w:r>
      <w:r w:rsidR="00370639">
        <w:rPr>
          <w:rFonts w:ascii="Times New Roman" w:eastAsia="Calibri" w:hAnsi="Times New Roman" w:cs="Times New Roman"/>
          <w:sz w:val="28"/>
        </w:rPr>
        <w:t>.</w:t>
      </w:r>
    </w:p>
    <w:p w:rsidR="00E90CE0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8. 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Боровиков </w:t>
      </w:r>
      <w:r w:rsidR="00E90CE0">
        <w:rPr>
          <w:rFonts w:ascii="Times New Roman" w:eastAsia="Calibri" w:hAnsi="Times New Roman" w:cs="Times New Roman"/>
          <w:sz w:val="28"/>
        </w:rPr>
        <w:t>Г.С.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 </w:t>
      </w:r>
      <w:r w:rsidR="00E90CE0">
        <w:rPr>
          <w:rFonts w:ascii="Times New Roman" w:eastAsia="Calibri" w:hAnsi="Times New Roman" w:cs="Times New Roman"/>
          <w:sz w:val="28"/>
        </w:rPr>
        <w:t xml:space="preserve">Обеспечение экономической безопасности деятельности коммерческих банков / Г. С. Боровиков, С. А. Овчаренко // Финансовые рынки и банки.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>– 2022. – №</w:t>
      </w:r>
      <w:r w:rsidR="00E90CE0">
        <w:rPr>
          <w:rFonts w:ascii="Times New Roman" w:eastAsia="Calibri" w:hAnsi="Times New Roman" w:cs="Times New Roman"/>
          <w:sz w:val="28"/>
        </w:rPr>
        <w:t xml:space="preserve">11.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E90CE0" w:rsidRPr="00E90CE0">
        <w:rPr>
          <w:rFonts w:ascii="Times New Roman" w:eastAsia="Calibri" w:hAnsi="Times New Roman" w:cs="Times New Roman"/>
          <w:sz w:val="28"/>
        </w:rPr>
        <w:t>162-165.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AF388D">
        <w:rPr>
          <w:rFonts w:ascii="Times New Roman" w:eastAsia="Calibri" w:hAnsi="Times New Roman" w:cs="Times New Roman"/>
          <w:sz w:val="28"/>
        </w:rPr>
        <w:t>ISSN:</w:t>
      </w:r>
      <w:r w:rsidR="00E90CE0">
        <w:rPr>
          <w:rFonts w:ascii="Times New Roman" w:eastAsia="Calibri" w:hAnsi="Times New Roman" w:cs="Times New Roman"/>
          <w:sz w:val="28"/>
        </w:rPr>
        <w:t xml:space="preserve"> 4896-2286.</w:t>
      </w:r>
    </w:p>
    <w:p w:rsidR="00512D2F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9. </w:t>
      </w:r>
      <w:r w:rsidR="00512D2F">
        <w:rPr>
          <w:rFonts w:ascii="Times New Roman" w:eastAsia="Calibri" w:hAnsi="Times New Roman" w:cs="Times New Roman"/>
          <w:sz w:val="28"/>
        </w:rPr>
        <w:t>Брагина Г.Н., Экономическая безопасность коммерческого банка / Г. Н. Брагина, К. А. Ковач //</w:t>
      </w:r>
      <w:r w:rsidR="00512D2F" w:rsidRPr="00512D2F">
        <w:rPr>
          <w:rFonts w:ascii="Times New Roman" w:eastAsia="Calibri" w:hAnsi="Times New Roman" w:cs="Times New Roman"/>
          <w:sz w:val="28"/>
        </w:rPr>
        <w:t xml:space="preserve"> Вестник</w:t>
      </w:r>
      <w:r w:rsidR="00681F6D">
        <w:rPr>
          <w:rFonts w:ascii="Times New Roman" w:eastAsia="Calibri" w:hAnsi="Times New Roman" w:cs="Times New Roman"/>
          <w:sz w:val="28"/>
        </w:rPr>
        <w:t xml:space="preserve"> экономики</w:t>
      </w:r>
      <w:r w:rsidR="00512D2F">
        <w:rPr>
          <w:rFonts w:ascii="Times New Roman" w:eastAsia="Calibri" w:hAnsi="Times New Roman" w:cs="Times New Roman"/>
          <w:sz w:val="28"/>
        </w:rPr>
        <w:t xml:space="preserve">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>– 2023. – №</w:t>
      </w:r>
      <w:r w:rsidR="00512D2F">
        <w:rPr>
          <w:rFonts w:ascii="Times New Roman" w:eastAsia="Calibri" w:hAnsi="Times New Roman" w:cs="Times New Roman"/>
          <w:sz w:val="28"/>
        </w:rPr>
        <w:t xml:space="preserve">2.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512D2F" w:rsidRPr="00512D2F">
        <w:rPr>
          <w:rFonts w:ascii="Times New Roman" w:eastAsia="Calibri" w:hAnsi="Times New Roman" w:cs="Times New Roman"/>
          <w:sz w:val="28"/>
        </w:rPr>
        <w:t>5-9.</w:t>
      </w:r>
      <w:r w:rsidR="00512D2F">
        <w:rPr>
          <w:rFonts w:ascii="Times New Roman" w:eastAsia="Calibri" w:hAnsi="Times New Roman" w:cs="Times New Roman"/>
          <w:sz w:val="28"/>
        </w:rPr>
        <w:t xml:space="preserve">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12D2F" w:rsidRPr="00AF388D">
        <w:rPr>
          <w:rFonts w:ascii="Times New Roman" w:eastAsia="Calibri" w:hAnsi="Times New Roman" w:cs="Times New Roman"/>
          <w:sz w:val="28"/>
        </w:rPr>
        <w:t>ISSN:</w:t>
      </w:r>
      <w:r w:rsidR="00512D2F">
        <w:rPr>
          <w:rFonts w:ascii="Times New Roman" w:eastAsia="Calibri" w:hAnsi="Times New Roman" w:cs="Times New Roman"/>
          <w:sz w:val="28"/>
        </w:rPr>
        <w:t xml:space="preserve"> </w:t>
      </w:r>
      <w:r w:rsidR="00512D2F" w:rsidRPr="00512D2F">
        <w:rPr>
          <w:rFonts w:ascii="Times New Roman" w:eastAsia="Calibri" w:hAnsi="Times New Roman" w:cs="Times New Roman"/>
          <w:sz w:val="28"/>
        </w:rPr>
        <w:t>2541-9250</w:t>
      </w:r>
      <w:r w:rsidR="00512D2F">
        <w:rPr>
          <w:rFonts w:ascii="Times New Roman" w:eastAsia="Calibri" w:hAnsi="Times New Roman" w:cs="Times New Roman"/>
          <w:sz w:val="28"/>
        </w:rPr>
        <w:t>.</w:t>
      </w:r>
    </w:p>
    <w:p w:rsidR="00E90CE0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10. </w:t>
      </w:r>
      <w:proofErr w:type="spellStart"/>
      <w:r w:rsidR="00E90CE0" w:rsidRPr="00E90CE0">
        <w:rPr>
          <w:rFonts w:ascii="Times New Roman" w:eastAsia="Calibri" w:hAnsi="Times New Roman" w:cs="Times New Roman"/>
          <w:sz w:val="28"/>
        </w:rPr>
        <w:t>Буткалюк</w:t>
      </w:r>
      <w:proofErr w:type="spellEnd"/>
      <w:r w:rsidR="00E90CE0" w:rsidRPr="00E90CE0">
        <w:rPr>
          <w:rFonts w:ascii="Times New Roman" w:eastAsia="Calibri" w:hAnsi="Times New Roman" w:cs="Times New Roman"/>
          <w:sz w:val="28"/>
        </w:rPr>
        <w:t xml:space="preserve"> М.П.</w:t>
      </w:r>
      <w:r w:rsidR="00E90CE0">
        <w:rPr>
          <w:rFonts w:ascii="Times New Roman" w:eastAsia="Calibri" w:hAnsi="Times New Roman" w:cs="Times New Roman"/>
          <w:sz w:val="28"/>
        </w:rPr>
        <w:t xml:space="preserve"> Факторы, влияющие на </w:t>
      </w:r>
      <w:proofErr w:type="gramStart"/>
      <w:r w:rsidR="00E90CE0">
        <w:rPr>
          <w:rFonts w:ascii="Times New Roman" w:eastAsia="Calibri" w:hAnsi="Times New Roman" w:cs="Times New Roman"/>
          <w:sz w:val="28"/>
        </w:rPr>
        <w:t>экономическую</w:t>
      </w:r>
      <w:proofErr w:type="gramEnd"/>
      <w:r w:rsidR="00E90CE0">
        <w:rPr>
          <w:rFonts w:ascii="Times New Roman" w:eastAsia="Calibri" w:hAnsi="Times New Roman" w:cs="Times New Roman"/>
          <w:sz w:val="28"/>
        </w:rPr>
        <w:t xml:space="preserve"> безопасности коммерческого банка / М. П. </w:t>
      </w:r>
      <w:proofErr w:type="spellStart"/>
      <w:r w:rsidR="00E90CE0">
        <w:rPr>
          <w:rFonts w:ascii="Times New Roman" w:eastAsia="Calibri" w:hAnsi="Times New Roman" w:cs="Times New Roman"/>
          <w:sz w:val="28"/>
        </w:rPr>
        <w:t>Буткалюк</w:t>
      </w:r>
      <w:proofErr w:type="spellEnd"/>
      <w:r w:rsidR="00E90CE0">
        <w:rPr>
          <w:rFonts w:ascii="Times New Roman" w:eastAsia="Calibri" w:hAnsi="Times New Roman" w:cs="Times New Roman"/>
          <w:sz w:val="28"/>
        </w:rPr>
        <w:t xml:space="preserve"> // 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сборник статей Всероссийской конференции.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2019.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E90CE0">
        <w:rPr>
          <w:rFonts w:ascii="Times New Roman" w:eastAsia="Calibri" w:hAnsi="Times New Roman" w:cs="Times New Roman"/>
          <w:sz w:val="28"/>
        </w:rPr>
        <w:t>С. 137-139.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AF388D">
        <w:rPr>
          <w:rFonts w:ascii="Times New Roman" w:eastAsia="Calibri" w:hAnsi="Times New Roman" w:cs="Times New Roman"/>
          <w:sz w:val="28"/>
        </w:rPr>
        <w:t>ISSN: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 w:rsidRPr="00E90CE0">
        <w:rPr>
          <w:rFonts w:ascii="Times New Roman" w:eastAsia="Calibri" w:hAnsi="Times New Roman" w:cs="Times New Roman"/>
          <w:sz w:val="28"/>
        </w:rPr>
        <w:t>4135</w:t>
      </w:r>
      <w:r w:rsidR="00E90CE0">
        <w:rPr>
          <w:rFonts w:ascii="Times New Roman" w:eastAsia="Calibri" w:hAnsi="Times New Roman" w:cs="Times New Roman"/>
          <w:sz w:val="28"/>
        </w:rPr>
        <w:t>-</w:t>
      </w:r>
      <w:r w:rsidR="00E90CE0" w:rsidRPr="00E90CE0">
        <w:rPr>
          <w:rFonts w:ascii="Times New Roman" w:eastAsia="Calibri" w:hAnsi="Times New Roman" w:cs="Times New Roman"/>
          <w:sz w:val="28"/>
        </w:rPr>
        <w:t>9086</w:t>
      </w:r>
      <w:r w:rsidR="00E90CE0">
        <w:rPr>
          <w:rFonts w:ascii="Times New Roman" w:eastAsia="Calibri" w:hAnsi="Times New Roman" w:cs="Times New Roman"/>
          <w:sz w:val="28"/>
        </w:rPr>
        <w:t>.</w:t>
      </w:r>
    </w:p>
    <w:p w:rsidR="00587ED0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11. </w:t>
      </w:r>
      <w:proofErr w:type="spellStart"/>
      <w:r w:rsidR="00587ED0">
        <w:rPr>
          <w:rFonts w:ascii="Times New Roman" w:eastAsia="Calibri" w:hAnsi="Times New Roman" w:cs="Times New Roman"/>
          <w:sz w:val="28"/>
        </w:rPr>
        <w:t>Булжатов</w:t>
      </w:r>
      <w:proofErr w:type="spellEnd"/>
      <w:r w:rsidR="00587ED0">
        <w:rPr>
          <w:rFonts w:ascii="Times New Roman" w:eastAsia="Calibri" w:hAnsi="Times New Roman" w:cs="Times New Roman"/>
          <w:sz w:val="28"/>
        </w:rPr>
        <w:t xml:space="preserve"> Т.Р. Оценка эффективности кадровой безопасности на уровне государства / Т. Р. </w:t>
      </w:r>
      <w:proofErr w:type="spellStart"/>
      <w:r w:rsidR="00587ED0">
        <w:rPr>
          <w:rFonts w:ascii="Times New Roman" w:eastAsia="Calibri" w:hAnsi="Times New Roman" w:cs="Times New Roman"/>
          <w:sz w:val="28"/>
        </w:rPr>
        <w:t>Булжатов</w:t>
      </w:r>
      <w:proofErr w:type="spellEnd"/>
      <w:r w:rsidR="00587ED0">
        <w:rPr>
          <w:rFonts w:ascii="Times New Roman" w:eastAsia="Calibri" w:hAnsi="Times New Roman" w:cs="Times New Roman"/>
          <w:sz w:val="28"/>
        </w:rPr>
        <w:t xml:space="preserve"> //</w:t>
      </w:r>
      <w:r w:rsidR="00587ED0" w:rsidRPr="00587ED0">
        <w:rPr>
          <w:rFonts w:ascii="Times New Roman" w:eastAsia="Calibri" w:hAnsi="Times New Roman" w:cs="Times New Roman"/>
          <w:sz w:val="28"/>
        </w:rPr>
        <w:t xml:space="preserve"> </w:t>
      </w:r>
      <w:r w:rsidR="00587ED0">
        <w:rPr>
          <w:rFonts w:ascii="Times New Roman" w:eastAsia="Calibri" w:hAnsi="Times New Roman" w:cs="Times New Roman"/>
          <w:sz w:val="28"/>
        </w:rPr>
        <w:t xml:space="preserve">Экономика и социум. </w:t>
      </w:r>
      <w:r w:rsidR="00587ED0">
        <w:rPr>
          <w:rFonts w:ascii="Times New Roman" w:hAnsi="Times New Roman" w:cs="Times New Roman"/>
          <w:color w:val="000000" w:themeColor="text1"/>
          <w:sz w:val="28"/>
          <w:szCs w:val="28"/>
        </w:rPr>
        <w:t>– 2020. – №</w:t>
      </w:r>
      <w:r w:rsidR="00587ED0">
        <w:rPr>
          <w:rFonts w:ascii="Times New Roman" w:eastAsia="Calibri" w:hAnsi="Times New Roman" w:cs="Times New Roman"/>
          <w:sz w:val="28"/>
        </w:rPr>
        <w:t xml:space="preserve">1 (68). </w:t>
      </w:r>
      <w:r w:rsidR="00587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587ED0" w:rsidRPr="00587ED0">
        <w:rPr>
          <w:rFonts w:ascii="Times New Roman" w:eastAsia="Calibri" w:hAnsi="Times New Roman" w:cs="Times New Roman"/>
          <w:sz w:val="28"/>
        </w:rPr>
        <w:t>259-261.</w:t>
      </w:r>
      <w:r w:rsidR="00587ED0">
        <w:rPr>
          <w:rFonts w:ascii="Times New Roman" w:eastAsia="Calibri" w:hAnsi="Times New Roman" w:cs="Times New Roman"/>
          <w:sz w:val="28"/>
        </w:rPr>
        <w:t xml:space="preserve"> </w:t>
      </w:r>
      <w:r w:rsidR="00587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87ED0" w:rsidRPr="00AF388D">
        <w:rPr>
          <w:rFonts w:ascii="Times New Roman" w:eastAsia="Calibri" w:hAnsi="Times New Roman" w:cs="Times New Roman"/>
          <w:sz w:val="28"/>
        </w:rPr>
        <w:t>ISSN:</w:t>
      </w:r>
      <w:r w:rsidR="00587ED0">
        <w:rPr>
          <w:rFonts w:ascii="Times New Roman" w:eastAsia="Calibri" w:hAnsi="Times New Roman" w:cs="Times New Roman"/>
          <w:sz w:val="28"/>
        </w:rPr>
        <w:t xml:space="preserve"> </w:t>
      </w:r>
      <w:r w:rsidR="00587ED0" w:rsidRPr="00587ED0">
        <w:rPr>
          <w:rFonts w:ascii="Times New Roman" w:eastAsia="Calibri" w:hAnsi="Times New Roman" w:cs="Times New Roman"/>
          <w:sz w:val="28"/>
        </w:rPr>
        <w:t>2225-1545</w:t>
      </w:r>
      <w:r w:rsidR="00587ED0">
        <w:rPr>
          <w:rFonts w:ascii="Times New Roman" w:eastAsia="Calibri" w:hAnsi="Times New Roman" w:cs="Times New Roman"/>
          <w:sz w:val="28"/>
        </w:rPr>
        <w:t>.</w:t>
      </w:r>
    </w:p>
    <w:p w:rsidR="00E90CE0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12. </w:t>
      </w:r>
      <w:r w:rsidR="00E90CE0" w:rsidRPr="00E90CE0">
        <w:rPr>
          <w:rFonts w:ascii="Times New Roman" w:eastAsia="Calibri" w:hAnsi="Times New Roman" w:cs="Times New Roman"/>
          <w:sz w:val="28"/>
        </w:rPr>
        <w:t>Васильева Ю.А.</w:t>
      </w:r>
      <w:r w:rsidR="00E90CE0">
        <w:rPr>
          <w:rFonts w:ascii="Times New Roman" w:eastAsia="Calibri" w:hAnsi="Times New Roman" w:cs="Times New Roman"/>
          <w:sz w:val="28"/>
        </w:rPr>
        <w:t xml:space="preserve"> Методы оценки финансовой безопасности коммерческого банка / Ю. А. Васильева // 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Форум молодых ученых.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E90CE0">
        <w:rPr>
          <w:rFonts w:ascii="Times New Roman" w:eastAsia="Calibri" w:hAnsi="Times New Roman" w:cs="Times New Roman"/>
          <w:sz w:val="28"/>
        </w:rPr>
        <w:t>2023.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 № 1 (77).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E90CE0">
        <w:rPr>
          <w:rFonts w:ascii="Times New Roman" w:eastAsia="Calibri" w:hAnsi="Times New Roman" w:cs="Times New Roman"/>
          <w:sz w:val="28"/>
        </w:rPr>
        <w:t>С. 66-73.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AF388D">
        <w:rPr>
          <w:rFonts w:ascii="Times New Roman" w:eastAsia="Calibri" w:hAnsi="Times New Roman" w:cs="Times New Roman"/>
          <w:sz w:val="28"/>
        </w:rPr>
        <w:t>ISSN: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 w:rsidRPr="00E90CE0">
        <w:rPr>
          <w:rFonts w:ascii="Times New Roman" w:eastAsia="Calibri" w:hAnsi="Times New Roman" w:cs="Times New Roman"/>
          <w:sz w:val="28"/>
        </w:rPr>
        <w:t>2500-4050</w:t>
      </w:r>
      <w:r w:rsidR="00E90CE0">
        <w:rPr>
          <w:rFonts w:ascii="Times New Roman" w:eastAsia="Calibri" w:hAnsi="Times New Roman" w:cs="Times New Roman"/>
          <w:sz w:val="28"/>
        </w:rPr>
        <w:t>.</w:t>
      </w:r>
    </w:p>
    <w:p w:rsidR="00370639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13. </w:t>
      </w:r>
      <w:r w:rsidR="00370639">
        <w:rPr>
          <w:rFonts w:ascii="Times New Roman" w:eastAsia="Calibri" w:hAnsi="Times New Roman" w:cs="Times New Roman"/>
          <w:sz w:val="28"/>
        </w:rPr>
        <w:t>Внуков А.</w:t>
      </w:r>
      <w:r w:rsidR="00370639" w:rsidRPr="00370639">
        <w:rPr>
          <w:rFonts w:ascii="Times New Roman" w:eastAsia="Calibri" w:hAnsi="Times New Roman" w:cs="Times New Roman"/>
          <w:sz w:val="28"/>
        </w:rPr>
        <w:t>А.  Защита информации в банковских системах</w:t>
      </w:r>
      <w:proofErr w:type="gramStart"/>
      <w:r w:rsidR="00370639" w:rsidRPr="00370639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="00370639" w:rsidRPr="00370639">
        <w:rPr>
          <w:rFonts w:ascii="Times New Roman" w:eastAsia="Calibri" w:hAnsi="Times New Roman" w:cs="Times New Roman"/>
          <w:sz w:val="28"/>
        </w:rPr>
        <w:t xml:space="preserve"> учебное пособие для вузов / А. А. Внуков.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2-е изд., </w:t>
      </w:r>
      <w:proofErr w:type="spellStart"/>
      <w:r w:rsidR="00370639" w:rsidRPr="00370639">
        <w:rPr>
          <w:rFonts w:ascii="Times New Roman" w:eastAsia="Calibri" w:hAnsi="Times New Roman" w:cs="Times New Roman"/>
          <w:sz w:val="28"/>
        </w:rPr>
        <w:t>испр</w:t>
      </w:r>
      <w:proofErr w:type="spellEnd"/>
      <w:r w:rsidR="00370639" w:rsidRPr="00370639">
        <w:rPr>
          <w:rFonts w:ascii="Times New Roman" w:eastAsia="Calibri" w:hAnsi="Times New Roman" w:cs="Times New Roman"/>
          <w:sz w:val="28"/>
        </w:rPr>
        <w:t xml:space="preserve">. и доп.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Москва : Издательство </w:t>
      </w:r>
      <w:proofErr w:type="spellStart"/>
      <w:r w:rsidR="00370639" w:rsidRPr="00370639">
        <w:rPr>
          <w:rFonts w:ascii="Times New Roman" w:eastAsia="Calibri" w:hAnsi="Times New Roman" w:cs="Times New Roman"/>
          <w:sz w:val="28"/>
        </w:rPr>
        <w:t>Юрайт</w:t>
      </w:r>
      <w:proofErr w:type="spellEnd"/>
      <w:r w:rsidR="00370639" w:rsidRPr="00370639">
        <w:rPr>
          <w:rFonts w:ascii="Times New Roman" w:eastAsia="Calibri" w:hAnsi="Times New Roman" w:cs="Times New Roman"/>
          <w:sz w:val="28"/>
        </w:rPr>
        <w:t xml:space="preserve">, 2023.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246 с.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(Высшее образование).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ISBN 978-5-534-01679-6. </w:t>
      </w:r>
    </w:p>
    <w:p w:rsidR="00FB47E7" w:rsidRPr="00DF43B9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14. </w:t>
      </w:r>
      <w:r w:rsidR="00FB47E7" w:rsidRPr="00FB47E7">
        <w:rPr>
          <w:rFonts w:ascii="Times New Roman" w:eastAsia="Calibri" w:hAnsi="Times New Roman" w:cs="Times New Roman"/>
          <w:sz w:val="28"/>
        </w:rPr>
        <w:t>В ООН заявили о росте экономики России в 2023 году на 2,7%</w:t>
      </w:r>
      <w:proofErr w:type="gramStart"/>
      <w:r w:rsidR="00F63A71" w:rsidRPr="00F63A71">
        <w:rPr>
          <w:rFonts w:ascii="Times New Roman" w:eastAsia="Calibri" w:hAnsi="Times New Roman" w:cs="Times New Roman"/>
          <w:sz w:val="28"/>
        </w:rPr>
        <w:t xml:space="preserve"> </w:t>
      </w:r>
      <w:r w:rsidR="008925B1">
        <w:rPr>
          <w:rFonts w:ascii="Times New Roman" w:eastAsia="Calibri" w:hAnsi="Times New Roman" w:cs="Times New Roman"/>
          <w:sz w:val="28"/>
        </w:rPr>
        <w:t>:</w:t>
      </w:r>
      <w:proofErr w:type="gramEnd"/>
      <w:r w:rsidR="008925B1">
        <w:rPr>
          <w:rFonts w:ascii="Times New Roman" w:eastAsia="Calibri" w:hAnsi="Times New Roman" w:cs="Times New Roman"/>
          <w:sz w:val="28"/>
        </w:rPr>
        <w:t xml:space="preserve"> </w:t>
      </w:r>
      <w:r w:rsidR="00DF43B9">
        <w:rPr>
          <w:rFonts w:ascii="Times New Roman" w:eastAsia="Calibri" w:hAnsi="Times New Roman" w:cs="Times New Roman"/>
          <w:sz w:val="28"/>
        </w:rPr>
        <w:t>официальный сайт</w:t>
      </w:r>
      <w:r w:rsidR="008925B1">
        <w:rPr>
          <w:rFonts w:ascii="Times New Roman" w:eastAsia="Calibri" w:hAnsi="Times New Roman" w:cs="Times New Roman"/>
          <w:sz w:val="28"/>
        </w:rPr>
        <w:t>.</w:t>
      </w:r>
      <w:r w:rsidR="0012741C">
        <w:rPr>
          <w:rFonts w:ascii="Times New Roman" w:eastAsia="Calibri" w:hAnsi="Times New Roman" w:cs="Times New Roman"/>
          <w:sz w:val="28"/>
        </w:rPr>
        <w:t xml:space="preserve"> </w:t>
      </w:r>
      <w:r w:rsidR="008925B1">
        <w:rPr>
          <w:rFonts w:ascii="Times New Roman" w:hAnsi="Times New Roman" w:cs="Times New Roman"/>
          <w:color w:val="000000" w:themeColor="text1"/>
          <w:sz w:val="28"/>
          <w:szCs w:val="28"/>
        </w:rPr>
        <w:t>– Т</w:t>
      </w:r>
      <w:r w:rsidR="008C2B33">
        <w:rPr>
          <w:rFonts w:ascii="Times New Roman" w:hAnsi="Times New Roman" w:cs="Times New Roman"/>
          <w:color w:val="000000" w:themeColor="text1"/>
          <w:sz w:val="28"/>
          <w:szCs w:val="28"/>
        </w:rPr>
        <w:t>АСС</w:t>
      </w:r>
      <w:r w:rsidR="00892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63A71">
        <w:rPr>
          <w:rFonts w:ascii="Times New Roman" w:eastAsia="Calibri" w:hAnsi="Times New Roman" w:cs="Times New Roman"/>
          <w:sz w:val="28"/>
          <w:lang w:val="en-US"/>
        </w:rPr>
        <w:t>URL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</w:t>
      </w:r>
      <w:r w:rsidR="00FB47E7" w:rsidRPr="00F82D72">
        <w:rPr>
          <w:rFonts w:ascii="Times New Roman" w:eastAsia="Calibri" w:hAnsi="Times New Roman" w:cs="Times New Roman"/>
          <w:sz w:val="28"/>
        </w:rPr>
        <w:t>https://tass.ru/ekonomika/19676521</w:t>
      </w:r>
      <w:r w:rsidR="00FB47E7">
        <w:rPr>
          <w:rFonts w:ascii="Times New Roman" w:eastAsia="Calibri" w:hAnsi="Times New Roman" w:cs="Times New Roman"/>
          <w:sz w:val="28"/>
        </w:rPr>
        <w:t xml:space="preserve"> (дата обращения 06.10.2023)</w:t>
      </w:r>
    </w:p>
    <w:p w:rsidR="00AF388D" w:rsidRPr="00DF43B9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15. </w:t>
      </w:r>
      <w:proofErr w:type="spellStart"/>
      <w:r w:rsidR="00AF388D" w:rsidRPr="00AF388D">
        <w:rPr>
          <w:rFonts w:ascii="Times New Roman" w:eastAsia="Calibri" w:hAnsi="Times New Roman" w:cs="Times New Roman"/>
          <w:sz w:val="28"/>
        </w:rPr>
        <w:t>Газпромбанк</w:t>
      </w:r>
      <w:proofErr w:type="spellEnd"/>
      <w:r w:rsidR="00AF388D" w:rsidRPr="00AF388D">
        <w:rPr>
          <w:rFonts w:ascii="Times New Roman" w:eastAsia="Calibri" w:hAnsi="Times New Roman" w:cs="Times New Roman"/>
          <w:sz w:val="28"/>
        </w:rPr>
        <w:t xml:space="preserve"> за год увеличил розничный кредитный портфель по РСБУ на 10%</w:t>
      </w:r>
      <w:proofErr w:type="gramStart"/>
      <w:r w:rsidR="008925B1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="008925B1">
        <w:rPr>
          <w:rFonts w:ascii="Times New Roman" w:eastAsia="Calibri" w:hAnsi="Times New Roman" w:cs="Times New Roman"/>
          <w:sz w:val="28"/>
        </w:rPr>
        <w:t xml:space="preserve"> </w:t>
      </w:r>
      <w:r w:rsidR="00DF43B9">
        <w:rPr>
          <w:rFonts w:ascii="Times New Roman" w:eastAsia="Calibri" w:hAnsi="Times New Roman" w:cs="Times New Roman"/>
          <w:sz w:val="28"/>
        </w:rPr>
        <w:t>официальный сайт</w:t>
      </w:r>
      <w:r w:rsidR="008925B1">
        <w:rPr>
          <w:rFonts w:ascii="Times New Roman" w:eastAsia="Calibri" w:hAnsi="Times New Roman" w:cs="Times New Roman"/>
          <w:sz w:val="28"/>
        </w:rPr>
        <w:t xml:space="preserve">. </w:t>
      </w:r>
      <w:r w:rsidR="008925B1">
        <w:rPr>
          <w:rFonts w:ascii="Times New Roman" w:hAnsi="Times New Roman" w:cs="Times New Roman"/>
          <w:color w:val="000000" w:themeColor="text1"/>
          <w:sz w:val="28"/>
          <w:szCs w:val="28"/>
        </w:rPr>
        <w:t>– Интерфакс.</w:t>
      </w:r>
      <w:r w:rsidR="0012741C">
        <w:rPr>
          <w:rFonts w:ascii="Times New Roman" w:eastAsia="Calibri" w:hAnsi="Times New Roman" w:cs="Times New Roman"/>
          <w:sz w:val="28"/>
        </w:rPr>
        <w:t xml:space="preserve"> </w:t>
      </w:r>
      <w:r w:rsidR="00AF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F43B9">
        <w:rPr>
          <w:rFonts w:ascii="Times New Roman" w:eastAsia="Calibri" w:hAnsi="Times New Roman" w:cs="Times New Roman"/>
          <w:sz w:val="28"/>
          <w:lang w:val="en-US"/>
        </w:rPr>
        <w:t>URL</w:t>
      </w:r>
      <w:r w:rsidR="00AF38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F388D" w:rsidRPr="00AF388D">
        <w:rPr>
          <w:rFonts w:ascii="Times New Roman" w:eastAsia="Calibri" w:hAnsi="Times New Roman" w:cs="Times New Roman"/>
          <w:sz w:val="28"/>
        </w:rPr>
        <w:t xml:space="preserve"> </w:t>
      </w:r>
      <w:r w:rsidR="00AF388D" w:rsidRPr="00F82D72">
        <w:rPr>
          <w:rFonts w:ascii="Times New Roman" w:eastAsia="Calibri" w:hAnsi="Times New Roman" w:cs="Times New Roman"/>
          <w:sz w:val="28"/>
        </w:rPr>
        <w:t>https://www.interfax.ru/business/889026</w:t>
      </w:r>
      <w:r w:rsidR="00AF388D">
        <w:rPr>
          <w:rFonts w:ascii="Times New Roman" w:eastAsia="Calibri" w:hAnsi="Times New Roman" w:cs="Times New Roman"/>
          <w:sz w:val="28"/>
        </w:rPr>
        <w:t xml:space="preserve"> (дата обращения 06.10.2023)</w:t>
      </w:r>
    </w:p>
    <w:p w:rsidR="00370639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16. </w:t>
      </w:r>
      <w:proofErr w:type="spellStart"/>
      <w:r w:rsidR="00370639">
        <w:rPr>
          <w:rFonts w:ascii="Times New Roman" w:eastAsia="Calibri" w:hAnsi="Times New Roman" w:cs="Times New Roman"/>
          <w:sz w:val="28"/>
        </w:rPr>
        <w:t>Гамза</w:t>
      </w:r>
      <w:proofErr w:type="spellEnd"/>
      <w:r w:rsidR="00370639">
        <w:rPr>
          <w:rFonts w:ascii="Times New Roman" w:eastAsia="Calibri" w:hAnsi="Times New Roman" w:cs="Times New Roman"/>
          <w:sz w:val="28"/>
        </w:rPr>
        <w:t xml:space="preserve"> В.</w:t>
      </w:r>
      <w:r w:rsidR="00370639" w:rsidRPr="00370639">
        <w:rPr>
          <w:rFonts w:ascii="Times New Roman" w:eastAsia="Calibri" w:hAnsi="Times New Roman" w:cs="Times New Roman"/>
          <w:sz w:val="28"/>
        </w:rPr>
        <w:t>А.  Безопасность банковской деятельности</w:t>
      </w:r>
      <w:proofErr w:type="gramStart"/>
      <w:r w:rsidR="00370639" w:rsidRPr="00370639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="00370639" w:rsidRPr="00370639">
        <w:rPr>
          <w:rFonts w:ascii="Times New Roman" w:eastAsia="Calibri" w:hAnsi="Times New Roman" w:cs="Times New Roman"/>
          <w:sz w:val="28"/>
        </w:rPr>
        <w:t xml:space="preserve"> учебник для вузов / В. А. </w:t>
      </w:r>
      <w:proofErr w:type="spellStart"/>
      <w:r w:rsidR="00370639" w:rsidRPr="00370639">
        <w:rPr>
          <w:rFonts w:ascii="Times New Roman" w:eastAsia="Calibri" w:hAnsi="Times New Roman" w:cs="Times New Roman"/>
          <w:sz w:val="28"/>
        </w:rPr>
        <w:t>Гамза</w:t>
      </w:r>
      <w:proofErr w:type="spellEnd"/>
      <w:r w:rsidR="00370639" w:rsidRPr="00370639">
        <w:rPr>
          <w:rFonts w:ascii="Times New Roman" w:eastAsia="Calibri" w:hAnsi="Times New Roman" w:cs="Times New Roman"/>
          <w:sz w:val="28"/>
        </w:rPr>
        <w:t xml:space="preserve">, И. Б. Ткачук, И. М. </w:t>
      </w:r>
      <w:proofErr w:type="spellStart"/>
      <w:r w:rsidR="00370639" w:rsidRPr="00370639">
        <w:rPr>
          <w:rFonts w:ascii="Times New Roman" w:eastAsia="Calibri" w:hAnsi="Times New Roman" w:cs="Times New Roman"/>
          <w:sz w:val="28"/>
        </w:rPr>
        <w:t>Жилкин</w:t>
      </w:r>
      <w:proofErr w:type="spellEnd"/>
      <w:r w:rsidR="00370639" w:rsidRPr="00370639">
        <w:rPr>
          <w:rFonts w:ascii="Times New Roman" w:eastAsia="Calibri" w:hAnsi="Times New Roman" w:cs="Times New Roman"/>
          <w:sz w:val="28"/>
        </w:rPr>
        <w:t xml:space="preserve">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6-е изд., </w:t>
      </w:r>
      <w:proofErr w:type="spellStart"/>
      <w:r w:rsidR="00370639" w:rsidRPr="00370639">
        <w:rPr>
          <w:rFonts w:ascii="Times New Roman" w:eastAsia="Calibri" w:hAnsi="Times New Roman" w:cs="Times New Roman"/>
          <w:sz w:val="28"/>
        </w:rPr>
        <w:t>перераб</w:t>
      </w:r>
      <w:proofErr w:type="spellEnd"/>
      <w:r w:rsidR="00370639" w:rsidRPr="00370639">
        <w:rPr>
          <w:rFonts w:ascii="Times New Roman" w:eastAsia="Calibri" w:hAnsi="Times New Roman" w:cs="Times New Roman"/>
          <w:sz w:val="28"/>
        </w:rPr>
        <w:t xml:space="preserve">. и доп.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Москва : Издательство </w:t>
      </w:r>
      <w:proofErr w:type="spellStart"/>
      <w:r w:rsidR="00370639" w:rsidRPr="00370639">
        <w:rPr>
          <w:rFonts w:ascii="Times New Roman" w:eastAsia="Calibri" w:hAnsi="Times New Roman" w:cs="Times New Roman"/>
          <w:sz w:val="28"/>
        </w:rPr>
        <w:t>Юрайт</w:t>
      </w:r>
      <w:proofErr w:type="spellEnd"/>
      <w:r w:rsidR="00370639" w:rsidRPr="00370639">
        <w:rPr>
          <w:rFonts w:ascii="Times New Roman" w:eastAsia="Calibri" w:hAnsi="Times New Roman" w:cs="Times New Roman"/>
          <w:sz w:val="28"/>
        </w:rPr>
        <w:t xml:space="preserve">, 2024.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460 с.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(Высшее образование).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>
        <w:rPr>
          <w:rFonts w:ascii="Times New Roman" w:eastAsia="Calibri" w:hAnsi="Times New Roman" w:cs="Times New Roman"/>
          <w:sz w:val="28"/>
        </w:rPr>
        <w:t xml:space="preserve"> ISBN: 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978-5-534-16672-9. </w:t>
      </w:r>
    </w:p>
    <w:p w:rsidR="00FB47E7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17. </w:t>
      </w:r>
      <w:proofErr w:type="spellStart"/>
      <w:r w:rsidR="00FB47E7">
        <w:rPr>
          <w:rFonts w:ascii="Times New Roman" w:eastAsia="Calibri" w:hAnsi="Times New Roman" w:cs="Times New Roman"/>
          <w:sz w:val="28"/>
        </w:rPr>
        <w:t>Дюльдина</w:t>
      </w:r>
      <w:proofErr w:type="spellEnd"/>
      <w:r w:rsidR="00FB47E7">
        <w:rPr>
          <w:rFonts w:ascii="Times New Roman" w:eastAsia="Calibri" w:hAnsi="Times New Roman" w:cs="Times New Roman"/>
          <w:sz w:val="28"/>
        </w:rPr>
        <w:t xml:space="preserve"> С.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А. Анализ уровня экономической безопасности на примере ПАО «Сбербанк» / С. А. </w:t>
      </w:r>
      <w:proofErr w:type="spellStart"/>
      <w:r w:rsidR="00FB47E7" w:rsidRPr="00FB47E7">
        <w:rPr>
          <w:rFonts w:ascii="Times New Roman" w:eastAsia="Calibri" w:hAnsi="Times New Roman" w:cs="Times New Roman"/>
          <w:sz w:val="28"/>
        </w:rPr>
        <w:t>Дюльдина</w:t>
      </w:r>
      <w:proofErr w:type="spellEnd"/>
      <w:r w:rsidR="00FB47E7" w:rsidRPr="00FB47E7">
        <w:rPr>
          <w:rFonts w:ascii="Times New Roman" w:eastAsia="Calibri" w:hAnsi="Times New Roman" w:cs="Times New Roman"/>
          <w:sz w:val="28"/>
        </w:rPr>
        <w:t xml:space="preserve">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Текст</w:t>
      </w:r>
      <w:proofErr w:type="gramStart"/>
      <w:r w:rsidR="00FB47E7" w:rsidRPr="00FB47E7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="00FB47E7" w:rsidRPr="00FB47E7">
        <w:rPr>
          <w:rFonts w:ascii="Times New Roman" w:eastAsia="Calibri" w:hAnsi="Times New Roman" w:cs="Times New Roman"/>
          <w:sz w:val="28"/>
        </w:rPr>
        <w:t xml:space="preserve"> непосредственный // Молодой ученый.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2020.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№ 29 (319).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С. 222-224.</w:t>
      </w:r>
      <w:r w:rsidR="00FB47E7">
        <w:rPr>
          <w:rFonts w:ascii="Times New Roman" w:eastAsia="Calibri" w:hAnsi="Times New Roman" w:cs="Times New Roman"/>
          <w:sz w:val="28"/>
        </w:rPr>
        <w:t xml:space="preserve">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>
        <w:rPr>
          <w:rFonts w:ascii="Times New Roman" w:eastAsia="Calibri" w:hAnsi="Times New Roman" w:cs="Times New Roman"/>
          <w:sz w:val="28"/>
        </w:rPr>
        <w:t xml:space="preserve"> ISBN: </w:t>
      </w:r>
      <w:r w:rsidR="00FB47E7" w:rsidRPr="00FB47E7">
        <w:rPr>
          <w:rFonts w:ascii="Times New Roman" w:eastAsia="Calibri" w:hAnsi="Times New Roman" w:cs="Times New Roman"/>
          <w:sz w:val="28"/>
        </w:rPr>
        <w:t>3773</w:t>
      </w:r>
      <w:r w:rsidR="00FB47E7">
        <w:rPr>
          <w:rFonts w:ascii="Times New Roman" w:eastAsia="Calibri" w:hAnsi="Times New Roman" w:cs="Times New Roman"/>
          <w:sz w:val="28"/>
        </w:rPr>
        <w:t>-</w:t>
      </w:r>
      <w:r w:rsidR="00FB47E7" w:rsidRPr="00FB47E7">
        <w:rPr>
          <w:rFonts w:ascii="Times New Roman" w:eastAsia="Calibri" w:hAnsi="Times New Roman" w:cs="Times New Roman"/>
          <w:sz w:val="28"/>
        </w:rPr>
        <w:t>8675</w:t>
      </w:r>
      <w:r w:rsidR="00FB47E7">
        <w:rPr>
          <w:rFonts w:ascii="Times New Roman" w:eastAsia="Calibri" w:hAnsi="Times New Roman" w:cs="Times New Roman"/>
          <w:sz w:val="28"/>
        </w:rPr>
        <w:t>.</w:t>
      </w:r>
    </w:p>
    <w:p w:rsidR="00FB195A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18. </w:t>
      </w:r>
      <w:r w:rsidR="00FB195A">
        <w:rPr>
          <w:rFonts w:ascii="Times New Roman" w:eastAsia="Calibri" w:hAnsi="Times New Roman" w:cs="Times New Roman"/>
          <w:sz w:val="28"/>
        </w:rPr>
        <w:t>Жукова М.В. Критерии, используемые рейтинговыми агентствами для присвоения кредитного рейтинга международным банкам / М. В. Жукова //</w:t>
      </w:r>
      <w:r w:rsidR="00FB195A" w:rsidRPr="00FB195A">
        <w:rPr>
          <w:rFonts w:ascii="Times New Roman" w:eastAsia="Calibri" w:hAnsi="Times New Roman" w:cs="Times New Roman"/>
          <w:sz w:val="28"/>
        </w:rPr>
        <w:t xml:space="preserve"> Экономи</w:t>
      </w:r>
      <w:r w:rsidR="00FB195A">
        <w:rPr>
          <w:rFonts w:ascii="Times New Roman" w:eastAsia="Calibri" w:hAnsi="Times New Roman" w:cs="Times New Roman"/>
          <w:sz w:val="28"/>
        </w:rPr>
        <w:t xml:space="preserve">ка и бизнес: теория и практика.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>– 2021. – №</w:t>
      </w:r>
      <w:r w:rsidR="00FB195A">
        <w:rPr>
          <w:rFonts w:ascii="Times New Roman" w:eastAsia="Calibri" w:hAnsi="Times New Roman" w:cs="Times New Roman"/>
          <w:sz w:val="28"/>
        </w:rPr>
        <w:t xml:space="preserve"> 3-1.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FB195A" w:rsidRPr="00FB195A">
        <w:rPr>
          <w:rFonts w:ascii="Times New Roman" w:eastAsia="Calibri" w:hAnsi="Times New Roman" w:cs="Times New Roman"/>
          <w:sz w:val="28"/>
        </w:rPr>
        <w:t xml:space="preserve">186-190.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195A">
        <w:rPr>
          <w:rFonts w:ascii="Times New Roman" w:eastAsia="Calibri" w:hAnsi="Times New Roman" w:cs="Times New Roman"/>
          <w:sz w:val="28"/>
        </w:rPr>
        <w:t xml:space="preserve"> ISBN: </w:t>
      </w:r>
      <w:r w:rsidR="00FB195A" w:rsidRPr="00FB195A">
        <w:rPr>
          <w:rFonts w:ascii="Times New Roman" w:eastAsia="Calibri" w:hAnsi="Times New Roman" w:cs="Times New Roman"/>
          <w:sz w:val="28"/>
        </w:rPr>
        <w:t>2411-0450</w:t>
      </w:r>
      <w:r w:rsidR="00FB195A">
        <w:rPr>
          <w:rFonts w:ascii="Times New Roman" w:eastAsia="Calibri" w:hAnsi="Times New Roman" w:cs="Times New Roman"/>
          <w:sz w:val="28"/>
        </w:rPr>
        <w:t>.</w:t>
      </w:r>
    </w:p>
    <w:p w:rsidR="00166475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19. </w:t>
      </w:r>
      <w:proofErr w:type="spellStart"/>
      <w:r w:rsidR="00166475" w:rsidRPr="00166475">
        <w:rPr>
          <w:rFonts w:ascii="Times New Roman" w:eastAsia="Calibri" w:hAnsi="Times New Roman" w:cs="Times New Roman"/>
          <w:sz w:val="28"/>
        </w:rPr>
        <w:t>Журина</w:t>
      </w:r>
      <w:proofErr w:type="spellEnd"/>
      <w:r w:rsidR="00166475" w:rsidRPr="00166475">
        <w:rPr>
          <w:rFonts w:ascii="Times New Roman" w:eastAsia="Calibri" w:hAnsi="Times New Roman" w:cs="Times New Roman"/>
          <w:sz w:val="28"/>
        </w:rPr>
        <w:t xml:space="preserve"> </w:t>
      </w:r>
      <w:r w:rsidR="00166475">
        <w:rPr>
          <w:rFonts w:ascii="Times New Roman" w:eastAsia="Calibri" w:hAnsi="Times New Roman" w:cs="Times New Roman"/>
          <w:sz w:val="28"/>
        </w:rPr>
        <w:t>А.Ю</w:t>
      </w:r>
      <w:r w:rsidR="00166475" w:rsidRPr="00166475">
        <w:rPr>
          <w:rFonts w:ascii="Times New Roman" w:eastAsia="Calibri" w:hAnsi="Times New Roman" w:cs="Times New Roman"/>
          <w:sz w:val="28"/>
        </w:rPr>
        <w:t>.</w:t>
      </w:r>
      <w:r w:rsidR="00166475">
        <w:rPr>
          <w:rFonts w:ascii="Times New Roman" w:eastAsia="Calibri" w:hAnsi="Times New Roman" w:cs="Times New Roman"/>
          <w:sz w:val="28"/>
        </w:rPr>
        <w:t xml:space="preserve"> Банковский сектор России в условиях финансовой нестабильности / А. Ю. </w:t>
      </w:r>
      <w:proofErr w:type="spellStart"/>
      <w:r w:rsidR="00166475">
        <w:rPr>
          <w:rFonts w:ascii="Times New Roman" w:eastAsia="Calibri" w:hAnsi="Times New Roman" w:cs="Times New Roman"/>
          <w:sz w:val="28"/>
        </w:rPr>
        <w:t>Журина</w:t>
      </w:r>
      <w:proofErr w:type="spellEnd"/>
      <w:r w:rsidR="00166475">
        <w:rPr>
          <w:rFonts w:ascii="Times New Roman" w:eastAsia="Calibri" w:hAnsi="Times New Roman" w:cs="Times New Roman"/>
          <w:sz w:val="28"/>
        </w:rPr>
        <w:t xml:space="preserve"> //</w:t>
      </w:r>
      <w:r w:rsidR="00166475" w:rsidRPr="00166475">
        <w:rPr>
          <w:rFonts w:ascii="Times New Roman" w:eastAsia="Calibri" w:hAnsi="Times New Roman" w:cs="Times New Roman"/>
          <w:sz w:val="28"/>
        </w:rPr>
        <w:t xml:space="preserve"> Новые импульсы развития</w:t>
      </w:r>
      <w:r w:rsidR="00166475">
        <w:rPr>
          <w:rFonts w:ascii="Times New Roman" w:eastAsia="Calibri" w:hAnsi="Times New Roman" w:cs="Times New Roman"/>
          <w:sz w:val="28"/>
        </w:rPr>
        <w:t xml:space="preserve">: вопросы научных исследований. </w:t>
      </w:r>
      <w:r w:rsidR="00166475">
        <w:rPr>
          <w:rFonts w:ascii="Times New Roman" w:hAnsi="Times New Roman" w:cs="Times New Roman"/>
          <w:color w:val="000000" w:themeColor="text1"/>
          <w:sz w:val="28"/>
          <w:szCs w:val="28"/>
        </w:rPr>
        <w:t>– 2020. – №</w:t>
      </w:r>
      <w:r w:rsidR="00166475">
        <w:rPr>
          <w:rFonts w:ascii="Times New Roman" w:eastAsia="Calibri" w:hAnsi="Times New Roman" w:cs="Times New Roman"/>
          <w:sz w:val="28"/>
        </w:rPr>
        <w:t xml:space="preserve">2. </w:t>
      </w:r>
      <w:r w:rsidR="0016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166475" w:rsidRPr="00166475">
        <w:rPr>
          <w:rFonts w:ascii="Times New Roman" w:eastAsia="Calibri" w:hAnsi="Times New Roman" w:cs="Times New Roman"/>
          <w:sz w:val="28"/>
        </w:rPr>
        <w:t>137-145.</w:t>
      </w:r>
      <w:r w:rsidR="00166475">
        <w:rPr>
          <w:rFonts w:ascii="Times New Roman" w:eastAsia="Calibri" w:hAnsi="Times New Roman" w:cs="Times New Roman"/>
          <w:sz w:val="28"/>
        </w:rPr>
        <w:t xml:space="preserve"> </w:t>
      </w:r>
      <w:r w:rsidR="0016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66475" w:rsidRPr="00AF388D">
        <w:rPr>
          <w:rFonts w:ascii="Times New Roman" w:eastAsia="Calibri" w:hAnsi="Times New Roman" w:cs="Times New Roman"/>
          <w:sz w:val="28"/>
        </w:rPr>
        <w:t>ISSN:</w:t>
      </w:r>
      <w:r w:rsidR="00166475">
        <w:rPr>
          <w:rFonts w:ascii="Times New Roman" w:eastAsia="Calibri" w:hAnsi="Times New Roman" w:cs="Times New Roman"/>
          <w:sz w:val="28"/>
        </w:rPr>
        <w:t xml:space="preserve"> </w:t>
      </w:r>
      <w:r w:rsidR="00166475" w:rsidRPr="00166475">
        <w:rPr>
          <w:rFonts w:ascii="Times New Roman" w:eastAsia="Calibri" w:hAnsi="Times New Roman" w:cs="Times New Roman"/>
          <w:sz w:val="28"/>
        </w:rPr>
        <w:t>2520-6990</w:t>
      </w:r>
      <w:r w:rsidR="00166475">
        <w:rPr>
          <w:rFonts w:ascii="Times New Roman" w:eastAsia="Calibri" w:hAnsi="Times New Roman" w:cs="Times New Roman"/>
          <w:sz w:val="28"/>
        </w:rPr>
        <w:t>.</w:t>
      </w:r>
    </w:p>
    <w:p w:rsidR="00370639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20. </w:t>
      </w:r>
      <w:r w:rsidR="00370639">
        <w:rPr>
          <w:rFonts w:ascii="Times New Roman" w:eastAsia="Calibri" w:hAnsi="Times New Roman" w:cs="Times New Roman"/>
          <w:sz w:val="28"/>
        </w:rPr>
        <w:t xml:space="preserve">Заводчиков Ф.А. Анализ обеспечения экономической безопасности коммерческого банка / Ф. А. Заводчиков, И. Р. </w:t>
      </w:r>
      <w:proofErr w:type="spellStart"/>
      <w:r w:rsidR="00370639">
        <w:rPr>
          <w:rFonts w:ascii="Times New Roman" w:eastAsia="Calibri" w:hAnsi="Times New Roman" w:cs="Times New Roman"/>
          <w:sz w:val="28"/>
        </w:rPr>
        <w:t>Газизова</w:t>
      </w:r>
      <w:proofErr w:type="spellEnd"/>
      <w:r w:rsidR="00370639">
        <w:rPr>
          <w:rFonts w:ascii="Times New Roman" w:eastAsia="Calibri" w:hAnsi="Times New Roman" w:cs="Times New Roman"/>
          <w:sz w:val="28"/>
        </w:rPr>
        <w:t xml:space="preserve"> // </w:t>
      </w:r>
      <w:r w:rsidR="00370639" w:rsidRPr="00370639">
        <w:rPr>
          <w:rFonts w:ascii="Times New Roman" w:eastAsia="Calibri" w:hAnsi="Times New Roman" w:cs="Times New Roman"/>
          <w:sz w:val="28"/>
        </w:rPr>
        <w:t>В сборнике: Актуальные проблемы обеспечения экономи</w:t>
      </w:r>
      <w:r w:rsidR="00681F6D">
        <w:rPr>
          <w:rFonts w:ascii="Times New Roman" w:eastAsia="Calibri" w:hAnsi="Times New Roman" w:cs="Times New Roman"/>
          <w:sz w:val="28"/>
        </w:rPr>
        <w:t>ческой безопасности государства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. Уфа,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2021.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370639">
        <w:rPr>
          <w:rFonts w:ascii="Times New Roman" w:eastAsia="Calibri" w:hAnsi="Times New Roman" w:cs="Times New Roman"/>
          <w:sz w:val="28"/>
        </w:rPr>
        <w:t>С. 135-138.</w:t>
      </w:r>
      <w:r w:rsidR="00370639">
        <w:rPr>
          <w:rFonts w:ascii="Times New Roman" w:eastAsia="Calibri" w:hAnsi="Times New Roman" w:cs="Times New Roman"/>
          <w:sz w:val="28"/>
        </w:rPr>
        <w:t xml:space="preserve">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AF388D">
        <w:rPr>
          <w:rFonts w:ascii="Times New Roman" w:eastAsia="Calibri" w:hAnsi="Times New Roman" w:cs="Times New Roman"/>
          <w:sz w:val="28"/>
        </w:rPr>
        <w:t>ISSN:</w:t>
      </w:r>
      <w:r w:rsidR="00370639">
        <w:rPr>
          <w:rFonts w:ascii="Times New Roman" w:eastAsia="Calibri" w:hAnsi="Times New Roman" w:cs="Times New Roman"/>
          <w:sz w:val="28"/>
        </w:rPr>
        <w:t xml:space="preserve"> </w:t>
      </w:r>
      <w:r w:rsidR="00370639" w:rsidRPr="00370639">
        <w:rPr>
          <w:rFonts w:ascii="Times New Roman" w:eastAsia="Calibri" w:hAnsi="Times New Roman" w:cs="Times New Roman"/>
          <w:sz w:val="28"/>
        </w:rPr>
        <w:t>4856</w:t>
      </w:r>
      <w:r w:rsidR="00370639">
        <w:rPr>
          <w:rFonts w:ascii="Times New Roman" w:eastAsia="Calibri" w:hAnsi="Times New Roman" w:cs="Times New Roman"/>
          <w:sz w:val="28"/>
        </w:rPr>
        <w:t>-</w:t>
      </w:r>
      <w:r w:rsidR="00370639" w:rsidRPr="00370639">
        <w:rPr>
          <w:rFonts w:ascii="Times New Roman" w:eastAsia="Calibri" w:hAnsi="Times New Roman" w:cs="Times New Roman"/>
          <w:sz w:val="28"/>
        </w:rPr>
        <w:t>4743</w:t>
      </w:r>
      <w:r w:rsidR="00370639">
        <w:rPr>
          <w:rFonts w:ascii="Times New Roman" w:eastAsia="Calibri" w:hAnsi="Times New Roman" w:cs="Times New Roman"/>
          <w:sz w:val="28"/>
        </w:rPr>
        <w:t>.</w:t>
      </w:r>
    </w:p>
    <w:p w:rsidR="00FB195A" w:rsidRPr="00DF43B9" w:rsidRDefault="00AF1501" w:rsidP="001274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21. </w:t>
      </w:r>
      <w:r w:rsidR="00FB195A" w:rsidRPr="00FB195A">
        <w:rPr>
          <w:rFonts w:ascii="Times New Roman" w:eastAsia="Calibri" w:hAnsi="Times New Roman" w:cs="Times New Roman"/>
          <w:sz w:val="28"/>
        </w:rPr>
        <w:t>Информация об обязательных нормативах и о других показателях деятельности кредитной организации по состоянию на 1 июня 2023 г.</w:t>
      </w:r>
      <w:proofErr w:type="gramStart"/>
      <w:r w:rsidR="008B2BF5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="008B2BF5">
        <w:rPr>
          <w:rFonts w:ascii="Times New Roman" w:eastAsia="Calibri" w:hAnsi="Times New Roman" w:cs="Times New Roman"/>
          <w:sz w:val="28"/>
        </w:rPr>
        <w:t xml:space="preserve"> </w:t>
      </w:r>
      <w:r w:rsidR="00DF43B9">
        <w:rPr>
          <w:rFonts w:ascii="Times New Roman" w:eastAsia="Calibri" w:hAnsi="Times New Roman" w:cs="Times New Roman"/>
          <w:sz w:val="28"/>
        </w:rPr>
        <w:t>официальный сайт</w:t>
      </w:r>
      <w:r w:rsidR="008B2BF5">
        <w:rPr>
          <w:rFonts w:ascii="Times New Roman" w:eastAsia="Calibri" w:hAnsi="Times New Roman" w:cs="Times New Roman"/>
          <w:sz w:val="28"/>
        </w:rPr>
        <w:t xml:space="preserve">. </w:t>
      </w:r>
      <w:r w:rsidR="008B2BF5">
        <w:rPr>
          <w:rFonts w:ascii="Times New Roman" w:hAnsi="Times New Roman" w:cs="Times New Roman"/>
          <w:color w:val="000000" w:themeColor="text1"/>
          <w:sz w:val="28"/>
          <w:szCs w:val="28"/>
        </w:rPr>
        <w:t>– Центральный Банк России.</w:t>
      </w:r>
      <w:r w:rsidR="00DF43B9" w:rsidRPr="00DF43B9">
        <w:rPr>
          <w:rFonts w:ascii="Times New Roman" w:eastAsia="Calibri" w:hAnsi="Times New Roman" w:cs="Times New Roman"/>
          <w:sz w:val="28"/>
        </w:rPr>
        <w:t xml:space="preserve">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43B9" w:rsidRPr="00DF43B9">
        <w:rPr>
          <w:rFonts w:ascii="Times New Roman" w:eastAsia="Calibri" w:hAnsi="Times New Roman" w:cs="Times New Roman"/>
          <w:sz w:val="28"/>
        </w:rPr>
        <w:t xml:space="preserve"> </w:t>
      </w:r>
      <w:r w:rsidR="00DF43B9">
        <w:rPr>
          <w:rFonts w:ascii="Times New Roman" w:eastAsia="Calibri" w:hAnsi="Times New Roman" w:cs="Times New Roman"/>
          <w:sz w:val="28"/>
        </w:rPr>
        <w:t>URL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741C">
        <w:rPr>
          <w:rFonts w:ascii="Times New Roman" w:eastAsia="Calibri" w:hAnsi="Times New Roman" w:cs="Times New Roman"/>
          <w:sz w:val="28"/>
        </w:rPr>
        <w:t xml:space="preserve"> </w:t>
      </w:r>
      <w:r w:rsidR="00FB195A" w:rsidRPr="00F82D72">
        <w:rPr>
          <w:rFonts w:ascii="Times New Roman" w:eastAsia="Calibri" w:hAnsi="Times New Roman" w:cs="Times New Roman"/>
          <w:sz w:val="28"/>
        </w:rPr>
        <w:t>https://cbr.ru/banking_sector/credit/coinfo/f135/2151/?regnum=354&amp;dt=2023-06-01</w:t>
      </w:r>
      <w:r w:rsidR="00FB195A">
        <w:rPr>
          <w:rFonts w:ascii="Times New Roman" w:eastAsia="Calibri" w:hAnsi="Times New Roman" w:cs="Times New Roman"/>
          <w:sz w:val="28"/>
        </w:rPr>
        <w:t xml:space="preserve"> (дата обращения 06.10.2023)</w:t>
      </w:r>
    </w:p>
    <w:p w:rsidR="00AF388D" w:rsidRPr="00DF43B9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22. </w:t>
      </w:r>
      <w:r w:rsidR="00AF388D" w:rsidRPr="00AF388D">
        <w:rPr>
          <w:rFonts w:ascii="Times New Roman" w:eastAsia="Calibri" w:hAnsi="Times New Roman" w:cs="Times New Roman"/>
          <w:sz w:val="28"/>
        </w:rPr>
        <w:t>Капитал и обязательные нормативы</w:t>
      </w:r>
      <w:proofErr w:type="gramStart"/>
      <w:r w:rsidR="006042BC">
        <w:rPr>
          <w:rFonts w:ascii="Times New Roman" w:eastAsia="Calibri" w:hAnsi="Times New Roman" w:cs="Times New Roman"/>
          <w:sz w:val="28"/>
        </w:rPr>
        <w:t xml:space="preserve"> </w:t>
      </w:r>
      <w:r w:rsidR="008B2BF5">
        <w:rPr>
          <w:rFonts w:ascii="Times New Roman" w:eastAsia="Calibri" w:hAnsi="Times New Roman" w:cs="Times New Roman"/>
          <w:sz w:val="28"/>
        </w:rPr>
        <w:t>:</w:t>
      </w:r>
      <w:proofErr w:type="gramEnd"/>
      <w:r w:rsidR="008B2BF5">
        <w:rPr>
          <w:rFonts w:ascii="Times New Roman" w:eastAsia="Calibri" w:hAnsi="Times New Roman" w:cs="Times New Roman"/>
          <w:sz w:val="28"/>
        </w:rPr>
        <w:t xml:space="preserve"> </w:t>
      </w:r>
      <w:r w:rsidR="00DF43B9">
        <w:rPr>
          <w:rFonts w:ascii="Times New Roman" w:eastAsia="Calibri" w:hAnsi="Times New Roman" w:cs="Times New Roman"/>
          <w:sz w:val="28"/>
        </w:rPr>
        <w:t>официальный сайт</w:t>
      </w:r>
      <w:r w:rsidR="008B2BF5">
        <w:rPr>
          <w:rFonts w:ascii="Times New Roman" w:eastAsia="Calibri" w:hAnsi="Times New Roman" w:cs="Times New Roman"/>
          <w:sz w:val="28"/>
        </w:rPr>
        <w:t xml:space="preserve">. </w:t>
      </w:r>
      <w:r w:rsidR="008B2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8B2BF5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8B2B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3B9">
        <w:rPr>
          <w:rFonts w:ascii="Times New Roman" w:eastAsia="Calibri" w:hAnsi="Times New Roman" w:cs="Times New Roman"/>
          <w:sz w:val="28"/>
        </w:rPr>
        <w:t xml:space="preserve">  </w:t>
      </w:r>
      <w:r w:rsidR="00AF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F43B9">
        <w:rPr>
          <w:rFonts w:ascii="Times New Roman" w:eastAsia="Calibri" w:hAnsi="Times New Roman" w:cs="Times New Roman"/>
          <w:sz w:val="28"/>
          <w:lang w:val="en-US"/>
        </w:rPr>
        <w:t>URL</w:t>
      </w:r>
      <w:r w:rsidR="00AF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F388D" w:rsidRPr="00F82D72">
        <w:rPr>
          <w:rFonts w:ascii="Times New Roman" w:eastAsia="Calibri" w:hAnsi="Times New Roman" w:cs="Times New Roman"/>
          <w:sz w:val="28"/>
        </w:rPr>
        <w:t>https://www.gazprombank.ru/investors/capital/</w:t>
      </w:r>
      <w:r w:rsidR="00AF388D">
        <w:rPr>
          <w:rFonts w:ascii="Times New Roman" w:eastAsia="Calibri" w:hAnsi="Times New Roman" w:cs="Times New Roman"/>
          <w:sz w:val="28"/>
        </w:rPr>
        <w:t xml:space="preserve"> (дата обращения 06.10.2023)</w:t>
      </w:r>
    </w:p>
    <w:p w:rsidR="00587ED0" w:rsidRDefault="00AF1501" w:rsidP="00587E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23. </w:t>
      </w:r>
      <w:r w:rsidR="00587ED0" w:rsidRPr="00587ED0">
        <w:rPr>
          <w:rFonts w:ascii="Times New Roman" w:eastAsia="Calibri" w:hAnsi="Times New Roman" w:cs="Times New Roman"/>
          <w:sz w:val="28"/>
        </w:rPr>
        <w:t xml:space="preserve">Климова </w:t>
      </w:r>
      <w:r w:rsidR="00587ED0">
        <w:rPr>
          <w:rFonts w:ascii="Times New Roman" w:eastAsia="Calibri" w:hAnsi="Times New Roman" w:cs="Times New Roman"/>
          <w:sz w:val="28"/>
        </w:rPr>
        <w:t>Е.З. Сущность и функциональные составляющие экономической безопасности организации / Е. З. Климова, И. А. Павлова //</w:t>
      </w:r>
      <w:r w:rsidR="00587ED0" w:rsidRPr="00587ED0">
        <w:rPr>
          <w:rFonts w:ascii="Times New Roman" w:eastAsia="Calibri" w:hAnsi="Times New Roman" w:cs="Times New Roman"/>
          <w:sz w:val="28"/>
        </w:rPr>
        <w:t xml:space="preserve"> Инновационные ас</w:t>
      </w:r>
      <w:r w:rsidR="00587ED0">
        <w:rPr>
          <w:rFonts w:ascii="Times New Roman" w:eastAsia="Calibri" w:hAnsi="Times New Roman" w:cs="Times New Roman"/>
          <w:sz w:val="28"/>
        </w:rPr>
        <w:t xml:space="preserve">пекты развития науки и техники. </w:t>
      </w:r>
      <w:r w:rsidR="00587ED0">
        <w:rPr>
          <w:rFonts w:ascii="Times New Roman" w:hAnsi="Times New Roman" w:cs="Times New Roman"/>
          <w:color w:val="000000" w:themeColor="text1"/>
          <w:sz w:val="28"/>
          <w:szCs w:val="28"/>
        </w:rPr>
        <w:t>– 2021. – №</w:t>
      </w:r>
      <w:r w:rsidR="00587ED0">
        <w:rPr>
          <w:rFonts w:ascii="Times New Roman" w:eastAsia="Calibri" w:hAnsi="Times New Roman" w:cs="Times New Roman"/>
          <w:sz w:val="28"/>
        </w:rPr>
        <w:t xml:space="preserve">9. </w:t>
      </w:r>
      <w:r w:rsidR="00587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587ED0" w:rsidRPr="00587ED0">
        <w:rPr>
          <w:rFonts w:ascii="Times New Roman" w:eastAsia="Calibri" w:hAnsi="Times New Roman" w:cs="Times New Roman"/>
          <w:sz w:val="28"/>
        </w:rPr>
        <w:t>112-117.</w:t>
      </w:r>
      <w:r w:rsidR="00587ED0">
        <w:rPr>
          <w:rFonts w:ascii="Times New Roman" w:eastAsia="Calibri" w:hAnsi="Times New Roman" w:cs="Times New Roman"/>
          <w:sz w:val="28"/>
        </w:rPr>
        <w:t xml:space="preserve"> </w:t>
      </w:r>
      <w:r w:rsidR="00587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87ED0" w:rsidRPr="00AF388D">
        <w:rPr>
          <w:rFonts w:ascii="Times New Roman" w:eastAsia="Calibri" w:hAnsi="Times New Roman" w:cs="Times New Roman"/>
          <w:sz w:val="28"/>
        </w:rPr>
        <w:t>ISSN:</w:t>
      </w:r>
      <w:r w:rsidR="00587ED0">
        <w:rPr>
          <w:rFonts w:ascii="Times New Roman" w:eastAsia="Calibri" w:hAnsi="Times New Roman" w:cs="Times New Roman"/>
          <w:sz w:val="28"/>
        </w:rPr>
        <w:t xml:space="preserve"> 5629-4793.</w:t>
      </w:r>
    </w:p>
    <w:p w:rsidR="00587ED0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24. </w:t>
      </w:r>
      <w:r w:rsidR="00587ED0" w:rsidRPr="00587ED0">
        <w:rPr>
          <w:rFonts w:ascii="Times New Roman" w:eastAsia="Calibri" w:hAnsi="Times New Roman" w:cs="Times New Roman"/>
          <w:sz w:val="28"/>
        </w:rPr>
        <w:t xml:space="preserve">Климова </w:t>
      </w:r>
      <w:r w:rsidR="00587ED0">
        <w:rPr>
          <w:rFonts w:ascii="Times New Roman" w:eastAsia="Calibri" w:hAnsi="Times New Roman" w:cs="Times New Roman"/>
          <w:sz w:val="28"/>
        </w:rPr>
        <w:t>Е.З. Элементы и показатели кадровой безопасности организации / Е. З. Климова, И. А. Павлова //</w:t>
      </w:r>
      <w:r w:rsidR="00587ED0" w:rsidRPr="00587ED0">
        <w:rPr>
          <w:rFonts w:ascii="Times New Roman" w:eastAsia="Calibri" w:hAnsi="Times New Roman" w:cs="Times New Roman"/>
          <w:sz w:val="28"/>
        </w:rPr>
        <w:t xml:space="preserve"> Инновационные ас</w:t>
      </w:r>
      <w:r w:rsidR="00587ED0">
        <w:rPr>
          <w:rFonts w:ascii="Times New Roman" w:eastAsia="Calibri" w:hAnsi="Times New Roman" w:cs="Times New Roman"/>
          <w:sz w:val="28"/>
        </w:rPr>
        <w:t xml:space="preserve">пекты развития науки и техники. </w:t>
      </w:r>
      <w:r w:rsidR="00587ED0">
        <w:rPr>
          <w:rFonts w:ascii="Times New Roman" w:hAnsi="Times New Roman" w:cs="Times New Roman"/>
          <w:color w:val="000000" w:themeColor="text1"/>
          <w:sz w:val="28"/>
          <w:szCs w:val="28"/>
        </w:rPr>
        <w:t>– 2021. – №</w:t>
      </w:r>
      <w:r w:rsidR="00587ED0" w:rsidRPr="00587ED0">
        <w:rPr>
          <w:rFonts w:ascii="Times New Roman" w:eastAsia="Calibri" w:hAnsi="Times New Roman" w:cs="Times New Roman"/>
          <w:sz w:val="28"/>
        </w:rPr>
        <w:t>9</w:t>
      </w:r>
      <w:r w:rsidR="00587ED0">
        <w:rPr>
          <w:rFonts w:ascii="Times New Roman" w:eastAsia="Calibri" w:hAnsi="Times New Roman" w:cs="Times New Roman"/>
          <w:sz w:val="28"/>
        </w:rPr>
        <w:t xml:space="preserve">. </w:t>
      </w:r>
      <w:r w:rsidR="00587ED0">
        <w:rPr>
          <w:rFonts w:ascii="Times New Roman" w:hAnsi="Times New Roman" w:cs="Times New Roman"/>
          <w:color w:val="000000" w:themeColor="text1"/>
          <w:sz w:val="28"/>
          <w:szCs w:val="28"/>
        </w:rPr>
        <w:t>– С.</w:t>
      </w:r>
      <w:r w:rsidR="00587ED0" w:rsidRPr="00587ED0">
        <w:rPr>
          <w:rFonts w:ascii="Times New Roman" w:eastAsia="Calibri" w:hAnsi="Times New Roman" w:cs="Times New Roman"/>
          <w:sz w:val="28"/>
        </w:rPr>
        <w:t xml:space="preserve"> 106-111.</w:t>
      </w:r>
      <w:r w:rsidR="00587ED0">
        <w:rPr>
          <w:rFonts w:ascii="Times New Roman" w:eastAsia="Calibri" w:hAnsi="Times New Roman" w:cs="Times New Roman"/>
          <w:sz w:val="28"/>
        </w:rPr>
        <w:t xml:space="preserve"> </w:t>
      </w:r>
      <w:r w:rsidR="00587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87ED0" w:rsidRPr="00AF388D">
        <w:rPr>
          <w:rFonts w:ascii="Times New Roman" w:eastAsia="Calibri" w:hAnsi="Times New Roman" w:cs="Times New Roman"/>
          <w:sz w:val="28"/>
        </w:rPr>
        <w:t>ISSN:</w:t>
      </w:r>
      <w:r w:rsidR="00587ED0">
        <w:rPr>
          <w:rFonts w:ascii="Times New Roman" w:eastAsia="Calibri" w:hAnsi="Times New Roman" w:cs="Times New Roman"/>
          <w:sz w:val="28"/>
        </w:rPr>
        <w:t xml:space="preserve"> </w:t>
      </w:r>
      <w:r w:rsidR="00587ED0" w:rsidRPr="00587ED0">
        <w:rPr>
          <w:rFonts w:ascii="Times New Roman" w:eastAsia="Calibri" w:hAnsi="Times New Roman" w:cs="Times New Roman"/>
          <w:sz w:val="28"/>
        </w:rPr>
        <w:t>4842</w:t>
      </w:r>
      <w:r w:rsidR="00587ED0">
        <w:rPr>
          <w:rFonts w:ascii="Times New Roman" w:eastAsia="Calibri" w:hAnsi="Times New Roman" w:cs="Times New Roman"/>
          <w:sz w:val="28"/>
        </w:rPr>
        <w:t>-</w:t>
      </w:r>
      <w:r w:rsidR="00587ED0" w:rsidRPr="00587ED0">
        <w:rPr>
          <w:rFonts w:ascii="Times New Roman" w:eastAsia="Calibri" w:hAnsi="Times New Roman" w:cs="Times New Roman"/>
          <w:sz w:val="28"/>
        </w:rPr>
        <w:t>0065</w:t>
      </w:r>
      <w:r w:rsidR="00587ED0">
        <w:rPr>
          <w:rFonts w:ascii="Times New Roman" w:eastAsia="Calibri" w:hAnsi="Times New Roman" w:cs="Times New Roman"/>
          <w:sz w:val="28"/>
        </w:rPr>
        <w:t>.</w:t>
      </w:r>
    </w:p>
    <w:p w:rsidR="00166475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25. </w:t>
      </w:r>
      <w:r w:rsidR="00166475" w:rsidRPr="00166475">
        <w:rPr>
          <w:rFonts w:ascii="Times New Roman" w:eastAsia="Calibri" w:hAnsi="Times New Roman" w:cs="Times New Roman"/>
          <w:sz w:val="28"/>
        </w:rPr>
        <w:t xml:space="preserve">Ковалева </w:t>
      </w:r>
      <w:r w:rsidR="00166475">
        <w:rPr>
          <w:rFonts w:ascii="Times New Roman" w:eastAsia="Calibri" w:hAnsi="Times New Roman" w:cs="Times New Roman"/>
          <w:sz w:val="28"/>
        </w:rPr>
        <w:t xml:space="preserve">Е.Г. Влияние антироссийских санкций на банковскую систему РФ. Меры поддержки Центральным Банком России банковского сектора в связи с антироссийскими санкциями / Е. Г. Ковалева, Е. А. </w:t>
      </w:r>
      <w:proofErr w:type="spellStart"/>
      <w:r w:rsidR="00166475">
        <w:rPr>
          <w:rFonts w:ascii="Times New Roman" w:eastAsia="Calibri" w:hAnsi="Times New Roman" w:cs="Times New Roman"/>
          <w:sz w:val="28"/>
        </w:rPr>
        <w:t>Корсачева</w:t>
      </w:r>
      <w:proofErr w:type="spellEnd"/>
      <w:r w:rsidR="00166475">
        <w:rPr>
          <w:rFonts w:ascii="Times New Roman" w:eastAsia="Calibri" w:hAnsi="Times New Roman" w:cs="Times New Roman"/>
          <w:sz w:val="28"/>
        </w:rPr>
        <w:t>, И. И. Васильев //</w:t>
      </w:r>
      <w:r w:rsidR="00166475" w:rsidRPr="00166475">
        <w:rPr>
          <w:rFonts w:ascii="Times New Roman" w:eastAsia="Calibri" w:hAnsi="Times New Roman" w:cs="Times New Roman"/>
          <w:sz w:val="28"/>
        </w:rPr>
        <w:t xml:space="preserve"> </w:t>
      </w:r>
      <w:r w:rsidR="00166475">
        <w:rPr>
          <w:rFonts w:ascii="Times New Roman" w:eastAsia="Calibri" w:hAnsi="Times New Roman" w:cs="Times New Roman"/>
          <w:sz w:val="28"/>
        </w:rPr>
        <w:t xml:space="preserve">Финансовые рынки и банки. </w:t>
      </w:r>
      <w:r w:rsidR="00166475">
        <w:rPr>
          <w:rFonts w:ascii="Times New Roman" w:hAnsi="Times New Roman" w:cs="Times New Roman"/>
          <w:color w:val="000000" w:themeColor="text1"/>
          <w:sz w:val="28"/>
          <w:szCs w:val="28"/>
        </w:rPr>
        <w:t>– 2022. – №</w:t>
      </w:r>
      <w:r w:rsidR="00166475">
        <w:rPr>
          <w:rFonts w:ascii="Times New Roman" w:eastAsia="Calibri" w:hAnsi="Times New Roman" w:cs="Times New Roman"/>
          <w:sz w:val="28"/>
        </w:rPr>
        <w:t xml:space="preserve">11. </w:t>
      </w:r>
      <w:r w:rsidR="0016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166475" w:rsidRPr="00166475">
        <w:rPr>
          <w:rFonts w:ascii="Times New Roman" w:eastAsia="Calibri" w:hAnsi="Times New Roman" w:cs="Times New Roman"/>
          <w:sz w:val="28"/>
        </w:rPr>
        <w:t>25-29.</w:t>
      </w:r>
      <w:r w:rsidR="00166475">
        <w:rPr>
          <w:rFonts w:ascii="Times New Roman" w:eastAsia="Calibri" w:hAnsi="Times New Roman" w:cs="Times New Roman"/>
          <w:sz w:val="28"/>
        </w:rPr>
        <w:t xml:space="preserve"> </w:t>
      </w:r>
      <w:r w:rsidR="0016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66475" w:rsidRPr="00AF388D">
        <w:rPr>
          <w:rFonts w:ascii="Times New Roman" w:eastAsia="Calibri" w:hAnsi="Times New Roman" w:cs="Times New Roman"/>
          <w:sz w:val="28"/>
        </w:rPr>
        <w:t>ISSN:</w:t>
      </w:r>
      <w:r w:rsidR="00166475">
        <w:rPr>
          <w:rFonts w:ascii="Times New Roman" w:eastAsia="Calibri" w:hAnsi="Times New Roman" w:cs="Times New Roman"/>
          <w:sz w:val="28"/>
        </w:rPr>
        <w:t xml:space="preserve"> </w:t>
      </w:r>
      <w:r w:rsidR="00166475" w:rsidRPr="00166475">
        <w:rPr>
          <w:rFonts w:ascii="Times New Roman" w:eastAsia="Calibri" w:hAnsi="Times New Roman" w:cs="Times New Roman"/>
          <w:sz w:val="28"/>
        </w:rPr>
        <w:t>1962</w:t>
      </w:r>
      <w:r w:rsidR="00166475">
        <w:rPr>
          <w:rFonts w:ascii="Times New Roman" w:eastAsia="Calibri" w:hAnsi="Times New Roman" w:cs="Times New Roman"/>
          <w:sz w:val="28"/>
        </w:rPr>
        <w:t>-1589.</w:t>
      </w:r>
    </w:p>
    <w:p w:rsidR="00EF070D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26. </w:t>
      </w:r>
      <w:proofErr w:type="spellStart"/>
      <w:r w:rsidR="00EF070D" w:rsidRPr="00EF070D">
        <w:rPr>
          <w:rFonts w:ascii="Times New Roman" w:eastAsia="Calibri" w:hAnsi="Times New Roman" w:cs="Times New Roman"/>
          <w:sz w:val="28"/>
        </w:rPr>
        <w:t>Копачев</w:t>
      </w:r>
      <w:proofErr w:type="spellEnd"/>
      <w:r w:rsidR="00EF070D" w:rsidRPr="00EF070D">
        <w:rPr>
          <w:rFonts w:ascii="Times New Roman" w:eastAsia="Calibri" w:hAnsi="Times New Roman" w:cs="Times New Roman"/>
          <w:sz w:val="28"/>
        </w:rPr>
        <w:t xml:space="preserve"> А.Г.</w:t>
      </w:r>
      <w:r w:rsidR="00EF070D">
        <w:rPr>
          <w:rFonts w:ascii="Times New Roman" w:eastAsia="Calibri" w:hAnsi="Times New Roman" w:cs="Times New Roman"/>
          <w:sz w:val="28"/>
        </w:rPr>
        <w:t xml:space="preserve"> Инструменты обеспечения экономической безопасности кредитной организации / А. Г. </w:t>
      </w:r>
      <w:proofErr w:type="spellStart"/>
      <w:r w:rsidR="00EF070D">
        <w:rPr>
          <w:rFonts w:ascii="Times New Roman" w:eastAsia="Calibri" w:hAnsi="Times New Roman" w:cs="Times New Roman"/>
          <w:sz w:val="28"/>
        </w:rPr>
        <w:t>Копачев</w:t>
      </w:r>
      <w:proofErr w:type="spellEnd"/>
      <w:r w:rsidR="00EF070D">
        <w:rPr>
          <w:rFonts w:ascii="Times New Roman" w:eastAsia="Calibri" w:hAnsi="Times New Roman" w:cs="Times New Roman"/>
          <w:sz w:val="28"/>
        </w:rPr>
        <w:t xml:space="preserve"> // </w:t>
      </w:r>
      <w:proofErr w:type="spellStart"/>
      <w:r w:rsidR="00EF070D" w:rsidRPr="00EF070D">
        <w:rPr>
          <w:rFonts w:ascii="Times New Roman" w:eastAsia="Calibri" w:hAnsi="Times New Roman" w:cs="Times New Roman"/>
          <w:sz w:val="28"/>
        </w:rPr>
        <w:t>Economics</w:t>
      </w:r>
      <w:proofErr w:type="spellEnd"/>
      <w:r w:rsidR="00EF070D" w:rsidRPr="00EF070D">
        <w:rPr>
          <w:rFonts w:ascii="Times New Roman" w:eastAsia="Calibri" w:hAnsi="Times New Roman" w:cs="Times New Roman"/>
          <w:sz w:val="28"/>
        </w:rPr>
        <w:t xml:space="preserve">.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070D" w:rsidRPr="00EF070D">
        <w:rPr>
          <w:rFonts w:ascii="Times New Roman" w:eastAsia="Calibri" w:hAnsi="Times New Roman" w:cs="Times New Roman"/>
          <w:sz w:val="28"/>
        </w:rPr>
        <w:t xml:space="preserve">2020.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070D" w:rsidRPr="00EF070D">
        <w:rPr>
          <w:rFonts w:ascii="Times New Roman" w:eastAsia="Calibri" w:hAnsi="Times New Roman" w:cs="Times New Roman"/>
          <w:sz w:val="28"/>
        </w:rPr>
        <w:t xml:space="preserve">№ 3 (46).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070D" w:rsidRPr="00EF070D">
        <w:rPr>
          <w:rFonts w:ascii="Times New Roman" w:eastAsia="Calibri" w:hAnsi="Times New Roman" w:cs="Times New Roman"/>
          <w:sz w:val="28"/>
        </w:rPr>
        <w:t>С. 34-36.</w:t>
      </w:r>
      <w:r w:rsidR="00EF070D">
        <w:rPr>
          <w:rFonts w:ascii="Times New Roman" w:eastAsia="Calibri" w:hAnsi="Times New Roman" w:cs="Times New Roman"/>
          <w:sz w:val="28"/>
        </w:rPr>
        <w:t xml:space="preserve">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070D" w:rsidRPr="00AF388D">
        <w:rPr>
          <w:rFonts w:ascii="Times New Roman" w:eastAsia="Calibri" w:hAnsi="Times New Roman" w:cs="Times New Roman"/>
          <w:sz w:val="28"/>
        </w:rPr>
        <w:t>ISSN:</w:t>
      </w:r>
      <w:r w:rsidR="00EF070D">
        <w:rPr>
          <w:rFonts w:ascii="Times New Roman" w:eastAsia="Calibri" w:hAnsi="Times New Roman" w:cs="Times New Roman"/>
          <w:sz w:val="28"/>
        </w:rPr>
        <w:t xml:space="preserve"> </w:t>
      </w:r>
      <w:r w:rsidR="00EF070D" w:rsidRPr="00EF070D">
        <w:rPr>
          <w:rFonts w:ascii="Times New Roman" w:eastAsia="Calibri" w:hAnsi="Times New Roman" w:cs="Times New Roman"/>
          <w:sz w:val="28"/>
        </w:rPr>
        <w:t>2410-289X</w:t>
      </w:r>
      <w:r w:rsidR="00EF070D">
        <w:rPr>
          <w:rFonts w:ascii="Times New Roman" w:eastAsia="Calibri" w:hAnsi="Times New Roman" w:cs="Times New Roman"/>
          <w:sz w:val="28"/>
        </w:rPr>
        <w:t>.</w:t>
      </w:r>
    </w:p>
    <w:p w:rsidR="00E90CE0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27. </w:t>
      </w:r>
      <w:r w:rsidR="00E90CE0" w:rsidRPr="00E90CE0">
        <w:rPr>
          <w:rFonts w:ascii="Times New Roman" w:eastAsia="Calibri" w:hAnsi="Times New Roman" w:cs="Times New Roman"/>
          <w:sz w:val="28"/>
        </w:rPr>
        <w:t>Лоскутова М.А.</w:t>
      </w:r>
      <w:r w:rsidR="00E90CE0">
        <w:rPr>
          <w:rFonts w:ascii="Times New Roman" w:eastAsia="Calibri" w:hAnsi="Times New Roman" w:cs="Times New Roman"/>
          <w:sz w:val="28"/>
        </w:rPr>
        <w:t xml:space="preserve"> Понятие экономической безопасности коммерческого банка / М. А. Лоскутова, Н. Н. </w:t>
      </w:r>
      <w:proofErr w:type="spellStart"/>
      <w:r w:rsidR="00E90CE0">
        <w:rPr>
          <w:rFonts w:ascii="Times New Roman" w:eastAsia="Calibri" w:hAnsi="Times New Roman" w:cs="Times New Roman"/>
          <w:sz w:val="28"/>
        </w:rPr>
        <w:t>Суздалева</w:t>
      </w:r>
      <w:proofErr w:type="spellEnd"/>
      <w:r w:rsidR="00E90CE0">
        <w:rPr>
          <w:rFonts w:ascii="Times New Roman" w:eastAsia="Calibri" w:hAnsi="Times New Roman" w:cs="Times New Roman"/>
          <w:sz w:val="28"/>
        </w:rPr>
        <w:t xml:space="preserve"> // </w:t>
      </w:r>
      <w:r w:rsidR="00681F6D">
        <w:rPr>
          <w:rFonts w:ascii="Times New Roman" w:eastAsia="Calibri" w:hAnsi="Times New Roman" w:cs="Times New Roman"/>
          <w:sz w:val="28"/>
        </w:rPr>
        <w:t xml:space="preserve">В сборнике: </w:t>
      </w:r>
      <w:proofErr w:type="spellStart"/>
      <w:r w:rsidR="00681F6D">
        <w:rPr>
          <w:rFonts w:ascii="Times New Roman" w:eastAsia="Calibri" w:hAnsi="Times New Roman" w:cs="Times New Roman"/>
          <w:sz w:val="28"/>
        </w:rPr>
        <w:t>EurasiaScience</w:t>
      </w:r>
      <w:proofErr w:type="spellEnd"/>
      <w:r w:rsidR="00E90CE0" w:rsidRPr="00E90CE0">
        <w:rPr>
          <w:rFonts w:ascii="Times New Roman" w:eastAsia="Calibri" w:hAnsi="Times New Roman" w:cs="Times New Roman"/>
          <w:sz w:val="28"/>
        </w:rPr>
        <w:t xml:space="preserve">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2020.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E90CE0">
        <w:rPr>
          <w:rFonts w:ascii="Times New Roman" w:eastAsia="Calibri" w:hAnsi="Times New Roman" w:cs="Times New Roman"/>
          <w:sz w:val="28"/>
        </w:rPr>
        <w:t>С. 262-265.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AF388D">
        <w:rPr>
          <w:rFonts w:ascii="Times New Roman" w:eastAsia="Calibri" w:hAnsi="Times New Roman" w:cs="Times New Roman"/>
          <w:sz w:val="28"/>
        </w:rPr>
        <w:t>ISSN: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 w:rsidRPr="00E90CE0">
        <w:rPr>
          <w:rFonts w:ascii="Times New Roman" w:eastAsia="Calibri" w:hAnsi="Times New Roman" w:cs="Times New Roman"/>
          <w:sz w:val="28"/>
        </w:rPr>
        <w:t>4253</w:t>
      </w:r>
      <w:r w:rsidR="00E90CE0">
        <w:rPr>
          <w:rFonts w:ascii="Times New Roman" w:eastAsia="Calibri" w:hAnsi="Times New Roman" w:cs="Times New Roman"/>
          <w:sz w:val="28"/>
        </w:rPr>
        <w:t>-</w:t>
      </w:r>
      <w:r w:rsidR="00E90CE0" w:rsidRPr="00E90CE0">
        <w:rPr>
          <w:rFonts w:ascii="Times New Roman" w:eastAsia="Calibri" w:hAnsi="Times New Roman" w:cs="Times New Roman"/>
          <w:sz w:val="28"/>
        </w:rPr>
        <w:t>6382</w:t>
      </w:r>
      <w:r w:rsidR="00E90CE0">
        <w:rPr>
          <w:rFonts w:ascii="Times New Roman" w:eastAsia="Calibri" w:hAnsi="Times New Roman" w:cs="Times New Roman"/>
          <w:sz w:val="28"/>
        </w:rPr>
        <w:t>.</w:t>
      </w:r>
    </w:p>
    <w:p w:rsidR="00EF070D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28. </w:t>
      </w:r>
      <w:r w:rsidR="00EF070D" w:rsidRPr="00EF070D">
        <w:rPr>
          <w:rFonts w:ascii="Times New Roman" w:eastAsia="Calibri" w:hAnsi="Times New Roman" w:cs="Times New Roman"/>
          <w:sz w:val="28"/>
        </w:rPr>
        <w:t>Мазур</w:t>
      </w:r>
      <w:r w:rsidR="00EF070D">
        <w:rPr>
          <w:rFonts w:ascii="Times New Roman" w:eastAsia="Calibri" w:hAnsi="Times New Roman" w:cs="Times New Roman"/>
          <w:sz w:val="28"/>
        </w:rPr>
        <w:t xml:space="preserve">ина Т.Ю. </w:t>
      </w:r>
      <w:r w:rsidR="00EF070D" w:rsidRPr="00EF070D">
        <w:rPr>
          <w:rFonts w:ascii="Times New Roman" w:eastAsia="Calibri" w:hAnsi="Times New Roman" w:cs="Times New Roman"/>
          <w:sz w:val="28"/>
        </w:rPr>
        <w:t>Оценка достаточности капитала и риски российских банков в условиях нестабильной эконо</w:t>
      </w:r>
      <w:r w:rsidR="00EF070D">
        <w:rPr>
          <w:rFonts w:ascii="Times New Roman" w:eastAsia="Calibri" w:hAnsi="Times New Roman" w:cs="Times New Roman"/>
          <w:sz w:val="28"/>
        </w:rPr>
        <w:t xml:space="preserve">мической ситуации / Т. Ю. Мазурина, Е. И. </w:t>
      </w:r>
      <w:proofErr w:type="spellStart"/>
      <w:r w:rsidR="00EF070D">
        <w:rPr>
          <w:rFonts w:ascii="Times New Roman" w:eastAsia="Calibri" w:hAnsi="Times New Roman" w:cs="Times New Roman"/>
          <w:sz w:val="28"/>
        </w:rPr>
        <w:t>Шаманина</w:t>
      </w:r>
      <w:proofErr w:type="spellEnd"/>
      <w:r w:rsidR="00EF070D">
        <w:rPr>
          <w:rFonts w:ascii="Times New Roman" w:eastAsia="Calibri" w:hAnsi="Times New Roman" w:cs="Times New Roman"/>
          <w:sz w:val="28"/>
        </w:rPr>
        <w:t xml:space="preserve"> // Вестник университета.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>– 2020. – №</w:t>
      </w:r>
      <w:r w:rsidR="00EF070D">
        <w:rPr>
          <w:rFonts w:ascii="Times New Roman" w:eastAsia="Calibri" w:hAnsi="Times New Roman" w:cs="Times New Roman"/>
          <w:sz w:val="28"/>
        </w:rPr>
        <w:t xml:space="preserve">9.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EF070D" w:rsidRPr="00EF070D">
        <w:rPr>
          <w:rFonts w:ascii="Times New Roman" w:eastAsia="Calibri" w:hAnsi="Times New Roman" w:cs="Times New Roman"/>
          <w:sz w:val="28"/>
        </w:rPr>
        <w:t>138-145.</w:t>
      </w:r>
      <w:r w:rsidR="00EF070D">
        <w:rPr>
          <w:rFonts w:ascii="Times New Roman" w:eastAsia="Calibri" w:hAnsi="Times New Roman" w:cs="Times New Roman"/>
          <w:sz w:val="28"/>
        </w:rPr>
        <w:t xml:space="preserve">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070D" w:rsidRPr="00AF388D">
        <w:rPr>
          <w:rFonts w:ascii="Times New Roman" w:eastAsia="Calibri" w:hAnsi="Times New Roman" w:cs="Times New Roman"/>
          <w:sz w:val="28"/>
        </w:rPr>
        <w:t>ISSN:</w:t>
      </w:r>
      <w:r w:rsidR="00EF070D">
        <w:rPr>
          <w:rFonts w:ascii="Times New Roman" w:eastAsia="Calibri" w:hAnsi="Times New Roman" w:cs="Times New Roman"/>
          <w:sz w:val="28"/>
        </w:rPr>
        <w:t xml:space="preserve"> </w:t>
      </w:r>
      <w:r w:rsidR="00EF070D" w:rsidRPr="00EF070D">
        <w:rPr>
          <w:rFonts w:ascii="Times New Roman" w:eastAsia="Calibri" w:hAnsi="Times New Roman" w:cs="Times New Roman"/>
          <w:sz w:val="28"/>
        </w:rPr>
        <w:t>1816-4277</w:t>
      </w:r>
      <w:r w:rsidR="00EF070D">
        <w:rPr>
          <w:rFonts w:ascii="Times New Roman" w:eastAsia="Calibri" w:hAnsi="Times New Roman" w:cs="Times New Roman"/>
          <w:sz w:val="28"/>
        </w:rPr>
        <w:t>.</w:t>
      </w:r>
    </w:p>
    <w:p w:rsidR="00370639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29. 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Мамаева </w:t>
      </w:r>
      <w:r w:rsidR="00370639">
        <w:rPr>
          <w:rFonts w:ascii="Times New Roman" w:eastAsia="Calibri" w:hAnsi="Times New Roman" w:cs="Times New Roman"/>
          <w:sz w:val="28"/>
        </w:rPr>
        <w:t>Л.Н.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Экономическая б</w:t>
      </w:r>
      <w:r w:rsidR="00370639">
        <w:rPr>
          <w:rFonts w:ascii="Times New Roman" w:eastAsia="Calibri" w:hAnsi="Times New Roman" w:cs="Times New Roman"/>
          <w:sz w:val="28"/>
        </w:rPr>
        <w:t xml:space="preserve">езопасность коммерческих банков / Л. Н. Мамаева, М. Ю. Куприянова, Ю. И. </w:t>
      </w:r>
      <w:proofErr w:type="spellStart"/>
      <w:r w:rsidR="00370639">
        <w:rPr>
          <w:rFonts w:ascii="Times New Roman" w:eastAsia="Calibri" w:hAnsi="Times New Roman" w:cs="Times New Roman"/>
          <w:sz w:val="28"/>
        </w:rPr>
        <w:t>Слепенкова</w:t>
      </w:r>
      <w:proofErr w:type="spellEnd"/>
      <w:r w:rsidR="00370639">
        <w:rPr>
          <w:rFonts w:ascii="Times New Roman" w:eastAsia="Calibri" w:hAnsi="Times New Roman" w:cs="Times New Roman"/>
          <w:sz w:val="28"/>
        </w:rPr>
        <w:t xml:space="preserve"> //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Экономи</w:t>
      </w:r>
      <w:r w:rsidR="00370639">
        <w:rPr>
          <w:rFonts w:ascii="Times New Roman" w:eastAsia="Calibri" w:hAnsi="Times New Roman" w:cs="Times New Roman"/>
          <w:sz w:val="28"/>
        </w:rPr>
        <w:t xml:space="preserve">ческая безопасность и качество.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>– 2019. – №</w:t>
      </w:r>
      <w:r w:rsidR="00370639">
        <w:rPr>
          <w:rFonts w:ascii="Times New Roman" w:eastAsia="Calibri" w:hAnsi="Times New Roman" w:cs="Times New Roman"/>
          <w:sz w:val="28"/>
        </w:rPr>
        <w:t xml:space="preserve">4 (37).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370639" w:rsidRPr="00370639">
        <w:rPr>
          <w:rFonts w:ascii="Times New Roman" w:eastAsia="Calibri" w:hAnsi="Times New Roman" w:cs="Times New Roman"/>
          <w:sz w:val="28"/>
        </w:rPr>
        <w:t>16-19.</w:t>
      </w:r>
      <w:r w:rsidR="00370639">
        <w:rPr>
          <w:rFonts w:ascii="Times New Roman" w:eastAsia="Calibri" w:hAnsi="Times New Roman" w:cs="Times New Roman"/>
          <w:sz w:val="28"/>
        </w:rPr>
        <w:t xml:space="preserve">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AF388D">
        <w:rPr>
          <w:rFonts w:ascii="Times New Roman" w:eastAsia="Calibri" w:hAnsi="Times New Roman" w:cs="Times New Roman"/>
          <w:sz w:val="28"/>
        </w:rPr>
        <w:t>ISSN:</w:t>
      </w:r>
      <w:r w:rsidR="00370639">
        <w:rPr>
          <w:rFonts w:ascii="Times New Roman" w:eastAsia="Calibri" w:hAnsi="Times New Roman" w:cs="Times New Roman"/>
          <w:sz w:val="28"/>
        </w:rPr>
        <w:t xml:space="preserve"> </w:t>
      </w:r>
      <w:r w:rsidR="00370639" w:rsidRPr="00370639">
        <w:rPr>
          <w:rFonts w:ascii="Times New Roman" w:eastAsia="Calibri" w:hAnsi="Times New Roman" w:cs="Times New Roman"/>
          <w:sz w:val="28"/>
        </w:rPr>
        <w:t>2618-6780</w:t>
      </w:r>
      <w:r w:rsidR="00370639">
        <w:rPr>
          <w:rFonts w:ascii="Times New Roman" w:eastAsia="Calibri" w:hAnsi="Times New Roman" w:cs="Times New Roman"/>
          <w:sz w:val="28"/>
        </w:rPr>
        <w:t>.</w:t>
      </w:r>
    </w:p>
    <w:p w:rsidR="00166475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30. </w:t>
      </w:r>
      <w:r w:rsidR="00166475">
        <w:rPr>
          <w:rFonts w:ascii="Times New Roman" w:eastAsia="Calibri" w:hAnsi="Times New Roman" w:cs="Times New Roman"/>
          <w:sz w:val="28"/>
        </w:rPr>
        <w:t xml:space="preserve">Матвеева Е.Е. </w:t>
      </w:r>
      <w:r w:rsidR="00166475" w:rsidRPr="00166475">
        <w:rPr>
          <w:rFonts w:ascii="Times New Roman" w:eastAsia="Calibri" w:hAnsi="Times New Roman" w:cs="Times New Roman"/>
          <w:sz w:val="28"/>
        </w:rPr>
        <w:t>Обеспечение экономической б</w:t>
      </w:r>
      <w:r w:rsidR="00166475">
        <w:rPr>
          <w:rFonts w:ascii="Times New Roman" w:eastAsia="Calibri" w:hAnsi="Times New Roman" w:cs="Times New Roman"/>
          <w:sz w:val="28"/>
        </w:rPr>
        <w:t>езопасности коммерческого банка / Е. Е. Матвеева //</w:t>
      </w:r>
      <w:r w:rsidR="00166475" w:rsidRPr="00166475">
        <w:rPr>
          <w:rFonts w:ascii="Times New Roman" w:eastAsia="Calibri" w:hAnsi="Times New Roman" w:cs="Times New Roman"/>
          <w:sz w:val="28"/>
        </w:rPr>
        <w:t xml:space="preserve"> Вестник Университета Росс</w:t>
      </w:r>
      <w:r w:rsidR="00166475">
        <w:rPr>
          <w:rFonts w:ascii="Times New Roman" w:eastAsia="Calibri" w:hAnsi="Times New Roman" w:cs="Times New Roman"/>
          <w:sz w:val="28"/>
        </w:rPr>
        <w:t xml:space="preserve">ийской академии образования. </w:t>
      </w:r>
      <w:r w:rsidR="00166475">
        <w:rPr>
          <w:rFonts w:ascii="Times New Roman" w:hAnsi="Times New Roman" w:cs="Times New Roman"/>
          <w:color w:val="000000" w:themeColor="text1"/>
          <w:sz w:val="28"/>
          <w:szCs w:val="28"/>
        </w:rPr>
        <w:t>– 2019. – №</w:t>
      </w:r>
      <w:r w:rsidR="00166475" w:rsidRPr="00166475">
        <w:rPr>
          <w:rFonts w:ascii="Times New Roman" w:eastAsia="Calibri" w:hAnsi="Times New Roman" w:cs="Times New Roman"/>
          <w:sz w:val="28"/>
        </w:rPr>
        <w:t xml:space="preserve"> 5</w:t>
      </w:r>
      <w:r w:rsidR="00166475">
        <w:rPr>
          <w:rFonts w:ascii="Times New Roman" w:eastAsia="Calibri" w:hAnsi="Times New Roman" w:cs="Times New Roman"/>
          <w:sz w:val="28"/>
        </w:rPr>
        <w:t xml:space="preserve">. </w:t>
      </w:r>
      <w:r w:rsidR="00166475">
        <w:rPr>
          <w:rFonts w:ascii="Times New Roman" w:hAnsi="Times New Roman" w:cs="Times New Roman"/>
          <w:color w:val="000000" w:themeColor="text1"/>
          <w:sz w:val="28"/>
          <w:szCs w:val="28"/>
        </w:rPr>
        <w:t>– С.</w:t>
      </w:r>
      <w:r w:rsidR="00166475" w:rsidRPr="00166475">
        <w:rPr>
          <w:rFonts w:ascii="Times New Roman" w:eastAsia="Calibri" w:hAnsi="Times New Roman" w:cs="Times New Roman"/>
          <w:sz w:val="28"/>
        </w:rPr>
        <w:t xml:space="preserve"> 31-38.</w:t>
      </w:r>
      <w:r w:rsidR="00166475">
        <w:rPr>
          <w:rFonts w:ascii="Times New Roman" w:eastAsia="Calibri" w:hAnsi="Times New Roman" w:cs="Times New Roman"/>
          <w:sz w:val="28"/>
        </w:rPr>
        <w:t xml:space="preserve"> </w:t>
      </w:r>
      <w:r w:rsidR="0016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66475" w:rsidRPr="00AF388D">
        <w:rPr>
          <w:rFonts w:ascii="Times New Roman" w:eastAsia="Calibri" w:hAnsi="Times New Roman" w:cs="Times New Roman"/>
          <w:sz w:val="28"/>
        </w:rPr>
        <w:t>ISSN:</w:t>
      </w:r>
      <w:r w:rsidR="00166475">
        <w:rPr>
          <w:rFonts w:ascii="Times New Roman" w:eastAsia="Calibri" w:hAnsi="Times New Roman" w:cs="Times New Roman"/>
          <w:sz w:val="28"/>
        </w:rPr>
        <w:t xml:space="preserve"> </w:t>
      </w:r>
      <w:r w:rsidR="00166475" w:rsidRPr="00166475">
        <w:rPr>
          <w:rFonts w:ascii="Times New Roman" w:eastAsia="Calibri" w:hAnsi="Times New Roman" w:cs="Times New Roman"/>
          <w:sz w:val="28"/>
        </w:rPr>
        <w:t>2072-5833</w:t>
      </w:r>
      <w:r w:rsidR="00166475">
        <w:rPr>
          <w:rFonts w:ascii="Times New Roman" w:eastAsia="Calibri" w:hAnsi="Times New Roman" w:cs="Times New Roman"/>
          <w:sz w:val="28"/>
        </w:rPr>
        <w:t>.</w:t>
      </w:r>
    </w:p>
    <w:p w:rsidR="00587ED0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="00587ED0">
        <w:rPr>
          <w:rFonts w:ascii="Times New Roman" w:hAnsi="Times New Roman" w:cs="Times New Roman"/>
          <w:sz w:val="28"/>
          <w:szCs w:val="28"/>
        </w:rPr>
        <w:t>Надрян</w:t>
      </w:r>
      <w:proofErr w:type="spellEnd"/>
      <w:r w:rsidR="00587ED0">
        <w:rPr>
          <w:rFonts w:ascii="Times New Roman" w:hAnsi="Times New Roman" w:cs="Times New Roman"/>
          <w:sz w:val="28"/>
          <w:szCs w:val="28"/>
        </w:rPr>
        <w:t xml:space="preserve"> Д.Р. Кадровый резерв как элемент повышения эффективности действующих рабочих мест организации / Д. Р. </w:t>
      </w:r>
      <w:proofErr w:type="spellStart"/>
      <w:r w:rsidR="00587ED0">
        <w:rPr>
          <w:rFonts w:ascii="Times New Roman" w:hAnsi="Times New Roman" w:cs="Times New Roman"/>
          <w:sz w:val="28"/>
          <w:szCs w:val="28"/>
        </w:rPr>
        <w:t>Надрян</w:t>
      </w:r>
      <w:proofErr w:type="spellEnd"/>
      <w:r w:rsidR="00587ED0">
        <w:rPr>
          <w:rFonts w:ascii="Times New Roman" w:hAnsi="Times New Roman" w:cs="Times New Roman"/>
          <w:sz w:val="28"/>
          <w:szCs w:val="28"/>
        </w:rPr>
        <w:t xml:space="preserve"> //</w:t>
      </w:r>
      <w:r w:rsidR="00587ED0" w:rsidRPr="00113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Экономика и социум.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2019. – №</w:t>
      </w:r>
      <w:r>
        <w:rPr>
          <w:rFonts w:ascii="Times New Roman" w:hAnsi="Times New Roman" w:cs="Times New Roman"/>
          <w:sz w:val="28"/>
          <w:szCs w:val="28"/>
        </w:rPr>
        <w:t xml:space="preserve">5 (60).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587ED0" w:rsidRPr="00113F4A">
        <w:rPr>
          <w:rFonts w:ascii="Times New Roman" w:hAnsi="Times New Roman" w:cs="Times New Roman"/>
          <w:sz w:val="28"/>
          <w:szCs w:val="28"/>
        </w:rPr>
        <w:t>972-975.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F388D">
        <w:rPr>
          <w:rFonts w:ascii="Times New Roman" w:eastAsia="Calibri" w:hAnsi="Times New Roman" w:cs="Times New Roman"/>
          <w:sz w:val="28"/>
        </w:rPr>
        <w:t>ISSN:</w:t>
      </w:r>
      <w:r>
        <w:rPr>
          <w:rFonts w:ascii="Times New Roman" w:eastAsia="Calibri" w:hAnsi="Times New Roman" w:cs="Times New Roman"/>
          <w:sz w:val="28"/>
        </w:rPr>
        <w:t xml:space="preserve"> 6587-4896.</w:t>
      </w:r>
    </w:p>
    <w:p w:rsidR="00FB47E7" w:rsidRPr="00FB47E7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32. </w:t>
      </w:r>
      <w:r w:rsidR="00FB47E7">
        <w:rPr>
          <w:rFonts w:ascii="Times New Roman" w:eastAsia="Calibri" w:hAnsi="Times New Roman" w:cs="Times New Roman"/>
          <w:sz w:val="28"/>
        </w:rPr>
        <w:t xml:space="preserve">Наумова А.И. </w:t>
      </w:r>
      <w:r w:rsidR="00FB47E7" w:rsidRPr="00FB47E7">
        <w:rPr>
          <w:rFonts w:ascii="Times New Roman" w:eastAsia="Calibri" w:hAnsi="Times New Roman" w:cs="Times New Roman"/>
          <w:sz w:val="28"/>
        </w:rPr>
        <w:t>Система мотивации персонала ПАО «Сбербанк»</w:t>
      </w:r>
      <w:r w:rsidR="00FB47E7">
        <w:rPr>
          <w:rFonts w:ascii="Times New Roman" w:eastAsia="Calibri" w:hAnsi="Times New Roman" w:cs="Times New Roman"/>
          <w:sz w:val="28"/>
        </w:rPr>
        <w:t xml:space="preserve"> / А. И. Наумова, А. О. Яковлева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// Актуальные исследования.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>2019.</w:t>
      </w:r>
      <w:r w:rsidR="00FB47E7">
        <w:rPr>
          <w:rFonts w:ascii="Times New Roman" w:eastAsia="Calibri" w:hAnsi="Times New Roman" w:cs="Times New Roman"/>
          <w:sz w:val="28"/>
        </w:rPr>
        <w:t xml:space="preserve">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№3 (3).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С. 71-74.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47E7" w:rsidRPr="00AF388D">
        <w:rPr>
          <w:rFonts w:ascii="Times New Roman" w:eastAsia="Calibri" w:hAnsi="Times New Roman" w:cs="Times New Roman"/>
          <w:sz w:val="28"/>
        </w:rPr>
        <w:t>ISSN:</w:t>
      </w:r>
      <w:r w:rsidR="00FB47E7">
        <w:rPr>
          <w:rFonts w:ascii="Times New Roman" w:eastAsia="Calibri" w:hAnsi="Times New Roman" w:cs="Times New Roman"/>
          <w:sz w:val="28"/>
        </w:rPr>
        <w:t xml:space="preserve"> 1179-5632.</w:t>
      </w:r>
    </w:p>
    <w:p w:rsidR="00EF070D" w:rsidRDefault="00AF1501" w:rsidP="00AF38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33. </w:t>
      </w:r>
      <w:r w:rsidR="00EF070D" w:rsidRPr="00EF070D">
        <w:rPr>
          <w:rFonts w:ascii="Times New Roman" w:eastAsia="Calibri" w:hAnsi="Times New Roman" w:cs="Times New Roman"/>
          <w:sz w:val="28"/>
        </w:rPr>
        <w:t>Одинцов В.О.</w:t>
      </w:r>
      <w:r w:rsidR="00EF070D">
        <w:rPr>
          <w:rFonts w:ascii="Times New Roman" w:eastAsia="Calibri" w:hAnsi="Times New Roman" w:cs="Times New Roman"/>
          <w:sz w:val="28"/>
        </w:rPr>
        <w:t xml:space="preserve"> Современные инструменты обеспечения экономической безопасности коммерческого банка / В. О. Одинцов // </w:t>
      </w:r>
      <w:r w:rsidR="00EF070D" w:rsidRPr="00EF070D">
        <w:rPr>
          <w:rFonts w:ascii="Times New Roman" w:eastAsia="Calibri" w:hAnsi="Times New Roman" w:cs="Times New Roman"/>
          <w:sz w:val="28"/>
        </w:rPr>
        <w:t xml:space="preserve">В сборнике: Теоретические и прикладные вопросы экономики, управления и </w:t>
      </w:r>
      <w:r w:rsidR="00EF070D" w:rsidRPr="00EF070D">
        <w:rPr>
          <w:rFonts w:ascii="Times New Roman" w:eastAsia="Calibri" w:hAnsi="Times New Roman" w:cs="Times New Roman"/>
          <w:sz w:val="28"/>
        </w:rPr>
        <w:lastRenderedPageBreak/>
        <w:t xml:space="preserve">образования. Под научной редакцией Б.Н. Герасимова. Пенза,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070D" w:rsidRPr="00EF070D">
        <w:rPr>
          <w:rFonts w:ascii="Times New Roman" w:eastAsia="Calibri" w:hAnsi="Times New Roman" w:cs="Times New Roman"/>
          <w:sz w:val="28"/>
        </w:rPr>
        <w:t xml:space="preserve">2023.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070D" w:rsidRPr="00EF070D">
        <w:rPr>
          <w:rFonts w:ascii="Times New Roman" w:eastAsia="Calibri" w:hAnsi="Times New Roman" w:cs="Times New Roman"/>
          <w:sz w:val="28"/>
        </w:rPr>
        <w:t>С. 267-271</w:t>
      </w:r>
      <w:r w:rsidR="00EF070D">
        <w:rPr>
          <w:rFonts w:ascii="Times New Roman" w:eastAsia="Calibri" w:hAnsi="Times New Roman" w:cs="Times New Roman"/>
          <w:sz w:val="28"/>
        </w:rPr>
        <w:t xml:space="preserve">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070D" w:rsidRPr="00AF388D">
        <w:rPr>
          <w:rFonts w:ascii="Times New Roman" w:eastAsia="Calibri" w:hAnsi="Times New Roman" w:cs="Times New Roman"/>
          <w:sz w:val="28"/>
        </w:rPr>
        <w:t>ISSN:</w:t>
      </w:r>
      <w:r w:rsidR="00EF070D">
        <w:rPr>
          <w:rFonts w:ascii="Times New Roman" w:eastAsia="Calibri" w:hAnsi="Times New Roman" w:cs="Times New Roman"/>
          <w:sz w:val="28"/>
        </w:rPr>
        <w:t xml:space="preserve"> </w:t>
      </w:r>
      <w:r w:rsidR="00EF070D" w:rsidRPr="00EF070D">
        <w:rPr>
          <w:rFonts w:ascii="Times New Roman" w:eastAsia="Calibri" w:hAnsi="Times New Roman" w:cs="Times New Roman"/>
          <w:sz w:val="28"/>
        </w:rPr>
        <w:t>2500-3747</w:t>
      </w:r>
      <w:r w:rsidR="00EF070D">
        <w:rPr>
          <w:rFonts w:ascii="Times New Roman" w:eastAsia="Calibri" w:hAnsi="Times New Roman" w:cs="Times New Roman"/>
          <w:sz w:val="28"/>
        </w:rPr>
        <w:t>.</w:t>
      </w:r>
    </w:p>
    <w:p w:rsidR="00AF388D" w:rsidRPr="00DF43B9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34. </w:t>
      </w:r>
      <w:r w:rsidR="00AF388D" w:rsidRPr="00AF388D">
        <w:rPr>
          <w:rFonts w:ascii="Times New Roman" w:eastAsia="Calibri" w:hAnsi="Times New Roman" w:cs="Times New Roman"/>
          <w:sz w:val="28"/>
        </w:rPr>
        <w:t>Обязательные нормативы</w:t>
      </w:r>
      <w:r w:rsidR="006042BC">
        <w:rPr>
          <w:rFonts w:ascii="Times New Roman" w:eastAsia="Calibri" w:hAnsi="Times New Roman" w:cs="Times New Roman"/>
          <w:sz w:val="28"/>
        </w:rPr>
        <w:t xml:space="preserve"> </w:t>
      </w:r>
      <w:r w:rsidR="00C66362">
        <w:rPr>
          <w:rFonts w:ascii="Times New Roman" w:eastAsia="Calibri" w:hAnsi="Times New Roman" w:cs="Times New Roman"/>
          <w:sz w:val="28"/>
        </w:rPr>
        <w:t xml:space="preserve">: </w:t>
      </w:r>
      <w:r w:rsidR="00DF43B9">
        <w:rPr>
          <w:rFonts w:ascii="Times New Roman" w:eastAsia="Calibri" w:hAnsi="Times New Roman" w:cs="Times New Roman"/>
          <w:sz w:val="28"/>
        </w:rPr>
        <w:t>сайт</w:t>
      </w:r>
      <w:r w:rsidR="00C66362">
        <w:rPr>
          <w:rFonts w:ascii="Times New Roman" w:eastAsia="Calibri" w:hAnsi="Times New Roman" w:cs="Times New Roman"/>
          <w:sz w:val="28"/>
        </w:rPr>
        <w:t xml:space="preserve"> / </w:t>
      </w:r>
      <w:proofErr w:type="spellStart"/>
      <w:r w:rsidR="00C66362">
        <w:rPr>
          <w:rFonts w:ascii="Times New Roman" w:eastAsia="Calibri" w:hAnsi="Times New Roman" w:cs="Times New Roman"/>
          <w:sz w:val="28"/>
        </w:rPr>
        <w:t>Куап</w:t>
      </w:r>
      <w:proofErr w:type="gramStart"/>
      <w:r w:rsidR="00C66362">
        <w:rPr>
          <w:rFonts w:ascii="Times New Roman" w:eastAsia="Calibri" w:hAnsi="Times New Roman" w:cs="Times New Roman"/>
          <w:sz w:val="28"/>
        </w:rPr>
        <w:t>.Б</w:t>
      </w:r>
      <w:proofErr w:type="gramEnd"/>
      <w:r w:rsidR="00C66362">
        <w:rPr>
          <w:rFonts w:ascii="Times New Roman" w:eastAsia="Calibri" w:hAnsi="Times New Roman" w:cs="Times New Roman"/>
          <w:sz w:val="28"/>
        </w:rPr>
        <w:t>анки</w:t>
      </w:r>
      <w:proofErr w:type="spellEnd"/>
      <w:r w:rsidR="00C66362">
        <w:rPr>
          <w:rFonts w:ascii="Times New Roman" w:eastAsia="Calibri" w:hAnsi="Times New Roman" w:cs="Times New Roman"/>
          <w:sz w:val="28"/>
        </w:rPr>
        <w:t>.</w:t>
      </w:r>
      <w:r w:rsidR="00DF43B9" w:rsidRPr="00DF43B9">
        <w:rPr>
          <w:rFonts w:ascii="Times New Roman" w:eastAsia="Calibri" w:hAnsi="Times New Roman" w:cs="Times New Roman"/>
          <w:sz w:val="28"/>
        </w:rPr>
        <w:t xml:space="preserve"> </w:t>
      </w:r>
      <w:r w:rsidR="00AF38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43B9" w:rsidRPr="00DF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3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AF38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F388D" w:rsidRPr="00AF388D">
        <w:rPr>
          <w:rFonts w:ascii="Times New Roman" w:eastAsia="Calibri" w:hAnsi="Times New Roman" w:cs="Times New Roman"/>
          <w:sz w:val="28"/>
        </w:rPr>
        <w:t xml:space="preserve"> </w:t>
      </w:r>
      <w:r w:rsidR="00AF388D" w:rsidRPr="00F82D72">
        <w:rPr>
          <w:rFonts w:ascii="Times New Roman" w:eastAsia="Calibri" w:hAnsi="Times New Roman" w:cs="Times New Roman"/>
          <w:sz w:val="28"/>
        </w:rPr>
        <w:t>https://kuap.ru/banks/354/reportings/ns/135/</w:t>
      </w:r>
      <w:r w:rsidR="00AF388D">
        <w:rPr>
          <w:rFonts w:ascii="Times New Roman" w:eastAsia="Calibri" w:hAnsi="Times New Roman" w:cs="Times New Roman"/>
          <w:sz w:val="28"/>
        </w:rPr>
        <w:t xml:space="preserve"> (дата обращения 06.10.2023)</w:t>
      </w:r>
    </w:p>
    <w:p w:rsidR="00FB47E7" w:rsidRPr="00DF43B9" w:rsidRDefault="00AF1501" w:rsidP="00FB47E7">
      <w:pPr>
        <w:tabs>
          <w:tab w:val="left" w:pos="60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35. </w:t>
      </w:r>
      <w:r w:rsidR="00FB47E7" w:rsidRPr="00FB47E7">
        <w:rPr>
          <w:rFonts w:ascii="Times New Roman" w:eastAsia="Calibri" w:hAnsi="Times New Roman" w:cs="Times New Roman"/>
          <w:sz w:val="28"/>
        </w:rPr>
        <w:t>Официальный сайт АО «</w:t>
      </w:r>
      <w:proofErr w:type="spellStart"/>
      <w:r w:rsidR="00FB47E7" w:rsidRPr="00FB47E7">
        <w:rPr>
          <w:rFonts w:ascii="Times New Roman" w:eastAsia="Calibri" w:hAnsi="Times New Roman" w:cs="Times New Roman"/>
          <w:sz w:val="28"/>
        </w:rPr>
        <w:t>Газпромбанк</w:t>
      </w:r>
      <w:proofErr w:type="spellEnd"/>
      <w:r w:rsidR="00FB47E7" w:rsidRPr="00FB47E7">
        <w:rPr>
          <w:rFonts w:ascii="Times New Roman" w:eastAsia="Calibri" w:hAnsi="Times New Roman" w:cs="Times New Roman"/>
          <w:sz w:val="28"/>
        </w:rPr>
        <w:t>»</w:t>
      </w:r>
      <w:proofErr w:type="gramStart"/>
      <w:r w:rsidR="006042BC">
        <w:rPr>
          <w:rFonts w:ascii="Times New Roman" w:eastAsia="Calibri" w:hAnsi="Times New Roman" w:cs="Times New Roman"/>
          <w:sz w:val="28"/>
        </w:rPr>
        <w:t xml:space="preserve"> </w:t>
      </w:r>
      <w:r w:rsidR="00C66362">
        <w:rPr>
          <w:rFonts w:ascii="Times New Roman" w:eastAsia="Calibri" w:hAnsi="Times New Roman" w:cs="Times New Roman"/>
          <w:sz w:val="28"/>
        </w:rPr>
        <w:t>:</w:t>
      </w:r>
      <w:proofErr w:type="gramEnd"/>
      <w:r w:rsidR="00C66362">
        <w:rPr>
          <w:rFonts w:ascii="Times New Roman" w:eastAsia="Calibri" w:hAnsi="Times New Roman" w:cs="Times New Roman"/>
          <w:sz w:val="28"/>
        </w:rPr>
        <w:t xml:space="preserve"> </w:t>
      </w:r>
      <w:r w:rsidR="00DF43B9">
        <w:rPr>
          <w:rFonts w:ascii="Times New Roman" w:eastAsia="Calibri" w:hAnsi="Times New Roman" w:cs="Times New Roman"/>
          <w:sz w:val="28"/>
        </w:rPr>
        <w:t>официальный сайт</w:t>
      </w:r>
      <w:r w:rsidR="00C66362">
        <w:rPr>
          <w:rFonts w:ascii="Times New Roman" w:eastAsia="Calibri" w:hAnsi="Times New Roman" w:cs="Times New Roman"/>
          <w:sz w:val="28"/>
        </w:rPr>
        <w:t xml:space="preserve">. </w:t>
      </w:r>
      <w:r w:rsidR="00C6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C66362">
        <w:rPr>
          <w:rFonts w:ascii="Times New Roman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="00C663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43B9" w:rsidRPr="00DF43B9">
        <w:rPr>
          <w:rFonts w:ascii="Times New Roman" w:eastAsia="Calibri" w:hAnsi="Times New Roman" w:cs="Times New Roman"/>
          <w:sz w:val="28"/>
        </w:rPr>
        <w:t xml:space="preserve">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F43B9">
        <w:rPr>
          <w:rFonts w:ascii="Times New Roman" w:eastAsia="Calibri" w:hAnsi="Times New Roman" w:cs="Times New Roman"/>
          <w:sz w:val="28"/>
          <w:lang w:val="en-US"/>
        </w:rPr>
        <w:t>URL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B47E7" w:rsidRPr="00F82D72">
        <w:rPr>
          <w:rFonts w:ascii="Times New Roman" w:hAnsi="Times New Roman" w:cs="Times New Roman"/>
          <w:color w:val="000000" w:themeColor="text1"/>
          <w:sz w:val="28"/>
          <w:szCs w:val="28"/>
        </w:rPr>
        <w:t>https://www.gazprombank.ru/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7E7">
        <w:rPr>
          <w:rFonts w:ascii="Times New Roman" w:eastAsia="Calibri" w:hAnsi="Times New Roman" w:cs="Times New Roman"/>
          <w:sz w:val="28"/>
        </w:rPr>
        <w:t>(дата обращения 06.10.2023)</w:t>
      </w:r>
    </w:p>
    <w:p w:rsidR="00370639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36. 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Петрова </w:t>
      </w:r>
      <w:r w:rsidR="00370639">
        <w:rPr>
          <w:rFonts w:ascii="Times New Roman" w:eastAsia="Calibri" w:hAnsi="Times New Roman" w:cs="Times New Roman"/>
          <w:sz w:val="28"/>
        </w:rPr>
        <w:t>О.П</w:t>
      </w:r>
      <w:r w:rsidR="00370639" w:rsidRPr="00370639">
        <w:rPr>
          <w:rFonts w:ascii="Times New Roman" w:eastAsia="Calibri" w:hAnsi="Times New Roman" w:cs="Times New Roman"/>
          <w:sz w:val="28"/>
        </w:rPr>
        <w:t>.</w:t>
      </w:r>
      <w:r w:rsidR="00370639">
        <w:rPr>
          <w:rFonts w:ascii="Times New Roman" w:eastAsia="Calibri" w:hAnsi="Times New Roman" w:cs="Times New Roman"/>
          <w:sz w:val="28"/>
        </w:rPr>
        <w:t xml:space="preserve"> Системный подход в обеспечении экономической безопасности коммерческого банка / О. П. Петрова //</w:t>
      </w:r>
      <w:r w:rsidR="00370639" w:rsidRPr="00370639">
        <w:rPr>
          <w:rFonts w:ascii="Times New Roman" w:eastAsia="Calibri" w:hAnsi="Times New Roman" w:cs="Times New Roman"/>
          <w:sz w:val="28"/>
        </w:rPr>
        <w:t xml:space="preserve"> Экономическ</w:t>
      </w:r>
      <w:r w:rsidR="00370639">
        <w:rPr>
          <w:rFonts w:ascii="Times New Roman" w:eastAsia="Calibri" w:hAnsi="Times New Roman" w:cs="Times New Roman"/>
          <w:sz w:val="28"/>
        </w:rPr>
        <w:t xml:space="preserve">ий журнал.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>– 2020. – №</w:t>
      </w:r>
      <w:r w:rsidR="00370639">
        <w:rPr>
          <w:rFonts w:ascii="Times New Roman" w:eastAsia="Calibri" w:hAnsi="Times New Roman" w:cs="Times New Roman"/>
          <w:sz w:val="28"/>
        </w:rPr>
        <w:t xml:space="preserve">4 (60).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370639" w:rsidRPr="00370639">
        <w:rPr>
          <w:rFonts w:ascii="Times New Roman" w:eastAsia="Calibri" w:hAnsi="Times New Roman" w:cs="Times New Roman"/>
          <w:sz w:val="28"/>
        </w:rPr>
        <w:t>55-67.</w:t>
      </w:r>
      <w:r w:rsidR="00370639">
        <w:rPr>
          <w:rFonts w:ascii="Times New Roman" w:eastAsia="Calibri" w:hAnsi="Times New Roman" w:cs="Times New Roman"/>
          <w:sz w:val="28"/>
        </w:rPr>
        <w:t xml:space="preserve"> </w:t>
      </w:r>
      <w:r w:rsidR="0037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0639" w:rsidRPr="00AF388D">
        <w:rPr>
          <w:rFonts w:ascii="Times New Roman" w:eastAsia="Calibri" w:hAnsi="Times New Roman" w:cs="Times New Roman"/>
          <w:sz w:val="28"/>
        </w:rPr>
        <w:t>ISSN:</w:t>
      </w:r>
      <w:r w:rsidR="00370639">
        <w:rPr>
          <w:rFonts w:ascii="Times New Roman" w:eastAsia="Calibri" w:hAnsi="Times New Roman" w:cs="Times New Roman"/>
          <w:sz w:val="28"/>
        </w:rPr>
        <w:t xml:space="preserve"> </w:t>
      </w:r>
      <w:r w:rsidR="00370639" w:rsidRPr="00370639">
        <w:rPr>
          <w:rFonts w:ascii="Times New Roman" w:eastAsia="Calibri" w:hAnsi="Times New Roman" w:cs="Times New Roman"/>
          <w:sz w:val="28"/>
        </w:rPr>
        <w:t>2072-8220</w:t>
      </w:r>
      <w:r w:rsidR="00370639">
        <w:rPr>
          <w:rFonts w:ascii="Times New Roman" w:eastAsia="Calibri" w:hAnsi="Times New Roman" w:cs="Times New Roman"/>
          <w:sz w:val="28"/>
        </w:rPr>
        <w:t>.</w:t>
      </w:r>
    </w:p>
    <w:p w:rsidR="00FB47E7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37. </w:t>
      </w:r>
      <w:r w:rsidR="00FB47E7">
        <w:rPr>
          <w:rFonts w:ascii="Times New Roman" w:eastAsia="Calibri" w:hAnsi="Times New Roman" w:cs="Times New Roman"/>
          <w:sz w:val="28"/>
        </w:rPr>
        <w:t>Погодина Т.</w:t>
      </w:r>
      <w:r w:rsidR="00FB47E7" w:rsidRPr="00FB47E7">
        <w:rPr>
          <w:rFonts w:ascii="Times New Roman" w:eastAsia="Calibri" w:hAnsi="Times New Roman" w:cs="Times New Roman"/>
          <w:sz w:val="28"/>
        </w:rPr>
        <w:t>В.  Финансовый менеджмент</w:t>
      </w:r>
      <w:proofErr w:type="gramStart"/>
      <w:r w:rsidR="00FB47E7" w:rsidRPr="00FB47E7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="00FB47E7" w:rsidRPr="00FB47E7">
        <w:rPr>
          <w:rFonts w:ascii="Times New Roman" w:eastAsia="Calibri" w:hAnsi="Times New Roman" w:cs="Times New Roman"/>
          <w:sz w:val="28"/>
        </w:rPr>
        <w:t xml:space="preserve"> учебник и практикум для вузов / Т. В. Погодина.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2-е изд., </w:t>
      </w:r>
      <w:proofErr w:type="spellStart"/>
      <w:r w:rsidR="00FB47E7" w:rsidRPr="00FB47E7">
        <w:rPr>
          <w:rFonts w:ascii="Times New Roman" w:eastAsia="Calibri" w:hAnsi="Times New Roman" w:cs="Times New Roman"/>
          <w:sz w:val="28"/>
        </w:rPr>
        <w:t>перераб</w:t>
      </w:r>
      <w:proofErr w:type="spellEnd"/>
      <w:r w:rsidR="00FB47E7" w:rsidRPr="00FB47E7">
        <w:rPr>
          <w:rFonts w:ascii="Times New Roman" w:eastAsia="Calibri" w:hAnsi="Times New Roman" w:cs="Times New Roman"/>
          <w:sz w:val="28"/>
        </w:rPr>
        <w:t xml:space="preserve">. и доп.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Москва : Издательство </w:t>
      </w:r>
      <w:proofErr w:type="spellStart"/>
      <w:r w:rsidR="00FB47E7" w:rsidRPr="00FB47E7">
        <w:rPr>
          <w:rFonts w:ascii="Times New Roman" w:eastAsia="Calibri" w:hAnsi="Times New Roman" w:cs="Times New Roman"/>
          <w:sz w:val="28"/>
        </w:rPr>
        <w:t>Юрайт</w:t>
      </w:r>
      <w:proofErr w:type="spellEnd"/>
      <w:r w:rsidR="00FB47E7" w:rsidRPr="00FB47E7">
        <w:rPr>
          <w:rFonts w:ascii="Times New Roman" w:eastAsia="Calibri" w:hAnsi="Times New Roman" w:cs="Times New Roman"/>
          <w:sz w:val="28"/>
        </w:rPr>
        <w:t xml:space="preserve">, 2023.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259 с.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(Высшее образование).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 ISBN 978-5-534-16480-0. </w:t>
      </w:r>
    </w:p>
    <w:p w:rsidR="00A339A0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38. </w:t>
      </w:r>
      <w:r w:rsidR="00A339A0">
        <w:rPr>
          <w:rFonts w:ascii="Times New Roman" w:eastAsia="Calibri" w:hAnsi="Times New Roman" w:cs="Times New Roman"/>
          <w:sz w:val="28"/>
        </w:rPr>
        <w:t xml:space="preserve">Пономарева О.Я. Удовлетворенность трудом как показатель качества человеческого капитала организации в условиях </w:t>
      </w:r>
      <w:proofErr w:type="spellStart"/>
      <w:r w:rsidR="00A339A0">
        <w:rPr>
          <w:rFonts w:ascii="Times New Roman" w:eastAsia="Calibri" w:hAnsi="Times New Roman" w:cs="Times New Roman"/>
          <w:sz w:val="28"/>
        </w:rPr>
        <w:t>цифровизации</w:t>
      </w:r>
      <w:proofErr w:type="spellEnd"/>
      <w:r w:rsidR="00A339A0">
        <w:rPr>
          <w:rFonts w:ascii="Times New Roman" w:eastAsia="Calibri" w:hAnsi="Times New Roman" w:cs="Times New Roman"/>
          <w:sz w:val="28"/>
        </w:rPr>
        <w:t xml:space="preserve"> / О. Я. Пономарева, О. Ю. Никитина //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The</w:t>
      </w:r>
      <w:proofErr w:type="spellEnd"/>
      <w:r w:rsidR="00A339A0" w:rsidRPr="00A339A0">
        <w:rPr>
          <w:rFonts w:ascii="Times New Roman" w:eastAsia="Calibri" w:hAnsi="Times New Roman" w:cs="Times New Roman"/>
          <w:sz w:val="28"/>
        </w:rPr>
        <w:t xml:space="preserve"> 2th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International</w:t>
      </w:r>
      <w:proofErr w:type="spellEnd"/>
      <w:r w:rsidR="00A339A0" w:rsidRPr="00A339A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Conference</w:t>
      </w:r>
      <w:proofErr w:type="spellEnd"/>
      <w:r w:rsidR="00A339A0" w:rsidRPr="00A339A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on</w:t>
      </w:r>
      <w:proofErr w:type="spellEnd"/>
      <w:r w:rsidR="00A339A0" w:rsidRPr="00A339A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Digitalization</w:t>
      </w:r>
      <w:proofErr w:type="spellEnd"/>
      <w:r w:rsidR="00A339A0" w:rsidRPr="00A339A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of</w:t>
      </w:r>
      <w:proofErr w:type="spellEnd"/>
      <w:r w:rsidR="00A339A0" w:rsidRPr="00A339A0">
        <w:rPr>
          <w:rFonts w:ascii="Times New Roman" w:eastAsia="Calibri" w:hAnsi="Times New Roman" w:cs="Times New Roman"/>
          <w:sz w:val="28"/>
        </w:rPr>
        <w:t xml:space="preserve"> (DSEME-2019),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December</w:t>
      </w:r>
      <w:proofErr w:type="spellEnd"/>
      <w:r w:rsidR="00A339A0" w:rsidRPr="00A339A0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Yekaterinburg</w:t>
      </w:r>
      <w:proofErr w:type="spellEnd"/>
      <w:r w:rsidR="00A339A0" w:rsidRPr="00A339A0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Russian</w:t>
      </w:r>
      <w:proofErr w:type="spellEnd"/>
      <w:r w:rsidR="00A339A0" w:rsidRPr="00A339A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339A0" w:rsidRPr="00A339A0">
        <w:rPr>
          <w:rFonts w:ascii="Times New Roman" w:eastAsia="Calibri" w:hAnsi="Times New Roman" w:cs="Times New Roman"/>
          <w:sz w:val="28"/>
        </w:rPr>
        <w:t>Federation</w:t>
      </w:r>
      <w:proofErr w:type="spellEnd"/>
      <w:r w:rsidR="00A339A0">
        <w:rPr>
          <w:rFonts w:ascii="Times New Roman" w:eastAsia="Calibri" w:hAnsi="Times New Roman" w:cs="Times New Roman"/>
          <w:sz w:val="28"/>
        </w:rPr>
        <w:t xml:space="preserve">. </w:t>
      </w:r>
      <w:r w:rsidR="00A3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2019. – </w:t>
      </w:r>
      <w:r w:rsidR="00A339A0" w:rsidRPr="00AF388D">
        <w:rPr>
          <w:rFonts w:ascii="Times New Roman" w:eastAsia="Calibri" w:hAnsi="Times New Roman" w:cs="Times New Roman"/>
          <w:sz w:val="28"/>
        </w:rPr>
        <w:t>ISSN:</w:t>
      </w:r>
      <w:r w:rsidR="00A339A0">
        <w:rPr>
          <w:rFonts w:ascii="Times New Roman" w:eastAsia="Calibri" w:hAnsi="Times New Roman" w:cs="Times New Roman"/>
          <w:sz w:val="28"/>
        </w:rPr>
        <w:t xml:space="preserve"> 3311-2828</w:t>
      </w:r>
      <w:r w:rsidR="00D34B2E">
        <w:rPr>
          <w:rFonts w:ascii="Times New Roman" w:eastAsia="Calibri" w:hAnsi="Times New Roman" w:cs="Times New Roman"/>
          <w:sz w:val="28"/>
        </w:rPr>
        <w:t>.</w:t>
      </w:r>
    </w:p>
    <w:p w:rsidR="00166475" w:rsidRDefault="00AF1501" w:rsidP="008925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39. </w:t>
      </w:r>
      <w:r w:rsidR="006042BC">
        <w:rPr>
          <w:rFonts w:ascii="Times New Roman" w:eastAsia="Calibri" w:hAnsi="Times New Roman" w:cs="Times New Roman"/>
          <w:sz w:val="28"/>
        </w:rPr>
        <w:t>Рейтинги компании</w:t>
      </w:r>
      <w:proofErr w:type="gramStart"/>
      <w:r w:rsidR="008925B1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="008925B1">
        <w:rPr>
          <w:rFonts w:ascii="Times New Roman" w:eastAsia="Calibri" w:hAnsi="Times New Roman" w:cs="Times New Roman"/>
          <w:sz w:val="28"/>
        </w:rPr>
        <w:t xml:space="preserve"> </w:t>
      </w:r>
      <w:r w:rsidR="00DF43B9">
        <w:rPr>
          <w:rFonts w:ascii="Times New Roman" w:eastAsia="Calibri" w:hAnsi="Times New Roman" w:cs="Times New Roman"/>
          <w:sz w:val="28"/>
        </w:rPr>
        <w:t>сайт</w:t>
      </w:r>
      <w:r w:rsidR="008925B1">
        <w:rPr>
          <w:rFonts w:ascii="Times New Roman" w:eastAsia="Calibri" w:hAnsi="Times New Roman" w:cs="Times New Roman"/>
          <w:sz w:val="28"/>
        </w:rPr>
        <w:t xml:space="preserve"> / </w:t>
      </w:r>
      <w:proofErr w:type="spellStart"/>
      <w:r w:rsidR="008925B1">
        <w:rPr>
          <w:rFonts w:ascii="Times New Roman" w:eastAsia="Calibri" w:hAnsi="Times New Roman" w:cs="Times New Roman"/>
          <w:sz w:val="28"/>
        </w:rPr>
        <w:t>Раэксперт</w:t>
      </w:r>
      <w:proofErr w:type="spellEnd"/>
      <w:r w:rsidR="008925B1">
        <w:rPr>
          <w:rFonts w:ascii="Times New Roman" w:eastAsia="Calibri" w:hAnsi="Times New Roman" w:cs="Times New Roman"/>
          <w:sz w:val="28"/>
        </w:rPr>
        <w:t>.</w:t>
      </w:r>
      <w:r w:rsidR="00DF43B9" w:rsidRPr="00DF43B9">
        <w:rPr>
          <w:rFonts w:ascii="Times New Roman" w:eastAsia="Calibri" w:hAnsi="Times New Roman" w:cs="Times New Roman"/>
          <w:sz w:val="28"/>
        </w:rPr>
        <w:t xml:space="preserve"> </w:t>
      </w:r>
      <w:r w:rsidR="006042BC">
        <w:rPr>
          <w:rFonts w:ascii="Times New Roman" w:eastAsia="Calibri" w:hAnsi="Times New Roman" w:cs="Times New Roman"/>
          <w:sz w:val="28"/>
        </w:rPr>
        <w:t xml:space="preserve">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F43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B195A" w:rsidRPr="00F82D72">
        <w:rPr>
          <w:rFonts w:ascii="Times New Roman" w:eastAsia="Calibri" w:hAnsi="Times New Roman" w:cs="Times New Roman"/>
          <w:sz w:val="28"/>
        </w:rPr>
        <w:t>https://raexpert.ru/database/companies/gazprombank/</w:t>
      </w:r>
      <w:r w:rsidR="00FB195A">
        <w:rPr>
          <w:rFonts w:ascii="Times New Roman" w:eastAsia="Calibri" w:hAnsi="Times New Roman" w:cs="Times New Roman"/>
          <w:sz w:val="28"/>
        </w:rPr>
        <w:t xml:space="preserve"> (дата обращения 02.12.2023)</w:t>
      </w:r>
    </w:p>
    <w:p w:rsidR="00EF070D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40. </w:t>
      </w:r>
      <w:r w:rsidR="00EF070D">
        <w:rPr>
          <w:rFonts w:ascii="Times New Roman" w:eastAsia="Calibri" w:hAnsi="Times New Roman" w:cs="Times New Roman"/>
          <w:sz w:val="28"/>
        </w:rPr>
        <w:t>Семенов К.О. Методика оценки уровня экономической безопасности коммерческих банков / К. О. Семенов //</w:t>
      </w:r>
      <w:r w:rsidR="00EF070D" w:rsidRPr="00EF070D">
        <w:rPr>
          <w:rFonts w:ascii="Times New Roman" w:eastAsia="Calibri" w:hAnsi="Times New Roman" w:cs="Times New Roman"/>
          <w:sz w:val="28"/>
        </w:rPr>
        <w:t xml:space="preserve"> </w:t>
      </w:r>
      <w:r w:rsidR="00EF070D">
        <w:rPr>
          <w:rFonts w:ascii="Times New Roman" w:eastAsia="Calibri" w:hAnsi="Times New Roman" w:cs="Times New Roman"/>
          <w:sz w:val="28"/>
        </w:rPr>
        <w:t xml:space="preserve">Инновации.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>– 2021. – №</w:t>
      </w:r>
      <w:r w:rsidR="00EF070D">
        <w:rPr>
          <w:rFonts w:ascii="Times New Roman" w:eastAsia="Calibri" w:hAnsi="Times New Roman" w:cs="Times New Roman"/>
          <w:sz w:val="28"/>
        </w:rPr>
        <w:t xml:space="preserve">5.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EF070D" w:rsidRPr="00EF070D">
        <w:rPr>
          <w:rFonts w:ascii="Times New Roman" w:eastAsia="Calibri" w:hAnsi="Times New Roman" w:cs="Times New Roman"/>
          <w:sz w:val="28"/>
        </w:rPr>
        <w:t>110-115.</w:t>
      </w:r>
      <w:r w:rsidR="00EF070D">
        <w:rPr>
          <w:rFonts w:ascii="Times New Roman" w:eastAsia="Calibri" w:hAnsi="Times New Roman" w:cs="Times New Roman"/>
          <w:sz w:val="28"/>
        </w:rPr>
        <w:t xml:space="preserve"> </w:t>
      </w:r>
      <w:r w:rsidR="00EF0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070D" w:rsidRPr="00AF388D">
        <w:rPr>
          <w:rFonts w:ascii="Times New Roman" w:eastAsia="Calibri" w:hAnsi="Times New Roman" w:cs="Times New Roman"/>
          <w:sz w:val="28"/>
        </w:rPr>
        <w:t>ISSN:</w:t>
      </w:r>
      <w:r w:rsidR="00EF070D">
        <w:rPr>
          <w:rFonts w:ascii="Times New Roman" w:eastAsia="Calibri" w:hAnsi="Times New Roman" w:cs="Times New Roman"/>
          <w:sz w:val="28"/>
        </w:rPr>
        <w:t xml:space="preserve"> </w:t>
      </w:r>
      <w:r w:rsidR="00EF070D" w:rsidRPr="00EF070D">
        <w:rPr>
          <w:rFonts w:ascii="Times New Roman" w:eastAsia="Calibri" w:hAnsi="Times New Roman" w:cs="Times New Roman"/>
          <w:sz w:val="28"/>
        </w:rPr>
        <w:t>2712-7516</w:t>
      </w:r>
      <w:r w:rsidR="00EF070D">
        <w:rPr>
          <w:rFonts w:ascii="Times New Roman" w:eastAsia="Calibri" w:hAnsi="Times New Roman" w:cs="Times New Roman"/>
          <w:sz w:val="28"/>
        </w:rPr>
        <w:t>.</w:t>
      </w:r>
    </w:p>
    <w:p w:rsidR="00A339A0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41. </w:t>
      </w:r>
      <w:r w:rsidR="00A339A0">
        <w:rPr>
          <w:rFonts w:ascii="Times New Roman" w:eastAsia="Calibri" w:hAnsi="Times New Roman" w:cs="Times New Roman"/>
          <w:sz w:val="28"/>
        </w:rPr>
        <w:t>Соколова А.Н. Кадровая безопасность в системе экономической безопасности современного банка / А. Н. Соколова //</w:t>
      </w:r>
      <w:r w:rsidR="00A339A0" w:rsidRPr="00A339A0">
        <w:rPr>
          <w:rFonts w:ascii="Times New Roman" w:eastAsia="Calibri" w:hAnsi="Times New Roman" w:cs="Times New Roman"/>
          <w:sz w:val="28"/>
        </w:rPr>
        <w:t xml:space="preserve"> </w:t>
      </w:r>
      <w:r w:rsidR="00A339A0">
        <w:rPr>
          <w:rFonts w:ascii="Times New Roman" w:eastAsia="Calibri" w:hAnsi="Times New Roman" w:cs="Times New Roman"/>
          <w:sz w:val="28"/>
        </w:rPr>
        <w:t xml:space="preserve">Экономика и социум. </w:t>
      </w:r>
      <w:r w:rsidR="00A339A0">
        <w:rPr>
          <w:rFonts w:ascii="Times New Roman" w:hAnsi="Times New Roman" w:cs="Times New Roman"/>
          <w:color w:val="000000" w:themeColor="text1"/>
          <w:sz w:val="28"/>
          <w:szCs w:val="28"/>
        </w:rPr>
        <w:t>– 2021. – №</w:t>
      </w:r>
      <w:r w:rsidR="00A339A0">
        <w:rPr>
          <w:rFonts w:ascii="Times New Roman" w:eastAsia="Calibri" w:hAnsi="Times New Roman" w:cs="Times New Roman"/>
          <w:sz w:val="28"/>
        </w:rPr>
        <w:t xml:space="preserve">3-2 (82). </w:t>
      </w:r>
      <w:r w:rsidR="00A3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A339A0" w:rsidRPr="00A339A0">
        <w:rPr>
          <w:rFonts w:ascii="Times New Roman" w:eastAsia="Calibri" w:hAnsi="Times New Roman" w:cs="Times New Roman"/>
          <w:sz w:val="28"/>
        </w:rPr>
        <w:t>370-375.</w:t>
      </w:r>
      <w:r w:rsidR="00A339A0">
        <w:rPr>
          <w:rFonts w:ascii="Times New Roman" w:eastAsia="Calibri" w:hAnsi="Times New Roman" w:cs="Times New Roman"/>
          <w:sz w:val="28"/>
        </w:rPr>
        <w:t xml:space="preserve"> </w:t>
      </w:r>
      <w:r w:rsidR="00604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339A0" w:rsidRPr="00AF388D">
        <w:rPr>
          <w:rFonts w:ascii="Times New Roman" w:eastAsia="Calibri" w:hAnsi="Times New Roman" w:cs="Times New Roman"/>
          <w:sz w:val="28"/>
        </w:rPr>
        <w:t>ISSN:</w:t>
      </w:r>
      <w:r w:rsidR="00A339A0">
        <w:rPr>
          <w:rFonts w:ascii="Times New Roman" w:eastAsia="Calibri" w:hAnsi="Times New Roman" w:cs="Times New Roman"/>
          <w:sz w:val="28"/>
        </w:rPr>
        <w:t xml:space="preserve"> 4897-5139.</w:t>
      </w:r>
    </w:p>
    <w:p w:rsidR="00AF388D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42. </w:t>
      </w:r>
      <w:r w:rsidR="00AF388D" w:rsidRPr="00AF388D">
        <w:rPr>
          <w:rFonts w:ascii="Times New Roman" w:eastAsia="Calibri" w:hAnsi="Times New Roman" w:cs="Times New Roman"/>
          <w:sz w:val="28"/>
        </w:rPr>
        <w:t xml:space="preserve">Сорокина </w:t>
      </w:r>
      <w:r w:rsidR="00AF388D">
        <w:rPr>
          <w:rFonts w:ascii="Times New Roman" w:eastAsia="Calibri" w:hAnsi="Times New Roman" w:cs="Times New Roman"/>
          <w:sz w:val="28"/>
        </w:rPr>
        <w:t>Л.А.</w:t>
      </w:r>
      <w:r w:rsidR="00AF388D" w:rsidRPr="00AF388D">
        <w:rPr>
          <w:rFonts w:ascii="Times New Roman" w:eastAsia="Calibri" w:hAnsi="Times New Roman" w:cs="Times New Roman"/>
          <w:sz w:val="28"/>
        </w:rPr>
        <w:t xml:space="preserve"> Стратегические к</w:t>
      </w:r>
      <w:r w:rsidR="00AF388D">
        <w:rPr>
          <w:rFonts w:ascii="Times New Roman" w:eastAsia="Calibri" w:hAnsi="Times New Roman" w:cs="Times New Roman"/>
          <w:sz w:val="28"/>
        </w:rPr>
        <w:t>адровые приоритеты ПАО Сбербанк / Л. А. Сорокина, Ю. Т. Ширяева //</w:t>
      </w:r>
      <w:r w:rsidR="00AF388D" w:rsidRPr="00AF388D">
        <w:rPr>
          <w:rFonts w:ascii="Times New Roman" w:eastAsia="Calibri" w:hAnsi="Times New Roman" w:cs="Times New Roman"/>
          <w:sz w:val="28"/>
        </w:rPr>
        <w:t xml:space="preserve"> Вестник Росси</w:t>
      </w:r>
      <w:r w:rsidR="00AF388D">
        <w:rPr>
          <w:rFonts w:ascii="Times New Roman" w:eastAsia="Calibri" w:hAnsi="Times New Roman" w:cs="Times New Roman"/>
          <w:sz w:val="28"/>
        </w:rPr>
        <w:t xml:space="preserve">йского университета кооперации. </w:t>
      </w:r>
      <w:r w:rsidR="00AF388D">
        <w:rPr>
          <w:rFonts w:ascii="Times New Roman" w:hAnsi="Times New Roman" w:cs="Times New Roman"/>
          <w:color w:val="000000" w:themeColor="text1"/>
          <w:sz w:val="28"/>
          <w:szCs w:val="28"/>
        </w:rPr>
        <w:t>– 2020. – №</w:t>
      </w:r>
      <w:r w:rsidR="00AF388D">
        <w:rPr>
          <w:rFonts w:ascii="Times New Roman" w:eastAsia="Calibri" w:hAnsi="Times New Roman" w:cs="Times New Roman"/>
          <w:sz w:val="28"/>
        </w:rPr>
        <w:t xml:space="preserve">1 (39). </w:t>
      </w:r>
      <w:r w:rsidR="00AF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AF388D" w:rsidRPr="00AF388D">
        <w:rPr>
          <w:rFonts w:ascii="Times New Roman" w:eastAsia="Calibri" w:hAnsi="Times New Roman" w:cs="Times New Roman"/>
          <w:sz w:val="28"/>
        </w:rPr>
        <w:t>83-86.</w:t>
      </w:r>
      <w:r w:rsidR="00AF388D">
        <w:rPr>
          <w:rFonts w:ascii="Times New Roman" w:eastAsia="Calibri" w:hAnsi="Times New Roman" w:cs="Times New Roman"/>
          <w:sz w:val="28"/>
        </w:rPr>
        <w:t xml:space="preserve"> </w:t>
      </w:r>
      <w:r w:rsidR="00AF38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04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88D" w:rsidRPr="00AF388D">
        <w:rPr>
          <w:rFonts w:ascii="Times New Roman" w:eastAsia="Calibri" w:hAnsi="Times New Roman" w:cs="Times New Roman"/>
          <w:sz w:val="28"/>
        </w:rPr>
        <w:t>ISSN: 2227-4383</w:t>
      </w:r>
      <w:r w:rsidR="00FB47E7">
        <w:rPr>
          <w:rFonts w:ascii="Times New Roman" w:eastAsia="Calibri" w:hAnsi="Times New Roman" w:cs="Times New Roman"/>
          <w:sz w:val="28"/>
        </w:rPr>
        <w:t>.</w:t>
      </w:r>
    </w:p>
    <w:p w:rsidR="00FB47E7" w:rsidRPr="00DF43B9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43. 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Статистика зарплат в России за 2022 год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195A" w:rsidRPr="00FB47E7">
        <w:rPr>
          <w:rFonts w:ascii="Times New Roman" w:eastAsia="Calibri" w:hAnsi="Times New Roman" w:cs="Times New Roman"/>
          <w:sz w:val="28"/>
        </w:rPr>
        <w:t xml:space="preserve"> </w:t>
      </w:r>
      <w:r w:rsidR="00FB47E7" w:rsidRPr="00FB47E7">
        <w:rPr>
          <w:rFonts w:ascii="Times New Roman" w:eastAsia="Calibri" w:hAnsi="Times New Roman" w:cs="Times New Roman"/>
          <w:sz w:val="28"/>
        </w:rPr>
        <w:t>«Сотрудник банка»</w:t>
      </w:r>
      <w:proofErr w:type="gramStart"/>
      <w:r w:rsidR="00FB47E7" w:rsidRPr="00FB47E7">
        <w:rPr>
          <w:rFonts w:ascii="Times New Roman" w:eastAsia="Calibri" w:hAnsi="Times New Roman" w:cs="Times New Roman"/>
          <w:sz w:val="28"/>
        </w:rPr>
        <w:t xml:space="preserve"> </w:t>
      </w:r>
      <w:r w:rsidR="008925B1">
        <w:rPr>
          <w:rFonts w:ascii="Times New Roman" w:eastAsia="Calibri" w:hAnsi="Times New Roman" w:cs="Times New Roman"/>
          <w:sz w:val="28"/>
        </w:rPr>
        <w:t>:</w:t>
      </w:r>
      <w:proofErr w:type="gramEnd"/>
      <w:r w:rsidR="008925B1">
        <w:rPr>
          <w:rFonts w:ascii="Times New Roman" w:eastAsia="Calibri" w:hAnsi="Times New Roman" w:cs="Times New Roman"/>
          <w:sz w:val="28"/>
        </w:rPr>
        <w:t xml:space="preserve"> </w:t>
      </w:r>
      <w:r w:rsidR="00FB195A">
        <w:rPr>
          <w:rFonts w:ascii="Times New Roman" w:eastAsia="Calibri" w:hAnsi="Times New Roman" w:cs="Times New Roman"/>
          <w:sz w:val="28"/>
        </w:rPr>
        <w:t xml:space="preserve">официальный сайт. 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92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Работ. –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3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FB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B195A" w:rsidRPr="00F82D72">
        <w:rPr>
          <w:rFonts w:ascii="Times New Roman" w:eastAsia="Calibri" w:hAnsi="Times New Roman" w:cs="Times New Roman"/>
          <w:sz w:val="28"/>
        </w:rPr>
        <w:t>https://gorodrabot.ru/salary?p=сотрудник+банка&amp;y=2022</w:t>
      </w:r>
      <w:r w:rsidR="00FB195A">
        <w:rPr>
          <w:rFonts w:ascii="Times New Roman" w:eastAsia="Calibri" w:hAnsi="Times New Roman" w:cs="Times New Roman"/>
          <w:sz w:val="28"/>
        </w:rPr>
        <w:t xml:space="preserve"> (дата обращения 13.12.2023)</w:t>
      </w:r>
    </w:p>
    <w:p w:rsidR="00FB47E7" w:rsidRDefault="00AF1501" w:rsidP="00FB47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44. </w:t>
      </w:r>
      <w:proofErr w:type="spellStart"/>
      <w:r w:rsidR="00FB47E7" w:rsidRPr="00FB47E7">
        <w:rPr>
          <w:rFonts w:ascii="Times New Roman" w:eastAsia="Calibri" w:hAnsi="Times New Roman" w:cs="Times New Roman"/>
          <w:sz w:val="28"/>
        </w:rPr>
        <w:t>Таскина</w:t>
      </w:r>
      <w:proofErr w:type="spellEnd"/>
      <w:r w:rsidR="00FB47E7" w:rsidRPr="00FB47E7">
        <w:rPr>
          <w:rFonts w:ascii="Times New Roman" w:eastAsia="Calibri" w:hAnsi="Times New Roman" w:cs="Times New Roman"/>
          <w:sz w:val="28"/>
        </w:rPr>
        <w:t xml:space="preserve"> </w:t>
      </w:r>
      <w:r w:rsidR="00FB47E7">
        <w:rPr>
          <w:rFonts w:ascii="Times New Roman" w:eastAsia="Calibri" w:hAnsi="Times New Roman" w:cs="Times New Roman"/>
          <w:sz w:val="28"/>
        </w:rPr>
        <w:t>К.С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. Перечень мероприятий по ликвидации угроз экономической и финансовой безопасности ПАО «СБЕРБАНК РОССИИ» </w:t>
      </w:r>
      <w:r w:rsidR="00FB47E7">
        <w:rPr>
          <w:rFonts w:ascii="Times New Roman" w:eastAsia="Calibri" w:hAnsi="Times New Roman" w:cs="Times New Roman"/>
          <w:sz w:val="28"/>
        </w:rPr>
        <w:t xml:space="preserve">/ К. С. </w:t>
      </w:r>
      <w:proofErr w:type="spellStart"/>
      <w:r w:rsidR="00FB47E7">
        <w:rPr>
          <w:rFonts w:ascii="Times New Roman" w:eastAsia="Calibri" w:hAnsi="Times New Roman" w:cs="Times New Roman"/>
          <w:sz w:val="28"/>
        </w:rPr>
        <w:t>Таксина</w:t>
      </w:r>
      <w:proofErr w:type="spellEnd"/>
      <w:r w:rsidR="00FB47E7">
        <w:rPr>
          <w:rFonts w:ascii="Times New Roman" w:eastAsia="Calibri" w:hAnsi="Times New Roman" w:cs="Times New Roman"/>
          <w:sz w:val="28"/>
        </w:rPr>
        <w:t xml:space="preserve"> // Наука через призму времени.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47E7" w:rsidRPr="00FB47E7">
        <w:rPr>
          <w:rFonts w:ascii="Times New Roman" w:eastAsia="Calibri" w:hAnsi="Times New Roman" w:cs="Times New Roman"/>
          <w:sz w:val="28"/>
        </w:rPr>
        <w:t>2019.</w:t>
      </w:r>
      <w:r w:rsidR="00FB47E7">
        <w:rPr>
          <w:rFonts w:ascii="Times New Roman" w:eastAsia="Calibri" w:hAnsi="Times New Roman" w:cs="Times New Roman"/>
          <w:sz w:val="28"/>
        </w:rPr>
        <w:t xml:space="preserve">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47E7" w:rsidRPr="00FB47E7">
        <w:rPr>
          <w:rFonts w:ascii="Times New Roman" w:eastAsia="Calibri" w:hAnsi="Times New Roman" w:cs="Times New Roman"/>
          <w:sz w:val="28"/>
        </w:rPr>
        <w:t>№6 (27).</w:t>
      </w:r>
      <w:r w:rsidR="00FB47E7">
        <w:rPr>
          <w:rFonts w:ascii="Times New Roman" w:eastAsia="Calibri" w:hAnsi="Times New Roman" w:cs="Times New Roman"/>
          <w:sz w:val="28"/>
        </w:rPr>
        <w:t xml:space="preserve">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47E7" w:rsidRPr="00AF388D">
        <w:rPr>
          <w:rFonts w:ascii="Times New Roman" w:eastAsia="Calibri" w:hAnsi="Times New Roman" w:cs="Times New Roman"/>
          <w:sz w:val="28"/>
        </w:rPr>
        <w:t>ISSN:</w:t>
      </w:r>
      <w:r w:rsidR="00FB47E7">
        <w:rPr>
          <w:rFonts w:ascii="Times New Roman" w:eastAsia="Calibri" w:hAnsi="Times New Roman" w:cs="Times New Roman"/>
          <w:sz w:val="28"/>
        </w:rPr>
        <w:t xml:space="preserve"> 4563-4784.</w:t>
      </w:r>
    </w:p>
    <w:p w:rsidR="00E90CE0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45. </w:t>
      </w:r>
      <w:r w:rsidR="00E90CE0">
        <w:rPr>
          <w:rFonts w:ascii="Times New Roman" w:eastAsia="Calibri" w:hAnsi="Times New Roman" w:cs="Times New Roman"/>
          <w:sz w:val="28"/>
        </w:rPr>
        <w:t xml:space="preserve"> А.Н. Современные подходы к обеспечению экономической безопасности коммерческого банка / А. Н. </w:t>
      </w:r>
      <w:proofErr w:type="gramStart"/>
      <w:r w:rsidR="00E90CE0">
        <w:rPr>
          <w:rFonts w:ascii="Times New Roman" w:eastAsia="Calibri" w:hAnsi="Times New Roman" w:cs="Times New Roman"/>
          <w:sz w:val="28"/>
        </w:rPr>
        <w:t>Тимин</w:t>
      </w:r>
      <w:proofErr w:type="gramEnd"/>
      <w:r w:rsidR="00E90CE0">
        <w:rPr>
          <w:rFonts w:ascii="Times New Roman" w:eastAsia="Calibri" w:hAnsi="Times New Roman" w:cs="Times New Roman"/>
          <w:sz w:val="28"/>
        </w:rPr>
        <w:t xml:space="preserve">, А. В. </w:t>
      </w:r>
      <w:proofErr w:type="spellStart"/>
      <w:r w:rsidR="00E90CE0">
        <w:rPr>
          <w:rFonts w:ascii="Times New Roman" w:eastAsia="Calibri" w:hAnsi="Times New Roman" w:cs="Times New Roman"/>
          <w:sz w:val="28"/>
        </w:rPr>
        <w:t>Тетера</w:t>
      </w:r>
      <w:proofErr w:type="spellEnd"/>
      <w:r w:rsidR="00E90CE0">
        <w:rPr>
          <w:rFonts w:ascii="Times New Roman" w:eastAsia="Calibri" w:hAnsi="Times New Roman" w:cs="Times New Roman"/>
          <w:sz w:val="28"/>
        </w:rPr>
        <w:t xml:space="preserve"> // 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В сборнике: </w:t>
      </w:r>
      <w:r w:rsidR="00681F6D">
        <w:rPr>
          <w:rFonts w:ascii="Times New Roman" w:eastAsia="Calibri" w:hAnsi="Times New Roman" w:cs="Times New Roman"/>
          <w:sz w:val="28"/>
        </w:rPr>
        <w:t>НПК-2019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E90CE0">
        <w:rPr>
          <w:rFonts w:ascii="Times New Roman" w:eastAsia="Calibri" w:hAnsi="Times New Roman" w:cs="Times New Roman"/>
          <w:sz w:val="28"/>
        </w:rPr>
        <w:t xml:space="preserve">2019.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E90CE0">
        <w:rPr>
          <w:rFonts w:ascii="Times New Roman" w:eastAsia="Calibri" w:hAnsi="Times New Roman" w:cs="Times New Roman"/>
          <w:sz w:val="28"/>
        </w:rPr>
        <w:t>С. 495-501.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0CE0" w:rsidRPr="00AF388D">
        <w:rPr>
          <w:rFonts w:ascii="Times New Roman" w:eastAsia="Calibri" w:hAnsi="Times New Roman" w:cs="Times New Roman"/>
          <w:sz w:val="28"/>
        </w:rPr>
        <w:t>ISSN:</w:t>
      </w:r>
      <w:r w:rsidR="00E90CE0">
        <w:rPr>
          <w:rFonts w:ascii="Times New Roman" w:eastAsia="Calibri" w:hAnsi="Times New Roman" w:cs="Times New Roman"/>
          <w:sz w:val="28"/>
        </w:rPr>
        <w:t xml:space="preserve"> </w:t>
      </w:r>
      <w:r w:rsidR="00E90CE0" w:rsidRPr="00E90CE0">
        <w:rPr>
          <w:rFonts w:ascii="Times New Roman" w:eastAsia="Calibri" w:hAnsi="Times New Roman" w:cs="Times New Roman"/>
          <w:sz w:val="28"/>
        </w:rPr>
        <w:t>3914</w:t>
      </w:r>
      <w:r w:rsidR="00E90CE0">
        <w:rPr>
          <w:rFonts w:ascii="Times New Roman" w:eastAsia="Calibri" w:hAnsi="Times New Roman" w:cs="Times New Roman"/>
          <w:sz w:val="28"/>
        </w:rPr>
        <w:t>-</w:t>
      </w:r>
      <w:r w:rsidR="00E90CE0" w:rsidRPr="00E90CE0">
        <w:rPr>
          <w:rFonts w:ascii="Times New Roman" w:eastAsia="Calibri" w:hAnsi="Times New Roman" w:cs="Times New Roman"/>
          <w:sz w:val="28"/>
        </w:rPr>
        <w:t>2355</w:t>
      </w:r>
      <w:r w:rsidR="00E90CE0">
        <w:rPr>
          <w:rFonts w:ascii="Times New Roman" w:eastAsia="Calibri" w:hAnsi="Times New Roman" w:cs="Times New Roman"/>
          <w:sz w:val="28"/>
        </w:rPr>
        <w:t>.</w:t>
      </w:r>
    </w:p>
    <w:p w:rsidR="00D34B2E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46. </w:t>
      </w:r>
      <w:r w:rsidR="00D34B2E" w:rsidRPr="00D34B2E">
        <w:rPr>
          <w:rFonts w:ascii="Times New Roman" w:eastAsia="Calibri" w:hAnsi="Times New Roman" w:cs="Times New Roman"/>
          <w:sz w:val="28"/>
        </w:rPr>
        <w:t xml:space="preserve">Халилова </w:t>
      </w:r>
      <w:r w:rsidR="00D34B2E">
        <w:rPr>
          <w:rFonts w:ascii="Times New Roman" w:eastAsia="Calibri" w:hAnsi="Times New Roman" w:cs="Times New Roman"/>
          <w:sz w:val="28"/>
        </w:rPr>
        <w:t>М.Х.</w:t>
      </w:r>
      <w:r w:rsidR="00D34B2E" w:rsidRPr="00D34B2E">
        <w:rPr>
          <w:rFonts w:ascii="Times New Roman" w:eastAsia="Calibri" w:hAnsi="Times New Roman" w:cs="Times New Roman"/>
          <w:sz w:val="28"/>
        </w:rPr>
        <w:t xml:space="preserve"> </w:t>
      </w:r>
      <w:r w:rsidR="00D34B2E">
        <w:rPr>
          <w:rFonts w:ascii="Times New Roman" w:eastAsia="Calibri" w:hAnsi="Times New Roman" w:cs="Times New Roman"/>
          <w:sz w:val="28"/>
        </w:rPr>
        <w:t xml:space="preserve">Оценка ликвидности коммерческих банков / М. Х. Халилов, Е. Г. </w:t>
      </w:r>
      <w:proofErr w:type="spellStart"/>
      <w:r w:rsidR="00D34B2E">
        <w:rPr>
          <w:rFonts w:ascii="Times New Roman" w:eastAsia="Calibri" w:hAnsi="Times New Roman" w:cs="Times New Roman"/>
          <w:sz w:val="28"/>
        </w:rPr>
        <w:t>Юмина</w:t>
      </w:r>
      <w:proofErr w:type="spellEnd"/>
      <w:r w:rsidR="00D34B2E">
        <w:rPr>
          <w:rFonts w:ascii="Times New Roman" w:eastAsia="Calibri" w:hAnsi="Times New Roman" w:cs="Times New Roman"/>
          <w:sz w:val="28"/>
        </w:rPr>
        <w:t xml:space="preserve"> //</w:t>
      </w:r>
      <w:r w:rsidR="00D34B2E" w:rsidRPr="00D34B2E">
        <w:rPr>
          <w:rFonts w:ascii="Times New Roman" w:eastAsia="Calibri" w:hAnsi="Times New Roman" w:cs="Times New Roman"/>
          <w:sz w:val="28"/>
        </w:rPr>
        <w:t xml:space="preserve"> </w:t>
      </w:r>
      <w:r w:rsidR="00D34B2E">
        <w:rPr>
          <w:rFonts w:ascii="Times New Roman" w:eastAsia="Calibri" w:hAnsi="Times New Roman" w:cs="Times New Roman"/>
          <w:sz w:val="28"/>
        </w:rPr>
        <w:t xml:space="preserve">Финансовые рынки и банки. </w:t>
      </w:r>
      <w:r w:rsidR="00D34B2E">
        <w:rPr>
          <w:rFonts w:ascii="Times New Roman" w:hAnsi="Times New Roman" w:cs="Times New Roman"/>
          <w:color w:val="000000" w:themeColor="text1"/>
          <w:sz w:val="28"/>
          <w:szCs w:val="28"/>
        </w:rPr>
        <w:t>– 2022. – №</w:t>
      </w:r>
      <w:r w:rsidR="00D34B2E">
        <w:rPr>
          <w:rFonts w:ascii="Times New Roman" w:eastAsia="Calibri" w:hAnsi="Times New Roman" w:cs="Times New Roman"/>
          <w:sz w:val="28"/>
        </w:rPr>
        <w:t xml:space="preserve">5. </w:t>
      </w:r>
      <w:r w:rsidR="00D3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D34B2E" w:rsidRPr="00D34B2E">
        <w:rPr>
          <w:rFonts w:ascii="Times New Roman" w:eastAsia="Calibri" w:hAnsi="Times New Roman" w:cs="Times New Roman"/>
          <w:sz w:val="28"/>
        </w:rPr>
        <w:t>167-174.</w:t>
      </w:r>
      <w:r w:rsidR="00D34B2E">
        <w:rPr>
          <w:rFonts w:ascii="Times New Roman" w:eastAsia="Calibri" w:hAnsi="Times New Roman" w:cs="Times New Roman"/>
          <w:sz w:val="28"/>
        </w:rPr>
        <w:t xml:space="preserve"> </w:t>
      </w:r>
      <w:r w:rsidR="00D3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34B2E" w:rsidRPr="00AF388D">
        <w:rPr>
          <w:rFonts w:ascii="Times New Roman" w:eastAsia="Calibri" w:hAnsi="Times New Roman" w:cs="Times New Roman"/>
          <w:sz w:val="28"/>
        </w:rPr>
        <w:t>ISSN:</w:t>
      </w:r>
      <w:r w:rsidR="00D34B2E">
        <w:rPr>
          <w:rFonts w:ascii="Times New Roman" w:eastAsia="Calibri" w:hAnsi="Times New Roman" w:cs="Times New Roman"/>
          <w:sz w:val="28"/>
        </w:rPr>
        <w:t xml:space="preserve"> 2159-7823.</w:t>
      </w:r>
    </w:p>
    <w:p w:rsidR="00FB47E7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47. </w:t>
      </w:r>
      <w:proofErr w:type="spellStart"/>
      <w:r w:rsidR="00FB47E7" w:rsidRPr="00FB47E7">
        <w:rPr>
          <w:rFonts w:ascii="Times New Roman" w:eastAsia="Calibri" w:hAnsi="Times New Roman" w:cs="Times New Roman"/>
          <w:sz w:val="28"/>
        </w:rPr>
        <w:t>Хидирова</w:t>
      </w:r>
      <w:proofErr w:type="spellEnd"/>
      <w:r w:rsidR="00FB47E7" w:rsidRPr="00FB47E7">
        <w:rPr>
          <w:rFonts w:ascii="Times New Roman" w:eastAsia="Calibri" w:hAnsi="Times New Roman" w:cs="Times New Roman"/>
          <w:sz w:val="28"/>
        </w:rPr>
        <w:t xml:space="preserve"> </w:t>
      </w:r>
      <w:r w:rsidR="00FB47E7">
        <w:rPr>
          <w:rFonts w:ascii="Times New Roman" w:eastAsia="Calibri" w:hAnsi="Times New Roman" w:cs="Times New Roman"/>
          <w:sz w:val="28"/>
        </w:rPr>
        <w:t xml:space="preserve">Р.М. </w:t>
      </w:r>
      <w:r w:rsidR="00FB47E7" w:rsidRPr="00FB47E7">
        <w:rPr>
          <w:rFonts w:ascii="Times New Roman" w:eastAsia="Calibri" w:hAnsi="Times New Roman" w:cs="Times New Roman"/>
          <w:sz w:val="28"/>
        </w:rPr>
        <w:t>Анализ и оценка эффективности использования ресурсов ПАО «Сбербанк России»</w:t>
      </w:r>
      <w:r w:rsidR="00FB47E7">
        <w:rPr>
          <w:rFonts w:ascii="Times New Roman" w:eastAsia="Calibri" w:hAnsi="Times New Roman" w:cs="Times New Roman"/>
          <w:sz w:val="28"/>
        </w:rPr>
        <w:t xml:space="preserve"> / Р. М. </w:t>
      </w:r>
      <w:proofErr w:type="spellStart"/>
      <w:r w:rsidR="00FB47E7">
        <w:rPr>
          <w:rFonts w:ascii="Times New Roman" w:eastAsia="Calibri" w:hAnsi="Times New Roman" w:cs="Times New Roman"/>
          <w:sz w:val="28"/>
        </w:rPr>
        <w:t>Хидирова</w:t>
      </w:r>
      <w:proofErr w:type="spellEnd"/>
      <w:r w:rsidR="00FB47E7">
        <w:rPr>
          <w:rFonts w:ascii="Times New Roman" w:eastAsia="Calibri" w:hAnsi="Times New Roman" w:cs="Times New Roman"/>
          <w:sz w:val="28"/>
        </w:rPr>
        <w:t xml:space="preserve">, М. Д. </w:t>
      </w:r>
      <w:proofErr w:type="spellStart"/>
      <w:r w:rsidR="00FB47E7">
        <w:rPr>
          <w:rFonts w:ascii="Times New Roman" w:eastAsia="Calibri" w:hAnsi="Times New Roman" w:cs="Times New Roman"/>
          <w:sz w:val="28"/>
        </w:rPr>
        <w:t>Махачева</w:t>
      </w:r>
      <w:proofErr w:type="spellEnd"/>
      <w:r w:rsidR="00FB47E7" w:rsidRPr="00FB47E7">
        <w:rPr>
          <w:rFonts w:ascii="Times New Roman" w:eastAsia="Calibri" w:hAnsi="Times New Roman" w:cs="Times New Roman"/>
          <w:sz w:val="28"/>
        </w:rPr>
        <w:t xml:space="preserve"> // АНИ: экономика и управление.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47E7" w:rsidRPr="00FB47E7">
        <w:rPr>
          <w:rFonts w:ascii="Times New Roman" w:eastAsia="Calibri" w:hAnsi="Times New Roman" w:cs="Times New Roman"/>
          <w:sz w:val="28"/>
        </w:rPr>
        <w:t xml:space="preserve">2019.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47E7" w:rsidRPr="00FB47E7">
        <w:rPr>
          <w:rFonts w:ascii="Times New Roman" w:eastAsia="Calibri" w:hAnsi="Times New Roman" w:cs="Times New Roman"/>
          <w:sz w:val="28"/>
        </w:rPr>
        <w:t>№ 3 (28).</w:t>
      </w:r>
      <w:r w:rsidR="00FB47E7">
        <w:rPr>
          <w:rFonts w:ascii="Times New Roman" w:eastAsia="Calibri" w:hAnsi="Times New Roman" w:cs="Times New Roman"/>
          <w:sz w:val="28"/>
        </w:rPr>
        <w:t xml:space="preserve"> </w:t>
      </w:r>
      <w:r w:rsidR="00FB4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47E7" w:rsidRPr="00AF388D">
        <w:rPr>
          <w:rFonts w:ascii="Times New Roman" w:eastAsia="Calibri" w:hAnsi="Times New Roman" w:cs="Times New Roman"/>
          <w:sz w:val="28"/>
        </w:rPr>
        <w:t>ISSN:</w:t>
      </w:r>
      <w:r w:rsidR="00FB47E7">
        <w:rPr>
          <w:rFonts w:ascii="Times New Roman" w:eastAsia="Calibri" w:hAnsi="Times New Roman" w:cs="Times New Roman"/>
          <w:sz w:val="28"/>
        </w:rPr>
        <w:t xml:space="preserve"> </w:t>
      </w:r>
      <w:r w:rsidR="00FB47E7" w:rsidRPr="00FB47E7">
        <w:rPr>
          <w:rFonts w:ascii="Times New Roman" w:eastAsia="Calibri" w:hAnsi="Times New Roman" w:cs="Times New Roman"/>
          <w:sz w:val="28"/>
        </w:rPr>
        <w:t>2309-1762</w:t>
      </w:r>
      <w:r w:rsidR="00FB47E7">
        <w:rPr>
          <w:rFonts w:ascii="Times New Roman" w:eastAsia="Calibri" w:hAnsi="Times New Roman" w:cs="Times New Roman"/>
          <w:sz w:val="28"/>
        </w:rPr>
        <w:t>.</w:t>
      </w:r>
    </w:p>
    <w:p w:rsidR="00D34B2E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48. </w:t>
      </w:r>
      <w:proofErr w:type="spellStart"/>
      <w:r w:rsidR="00D34B2E">
        <w:rPr>
          <w:rFonts w:ascii="Times New Roman" w:eastAsia="Calibri" w:hAnsi="Times New Roman" w:cs="Times New Roman"/>
          <w:sz w:val="28"/>
        </w:rPr>
        <w:t>Цвырко</w:t>
      </w:r>
      <w:proofErr w:type="spellEnd"/>
      <w:r w:rsidR="00D34B2E">
        <w:rPr>
          <w:rFonts w:ascii="Times New Roman" w:eastAsia="Calibri" w:hAnsi="Times New Roman" w:cs="Times New Roman"/>
          <w:sz w:val="28"/>
        </w:rPr>
        <w:t xml:space="preserve"> А.А. Управление ликвидностью коммерческого банка как фактор повышения его надежности / А. А. </w:t>
      </w:r>
      <w:proofErr w:type="spellStart"/>
      <w:r w:rsidR="00D34B2E">
        <w:rPr>
          <w:rFonts w:ascii="Times New Roman" w:eastAsia="Calibri" w:hAnsi="Times New Roman" w:cs="Times New Roman"/>
          <w:sz w:val="28"/>
        </w:rPr>
        <w:t>Цвырко</w:t>
      </w:r>
      <w:proofErr w:type="spellEnd"/>
      <w:r w:rsidR="00D34B2E">
        <w:rPr>
          <w:rFonts w:ascii="Times New Roman" w:eastAsia="Calibri" w:hAnsi="Times New Roman" w:cs="Times New Roman"/>
          <w:sz w:val="28"/>
        </w:rPr>
        <w:t>, Н. В. Сухорукова, Т. Н. Иващенко //</w:t>
      </w:r>
      <w:r w:rsidR="00D34B2E" w:rsidRPr="00D34B2E">
        <w:rPr>
          <w:rFonts w:ascii="Times New Roman" w:eastAsia="Calibri" w:hAnsi="Times New Roman" w:cs="Times New Roman"/>
          <w:sz w:val="28"/>
        </w:rPr>
        <w:t xml:space="preserve"> </w:t>
      </w:r>
      <w:r w:rsidR="00D34B2E">
        <w:rPr>
          <w:rFonts w:ascii="Times New Roman" w:eastAsia="Calibri" w:hAnsi="Times New Roman" w:cs="Times New Roman"/>
          <w:sz w:val="28"/>
        </w:rPr>
        <w:t xml:space="preserve">Вестник Академии знаний. </w:t>
      </w:r>
      <w:r w:rsidR="00D34B2E">
        <w:rPr>
          <w:rFonts w:ascii="Times New Roman" w:hAnsi="Times New Roman" w:cs="Times New Roman"/>
          <w:color w:val="000000" w:themeColor="text1"/>
          <w:sz w:val="28"/>
          <w:szCs w:val="28"/>
        </w:rPr>
        <w:t>– 2022. – №</w:t>
      </w:r>
      <w:r w:rsidR="00D34B2E">
        <w:rPr>
          <w:rFonts w:ascii="Times New Roman" w:eastAsia="Calibri" w:hAnsi="Times New Roman" w:cs="Times New Roman"/>
          <w:sz w:val="28"/>
        </w:rPr>
        <w:t xml:space="preserve">3 (50). </w:t>
      </w:r>
      <w:r w:rsidR="00D3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D34B2E" w:rsidRPr="00D34B2E">
        <w:rPr>
          <w:rFonts w:ascii="Times New Roman" w:eastAsia="Calibri" w:hAnsi="Times New Roman" w:cs="Times New Roman"/>
          <w:sz w:val="28"/>
        </w:rPr>
        <w:t>482-490.</w:t>
      </w:r>
      <w:r w:rsidR="00D34B2E">
        <w:rPr>
          <w:rFonts w:ascii="Times New Roman" w:eastAsia="Calibri" w:hAnsi="Times New Roman" w:cs="Times New Roman"/>
          <w:sz w:val="28"/>
        </w:rPr>
        <w:t xml:space="preserve"> </w:t>
      </w:r>
      <w:r w:rsidR="00D34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34B2E" w:rsidRPr="00AF388D">
        <w:rPr>
          <w:rFonts w:ascii="Times New Roman" w:eastAsia="Calibri" w:hAnsi="Times New Roman" w:cs="Times New Roman"/>
          <w:sz w:val="28"/>
        </w:rPr>
        <w:t>ISSN:</w:t>
      </w:r>
      <w:r w:rsidR="00D34B2E">
        <w:rPr>
          <w:rFonts w:ascii="Times New Roman" w:eastAsia="Calibri" w:hAnsi="Times New Roman" w:cs="Times New Roman"/>
          <w:sz w:val="28"/>
        </w:rPr>
        <w:t xml:space="preserve"> 5695-7853.</w:t>
      </w:r>
    </w:p>
    <w:p w:rsidR="00A339A0" w:rsidRDefault="00AF1501" w:rsidP="00AF3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49. </w:t>
      </w:r>
      <w:proofErr w:type="spellStart"/>
      <w:r w:rsidR="00A339A0">
        <w:rPr>
          <w:rFonts w:ascii="Times New Roman" w:eastAsia="Calibri" w:hAnsi="Times New Roman" w:cs="Times New Roman"/>
          <w:sz w:val="28"/>
        </w:rPr>
        <w:t>Шекшуева</w:t>
      </w:r>
      <w:proofErr w:type="spellEnd"/>
      <w:r w:rsidR="00A339A0">
        <w:rPr>
          <w:rFonts w:ascii="Times New Roman" w:eastAsia="Calibri" w:hAnsi="Times New Roman" w:cs="Times New Roman"/>
          <w:sz w:val="28"/>
        </w:rPr>
        <w:t xml:space="preserve"> С.В.</w:t>
      </w:r>
      <w:r w:rsidR="00A339A0" w:rsidRPr="00A339A0">
        <w:rPr>
          <w:rFonts w:ascii="Times New Roman" w:eastAsia="Calibri" w:hAnsi="Times New Roman" w:cs="Times New Roman"/>
          <w:sz w:val="28"/>
        </w:rPr>
        <w:t xml:space="preserve"> </w:t>
      </w:r>
      <w:r w:rsidR="00A339A0">
        <w:rPr>
          <w:rFonts w:ascii="Times New Roman" w:eastAsia="Calibri" w:hAnsi="Times New Roman" w:cs="Times New Roman"/>
          <w:sz w:val="28"/>
        </w:rPr>
        <w:t xml:space="preserve">Российские и международные рейтинговые агентства: сравнение методологий определения кредитного рейтинга коммерческого банка / С. В. </w:t>
      </w:r>
      <w:proofErr w:type="spellStart"/>
      <w:r w:rsidR="00A339A0">
        <w:rPr>
          <w:rFonts w:ascii="Times New Roman" w:eastAsia="Calibri" w:hAnsi="Times New Roman" w:cs="Times New Roman"/>
          <w:sz w:val="28"/>
        </w:rPr>
        <w:t>Шекшуева</w:t>
      </w:r>
      <w:proofErr w:type="spellEnd"/>
      <w:r w:rsidR="00A339A0">
        <w:rPr>
          <w:rFonts w:ascii="Times New Roman" w:eastAsia="Calibri" w:hAnsi="Times New Roman" w:cs="Times New Roman"/>
          <w:sz w:val="28"/>
        </w:rPr>
        <w:t xml:space="preserve">, С. В. </w:t>
      </w:r>
      <w:proofErr w:type="spellStart"/>
      <w:r w:rsidR="00A339A0">
        <w:rPr>
          <w:rFonts w:ascii="Times New Roman" w:eastAsia="Calibri" w:hAnsi="Times New Roman" w:cs="Times New Roman"/>
          <w:sz w:val="28"/>
        </w:rPr>
        <w:t>Зенов</w:t>
      </w:r>
      <w:proofErr w:type="spellEnd"/>
      <w:r w:rsidR="00A339A0">
        <w:rPr>
          <w:rFonts w:ascii="Times New Roman" w:eastAsia="Calibri" w:hAnsi="Times New Roman" w:cs="Times New Roman"/>
          <w:sz w:val="28"/>
        </w:rPr>
        <w:t xml:space="preserve"> // </w:t>
      </w:r>
      <w:r w:rsidR="00A339A0" w:rsidRPr="00A339A0">
        <w:rPr>
          <w:rFonts w:ascii="Times New Roman" w:eastAsia="Calibri" w:hAnsi="Times New Roman" w:cs="Times New Roman"/>
          <w:sz w:val="28"/>
        </w:rPr>
        <w:t>Современные наукоемкие технол</w:t>
      </w:r>
      <w:r w:rsidR="00A339A0">
        <w:rPr>
          <w:rFonts w:ascii="Times New Roman" w:eastAsia="Calibri" w:hAnsi="Times New Roman" w:cs="Times New Roman"/>
          <w:sz w:val="28"/>
        </w:rPr>
        <w:t xml:space="preserve">огии. Региональное приложение. </w:t>
      </w:r>
      <w:r w:rsidR="00A339A0">
        <w:rPr>
          <w:rFonts w:ascii="Times New Roman" w:hAnsi="Times New Roman" w:cs="Times New Roman"/>
          <w:color w:val="000000" w:themeColor="text1"/>
          <w:sz w:val="28"/>
          <w:szCs w:val="28"/>
        </w:rPr>
        <w:t>– 2020. – №</w:t>
      </w:r>
      <w:r w:rsidR="00A339A0">
        <w:rPr>
          <w:rFonts w:ascii="Times New Roman" w:eastAsia="Calibri" w:hAnsi="Times New Roman" w:cs="Times New Roman"/>
          <w:sz w:val="28"/>
        </w:rPr>
        <w:t xml:space="preserve">2 (62). </w:t>
      </w:r>
      <w:r w:rsidR="00A3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</w:t>
      </w:r>
      <w:r w:rsidR="00A339A0" w:rsidRPr="00A339A0">
        <w:rPr>
          <w:rFonts w:ascii="Times New Roman" w:eastAsia="Calibri" w:hAnsi="Times New Roman" w:cs="Times New Roman"/>
          <w:sz w:val="28"/>
        </w:rPr>
        <w:t>80-89.</w:t>
      </w:r>
      <w:r w:rsidR="00A339A0">
        <w:rPr>
          <w:rFonts w:ascii="Times New Roman" w:eastAsia="Calibri" w:hAnsi="Times New Roman" w:cs="Times New Roman"/>
          <w:sz w:val="28"/>
        </w:rPr>
        <w:t xml:space="preserve"> </w:t>
      </w:r>
      <w:r w:rsidR="00A3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339A0" w:rsidRPr="00AF388D">
        <w:rPr>
          <w:rFonts w:ascii="Times New Roman" w:eastAsia="Calibri" w:hAnsi="Times New Roman" w:cs="Times New Roman"/>
          <w:sz w:val="28"/>
        </w:rPr>
        <w:t>ISSN:</w:t>
      </w:r>
      <w:r w:rsidR="00D34B2E">
        <w:rPr>
          <w:rFonts w:ascii="Times New Roman" w:eastAsia="Calibri" w:hAnsi="Times New Roman" w:cs="Times New Roman"/>
          <w:sz w:val="28"/>
        </w:rPr>
        <w:t xml:space="preserve"> 3367-1596.</w:t>
      </w:r>
    </w:p>
    <w:p w:rsidR="008925B1" w:rsidRPr="00681F6D" w:rsidRDefault="00AF1501" w:rsidP="00681F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50. </w:t>
      </w:r>
      <w:r w:rsidR="00512D2F" w:rsidRPr="00512D2F">
        <w:rPr>
          <w:rFonts w:ascii="Times New Roman" w:eastAsia="Calibri" w:hAnsi="Times New Roman" w:cs="Times New Roman"/>
          <w:sz w:val="28"/>
        </w:rPr>
        <w:t>Шемякина А.А.</w:t>
      </w:r>
      <w:r w:rsidR="00512D2F">
        <w:rPr>
          <w:rFonts w:ascii="Times New Roman" w:eastAsia="Calibri" w:hAnsi="Times New Roman" w:cs="Times New Roman"/>
          <w:sz w:val="28"/>
        </w:rPr>
        <w:t xml:space="preserve"> Факторы обеспечения экономической безопасности коммерческого банка / А. А. Шемякина // </w:t>
      </w:r>
      <w:r w:rsidR="00512D2F" w:rsidRPr="00512D2F">
        <w:rPr>
          <w:rFonts w:ascii="Times New Roman" w:eastAsia="Calibri" w:hAnsi="Times New Roman" w:cs="Times New Roman"/>
          <w:sz w:val="28"/>
        </w:rPr>
        <w:t>В сборнике: Инновационное развитие техники и технологий в промышленности (ИНТЕКС-2022).</w:t>
      </w:r>
      <w:r w:rsidR="00681F6D">
        <w:rPr>
          <w:rFonts w:ascii="Times New Roman" w:eastAsia="Calibri" w:hAnsi="Times New Roman" w:cs="Times New Roman"/>
          <w:sz w:val="28"/>
        </w:rPr>
        <w:t xml:space="preserve">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12D2F" w:rsidRPr="00512D2F">
        <w:rPr>
          <w:rFonts w:ascii="Times New Roman" w:eastAsia="Calibri" w:hAnsi="Times New Roman" w:cs="Times New Roman"/>
          <w:sz w:val="28"/>
        </w:rPr>
        <w:t xml:space="preserve">2022. </w:t>
      </w:r>
      <w:r w:rsidR="0051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12D2F" w:rsidRPr="00512D2F">
        <w:rPr>
          <w:rFonts w:ascii="Times New Roman" w:eastAsia="Calibri" w:hAnsi="Times New Roman" w:cs="Times New Roman"/>
          <w:sz w:val="28"/>
        </w:rPr>
        <w:t>С. 301-304.</w:t>
      </w:r>
      <w:r w:rsidR="00512D2F">
        <w:rPr>
          <w:rFonts w:ascii="Times New Roman" w:eastAsia="Calibri" w:hAnsi="Times New Roman" w:cs="Times New Roman"/>
          <w:sz w:val="28"/>
        </w:rPr>
        <w:t xml:space="preserve"> </w:t>
      </w:r>
      <w:r w:rsidR="00604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12D2F" w:rsidRPr="00AF388D">
        <w:rPr>
          <w:rFonts w:ascii="Times New Roman" w:eastAsia="Calibri" w:hAnsi="Times New Roman" w:cs="Times New Roman"/>
          <w:sz w:val="28"/>
        </w:rPr>
        <w:t>ISSN:</w:t>
      </w:r>
      <w:r w:rsidR="00512D2F">
        <w:rPr>
          <w:rFonts w:ascii="Times New Roman" w:eastAsia="Calibri" w:hAnsi="Times New Roman" w:cs="Times New Roman"/>
          <w:sz w:val="28"/>
        </w:rPr>
        <w:t xml:space="preserve"> 336</w:t>
      </w:r>
      <w:r w:rsidR="00512D2F" w:rsidRPr="00512D2F">
        <w:rPr>
          <w:rFonts w:ascii="Times New Roman" w:eastAsia="Calibri" w:hAnsi="Times New Roman" w:cs="Times New Roman"/>
          <w:sz w:val="28"/>
        </w:rPr>
        <w:t>7</w:t>
      </w:r>
      <w:r w:rsidR="00512D2F">
        <w:rPr>
          <w:rFonts w:ascii="Times New Roman" w:eastAsia="Calibri" w:hAnsi="Times New Roman" w:cs="Times New Roman"/>
          <w:sz w:val="28"/>
        </w:rPr>
        <w:t>-431</w:t>
      </w:r>
      <w:r w:rsidR="00512D2F" w:rsidRPr="00512D2F">
        <w:rPr>
          <w:rFonts w:ascii="Times New Roman" w:eastAsia="Calibri" w:hAnsi="Times New Roman" w:cs="Times New Roman"/>
          <w:sz w:val="28"/>
        </w:rPr>
        <w:t>1</w:t>
      </w:r>
      <w:r w:rsidR="00512D2F">
        <w:rPr>
          <w:rFonts w:ascii="Times New Roman" w:eastAsia="Calibri" w:hAnsi="Times New Roman" w:cs="Times New Roman"/>
          <w:sz w:val="28"/>
        </w:rPr>
        <w:t>.</w:t>
      </w:r>
    </w:p>
    <w:p w:rsidR="001212E6" w:rsidRPr="00D64869" w:rsidRDefault="001212E6" w:rsidP="008925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4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ПРИЛО</w:t>
      </w:r>
      <w:bookmarkStart w:id="21" w:name="_GoBack"/>
      <w:bookmarkEnd w:id="21"/>
      <w:r w:rsidRPr="00D64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ЖЕНИЕ А</w:t>
      </w:r>
    </w:p>
    <w:p w:rsidR="001212E6" w:rsidRPr="00807981" w:rsidRDefault="001212E6" w:rsidP="001212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12E6" w:rsidRPr="00807981" w:rsidRDefault="001212E6" w:rsidP="001212E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7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Бухгалтерская (финансовая) отчетность 2022-2020 гг. АО «</w:t>
      </w:r>
      <w:proofErr w:type="spellStart"/>
      <w:r w:rsidRPr="00807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Газпромбанк</w:t>
      </w:r>
      <w:proofErr w:type="spellEnd"/>
      <w:r w:rsidRPr="00807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1212E6" w:rsidRPr="00D64869" w:rsidRDefault="001212E6" w:rsidP="001212E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212E6" w:rsidRPr="00D64869" w:rsidRDefault="001212E6" w:rsidP="001212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D64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Pr="00D64869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А. 1</w:t>
      </w:r>
      <w:r w:rsidRPr="00D64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64869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Бухгалтерский баланс 2022-2023</w:t>
      </w:r>
    </w:p>
    <w:tbl>
      <w:tblPr>
        <w:tblW w:w="9507" w:type="dxa"/>
        <w:tblCellSpacing w:w="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4626"/>
        <w:gridCol w:w="638"/>
        <w:gridCol w:w="1482"/>
        <w:gridCol w:w="1955"/>
      </w:tblGrid>
      <w:tr w:rsidR="00D64869" w:rsidRPr="00D64869" w:rsidTr="001212E6">
        <w:trPr>
          <w:trHeight w:val="26"/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I. Активы</w:t>
            </w:r>
          </w:p>
        </w:tc>
      </w:tr>
      <w:tr w:rsidR="00D64869" w:rsidRPr="00D64869" w:rsidTr="001212E6">
        <w:trPr>
          <w:trHeight w:val="25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1118057584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495921337</w:t>
            </w:r>
          </w:p>
        </w:tc>
      </w:tr>
      <w:tr w:rsidR="00D64869" w:rsidRPr="00D64869" w:rsidTr="001212E6">
        <w:trPr>
          <w:trHeight w:val="420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кредитной организации в Центральном банке Российской Федерации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65749527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154032752</w:t>
            </w:r>
          </w:p>
        </w:tc>
      </w:tr>
      <w:tr w:rsidR="00D64869" w:rsidRPr="00D64869" w:rsidTr="001212E6">
        <w:trPr>
          <w:trHeight w:val="209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Обязательные резервы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15740623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69015286</w:t>
            </w:r>
          </w:p>
        </w:tc>
      </w:tr>
      <w:tr w:rsidR="00D64869" w:rsidRPr="00D64869" w:rsidTr="001212E6">
        <w:trPr>
          <w:trHeight w:val="209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в кредитных организациях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716940293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637858803</w:t>
            </w:r>
          </w:p>
        </w:tc>
      </w:tr>
      <w:tr w:rsidR="00D64869" w:rsidRPr="00D64869" w:rsidTr="001212E6">
        <w:trPr>
          <w:trHeight w:val="629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1046888407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779366411</w:t>
            </w:r>
          </w:p>
        </w:tc>
      </w:tr>
      <w:tr w:rsidR="00D64869" w:rsidRPr="00D64869" w:rsidTr="001212E6">
        <w:trPr>
          <w:trHeight w:val="420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Чистая ссудная задолженность, оцениваемая по амортизированной стоимости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7843823071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5289085213</w:t>
            </w:r>
          </w:p>
        </w:tc>
      </w:tr>
      <w:tr w:rsidR="00D64869" w:rsidRPr="00D64869" w:rsidTr="001212E6">
        <w:trPr>
          <w:trHeight w:val="820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Чистые вложения в ценные бумаги и иные финансовые активы, оцениваемые по амортизированной стоимости (кроме ссудной задолженности)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936840638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459563541</w:t>
            </w:r>
          </w:p>
        </w:tc>
      </w:tr>
      <w:tr w:rsidR="00D64869" w:rsidRPr="00D64869" w:rsidTr="001212E6">
        <w:trPr>
          <w:trHeight w:val="209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Требование по текущему налогу на прибыль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5198934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4301508</w:t>
            </w:r>
          </w:p>
        </w:tc>
      </w:tr>
      <w:tr w:rsidR="00D64869" w:rsidRPr="00D64869" w:rsidTr="001212E6">
        <w:trPr>
          <w:trHeight w:val="209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Отложенный налоговый актив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27648962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17848837</w:t>
            </w:r>
          </w:p>
        </w:tc>
      </w:tr>
      <w:tr w:rsidR="00D64869" w:rsidRPr="00D64869" w:rsidTr="001212E6">
        <w:trPr>
          <w:trHeight w:val="420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112136125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96268284</w:t>
            </w:r>
          </w:p>
        </w:tc>
      </w:tr>
      <w:tr w:rsidR="00D64869" w:rsidRPr="00D64869" w:rsidTr="001212E6">
        <w:trPr>
          <w:trHeight w:val="420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Долгосрочные активы, предназначенные для продажи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744510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597 938</w:t>
            </w:r>
          </w:p>
        </w:tc>
      </w:tr>
      <w:tr w:rsidR="00D64869" w:rsidRPr="00D64869" w:rsidTr="001212E6">
        <w:trPr>
          <w:trHeight w:val="209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активы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744510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752705</w:t>
            </w:r>
          </w:p>
        </w:tc>
      </w:tr>
      <w:tr w:rsidR="00D64869" w:rsidRPr="00D64869" w:rsidTr="001212E6">
        <w:trPr>
          <w:trHeight w:val="209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активов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12391514730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8399001783</w:t>
            </w:r>
          </w:p>
        </w:tc>
      </w:tr>
      <w:tr w:rsidR="00D64869" w:rsidRPr="00D64869" w:rsidTr="001212E6">
        <w:trPr>
          <w:trHeight w:val="229"/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II. Пассивы</w:t>
            </w:r>
          </w:p>
        </w:tc>
      </w:tr>
      <w:tr w:rsidR="00D64869" w:rsidRPr="00D64869" w:rsidTr="001212E6">
        <w:trPr>
          <w:trHeight w:val="400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Кредиты, депозиты и прочие средства Центрального банка Российской Федерации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391484500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22003174</w:t>
            </w:r>
          </w:p>
        </w:tc>
      </w:tr>
      <w:tr w:rsidR="00D64869" w:rsidRPr="00D64869" w:rsidTr="001212E6">
        <w:trPr>
          <w:trHeight w:val="22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клиентов, оцениваемые по амортизированной стоимости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10611746326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7095856152</w:t>
            </w:r>
          </w:p>
        </w:tc>
      </w:tr>
      <w:tr w:rsidR="00D64869" w:rsidRPr="00D64869" w:rsidTr="001212E6">
        <w:trPr>
          <w:trHeight w:val="209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45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кредитных организаций</w:t>
            </w:r>
          </w:p>
        </w:tc>
        <w:tc>
          <w:tcPr>
            <w:tcW w:w="60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4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853308208</w:t>
            </w:r>
          </w:p>
        </w:tc>
        <w:tc>
          <w:tcPr>
            <w:tcW w:w="19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247910811</w:t>
            </w:r>
          </w:p>
        </w:tc>
      </w:tr>
    </w:tbl>
    <w:p w:rsidR="001212E6" w:rsidRPr="00D64869" w:rsidRDefault="001212E6" w:rsidP="001212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Продолжение таблицы А. 1</w:t>
      </w:r>
    </w:p>
    <w:tbl>
      <w:tblPr>
        <w:tblW w:w="9528" w:type="dxa"/>
        <w:tblCellSpacing w:w="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4637"/>
        <w:gridCol w:w="640"/>
        <w:gridCol w:w="1486"/>
        <w:gridCol w:w="1960"/>
      </w:tblGrid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клиентов, не являющихся кредитными организациями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9758438118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6847945341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16.2.1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вклады (средства) физических лиц, в том числе индивидуальных предпринимателей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2116920920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1640782123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47398214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58331716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Выпущенные долговые ценные бумаги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404121717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335160986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оцениваемые по амортизированной стоимости</w:t>
            </w:r>
            <w:proofErr w:type="gramEnd"/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404121717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335160986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Обязательства по текущему налогу на прибыль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6884614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296317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обязательств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11546498029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7576134077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III. Источники собственных средств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акционеров (участников)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246853537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196853536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Эмиссионный доход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192426473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192426473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17789253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13069713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Неиспользованная прибыль (убыток)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387947438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420517983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источников собственных средств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845016701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822867706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IV. </w:t>
            </w:r>
            <w:proofErr w:type="spell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Внебалансовые</w:t>
            </w:r>
            <w:proofErr w:type="spellEnd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обязательства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Безотзывные обязательства кредитной организации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6639956720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7711767292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Выданные кредитной организацией гарантии и поручительства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999740133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800446690</w:t>
            </w:r>
          </w:p>
        </w:tc>
      </w:tr>
    </w:tbl>
    <w:p w:rsidR="001212E6" w:rsidRPr="00D64869" w:rsidRDefault="001212E6" w:rsidP="001212E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12E6" w:rsidRPr="00D64869" w:rsidRDefault="001212E6" w:rsidP="001212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 w:rsidRPr="00D64869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lastRenderedPageBreak/>
        <w:t>Таблица А. 2</w:t>
      </w:r>
      <w:r w:rsidRPr="00D64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D64869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D64869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Отчет о финансовых результатах 2022-2021</w:t>
      </w:r>
    </w:p>
    <w:tbl>
      <w:tblPr>
        <w:tblW w:w="952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4126"/>
        <w:gridCol w:w="1155"/>
        <w:gridCol w:w="1275"/>
        <w:gridCol w:w="2079"/>
      </w:tblGrid>
      <w:tr w:rsidR="00D64869" w:rsidRPr="00D64869" w:rsidTr="0051777B">
        <w:trPr>
          <w:trHeight w:val="216"/>
          <w:tblHeader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 строки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 статьи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 пояснения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Данные за отчетный период, тыс. </w:t>
            </w:r>
            <w:proofErr w:type="spell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Данные за соответствующий период прошлого года, тыс. </w:t>
            </w:r>
            <w:proofErr w:type="spell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руб</w:t>
            </w:r>
            <w:proofErr w:type="spellEnd"/>
          </w:p>
        </w:tc>
      </w:tr>
      <w:tr w:rsidR="00D64869" w:rsidRPr="00D64869" w:rsidTr="0051777B">
        <w:trPr>
          <w:trHeight w:val="21"/>
          <w:tblCellSpacing w:w="15" w:type="dxa"/>
        </w:trPr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Процентные доходы, всего, в том числе:</w:t>
            </w:r>
          </w:p>
        </w:tc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780 229 459</w:t>
            </w:r>
          </w:p>
        </w:tc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455 273 143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размещения сре</w:t>
            </w:r>
            <w:proofErr w:type="gram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дств в кр</w:t>
            </w:r>
            <w:proofErr w:type="gramEnd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едитных организациях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39 394 244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28 712 020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ссуд, предоставленных клиентам, не являющимся кредитными организациями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690 376 588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389 656 424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вложений в ценные бумаги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50 458 627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36 904 699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Процентные расходы, всего, в том числе: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547 137 668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257 678 964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привлеченным средствам кредитных организаций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34 940 712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8 204 908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привлеченным средствам клиентов, не являющихся кредитными организациями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482 761 106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229 242 559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выпущенным ценным бумагам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29 435 850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20 231 497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процентные доходы (отрицательная процентная маржа)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233 091 791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197 594 179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ссудам, ссудной и приравненной к ней задолженности, средствам, размещенным на корреспондентских счетах, а также начисленным процентным доходам, всего, в том числе: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-111 916 490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-20 168 317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начисленным процентным доходам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-293 944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-4 707 904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121 175 301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177 425 862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доходы от операций с финансовыми активами, оцениваемыми по справедливой стоимости через прибыль или убыток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-40 382 </w:t>
            </w:r>
            <w:proofErr w:type="spell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382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46 401 234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доходы от операций с финансовыми обязательствами, оцениваемыми по справедливой стоимости через прибыль или убыток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2 441 711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1 058 037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доходы от операций с ценными бумагами, оцениваемыми по справедливой стоимости через прочий совокупный доход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Чистые доходы от операций с ценными бумагами, </w:t>
            </w:r>
            <w:proofErr w:type="gram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оцениваемым</w:t>
            </w:r>
            <w:proofErr w:type="gramEnd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 амортизированной стоимости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-2 543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424 863</w:t>
            </w:r>
          </w:p>
        </w:tc>
      </w:tr>
    </w:tbl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Продолжение таблицы А. 2</w:t>
      </w:r>
    </w:p>
    <w:tbl>
      <w:tblPr>
        <w:tblW w:w="952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4495"/>
        <w:gridCol w:w="1276"/>
        <w:gridCol w:w="1134"/>
        <w:gridCol w:w="2138"/>
      </w:tblGrid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Чистые доходы от операций с ценными бумагами, </w:t>
            </w:r>
            <w:proofErr w:type="gram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оцениваемым</w:t>
            </w:r>
            <w:proofErr w:type="gramEnd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 амортизированной стоимости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-2 543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424 863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доходы от операций с драгоценными металлами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7 383 664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130 662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Комиссионные доходы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61 385 321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64 827 651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Комиссионные расходы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21 750 835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23 860 955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ценным бумагам, оцениваемым по амортизированной стоимости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-850 217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647 096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Изменение резерва по прочим потерям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-21 153 116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-1 489 599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Прочие операционные доходы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8 730 561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7 649 166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доходы (расходы)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166 533 115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266 836 216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Операционные расходы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154 057 290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141 791 502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12 475 825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125 044 714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Возмещение (расход) по налогу на прибыль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3 367 307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29 053 921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Прибыль (убыток) от продолжающейся деятельности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9 108 518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95 990 793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Прибыль (убыток) за отчетный период</w:t>
            </w:r>
          </w:p>
        </w:tc>
        <w:tc>
          <w:tcPr>
            <w:tcW w:w="124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9 108 518</w:t>
            </w:r>
          </w:p>
        </w:tc>
        <w:tc>
          <w:tcPr>
            <w:tcW w:w="20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95 990 793</w:t>
            </w:r>
          </w:p>
        </w:tc>
      </w:tr>
    </w:tbl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4869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lastRenderedPageBreak/>
        <w:t>Таблица А. 3</w:t>
      </w:r>
      <w:r w:rsidRPr="00D64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64869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Бухгалтерский баланс </w:t>
      </w:r>
      <w:r w:rsidRPr="00D64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2021-2022</w:t>
      </w:r>
    </w:p>
    <w:tbl>
      <w:tblPr>
        <w:tblW w:w="9528" w:type="dxa"/>
        <w:tblCellSpacing w:w="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4637"/>
        <w:gridCol w:w="640"/>
        <w:gridCol w:w="1486"/>
        <w:gridCol w:w="1960"/>
      </w:tblGrid>
      <w:tr w:rsidR="00D64869" w:rsidRPr="00D64869" w:rsidTr="0051777B">
        <w:trPr>
          <w:trHeight w:val="13"/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I. Активы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495921337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484 664 998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кредитной организации в Центральном банке Российской Федерации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154032752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51 498 242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Обязательные резервы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69015286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51 498 242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в кредитных организациях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637858803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431 826 370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779366411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739 945 568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Чистая ссудная задолженность, оцениваемая по амортизированной стоимости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5289085213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3 719 932 703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Чистые вложения в ценные бумаги и иные финансовые активы, оцениваемые по амортизированной стоимости (кроме ссудной задолженности)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459563541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403 778 067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Требование по текущему налогу на прибыль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4301508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317 647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Отложенный налоговый актив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17848837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22 971 149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96268284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64 781 685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Долгосрочные активы, предназначенные для продажи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597 938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640 958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активы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752705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46 144 422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активов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8399001783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6 325 769 015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II. Пассивы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Кредиты, депозиты и прочие средства Центрального банка Российской Федерации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22003174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34 320 711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клиентов, оцениваемые по амортизированной стоимости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7095856152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5 247 394 831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кредитных организаций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247910811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191 943 222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клиентов, не являющихся кредитными организациями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6847945341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5 055 451 609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16.2.1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вклады (средства) физических лиц, в том числе индивидуальных предпринимателей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1640782123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1 187 456 828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Финансовые обязательства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58331716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38 089 033</w:t>
            </w:r>
          </w:p>
        </w:tc>
      </w:tr>
    </w:tbl>
    <w:p w:rsidR="001212E6" w:rsidRPr="00D64869" w:rsidRDefault="001212E6" w:rsidP="001212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Продолжение таблицы А. 3</w:t>
      </w:r>
    </w:p>
    <w:tbl>
      <w:tblPr>
        <w:tblW w:w="9528" w:type="dxa"/>
        <w:tblCellSpacing w:w="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4637"/>
        <w:gridCol w:w="640"/>
        <w:gridCol w:w="1486"/>
        <w:gridCol w:w="1960"/>
      </w:tblGrid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Выпущенные долговые ценные бумаги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335160986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320 196 674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оцениваемые по амортизированной стоимости</w:t>
            </w:r>
            <w:proofErr w:type="gramEnd"/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335160986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320 196 674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Обязательства по текущему налогу на прибыль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296317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2 212 117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обязательств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7576134077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5 677 838 753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III. Источники собственных средств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акционеров (участников)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196853536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194 996 182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Эмиссионный доход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192426473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169 283 829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13069713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9 503 288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Неиспользованная прибыль (убыток)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420517983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274 146 963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источников собственных средств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822867706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647 930 262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IV. </w:t>
            </w:r>
            <w:proofErr w:type="spell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Внебалансовые</w:t>
            </w:r>
            <w:proofErr w:type="spellEnd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обязательства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Безотзывные обязательства кредитной организации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7711767292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5 954 219 899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Выданные кредитной организацией гарантии и поручительства</w:t>
            </w:r>
          </w:p>
        </w:tc>
        <w:tc>
          <w:tcPr>
            <w:tcW w:w="6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800446690</w:t>
            </w:r>
          </w:p>
        </w:tc>
        <w:tc>
          <w:tcPr>
            <w:tcW w:w="1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730 225 687</w:t>
            </w:r>
          </w:p>
        </w:tc>
      </w:tr>
    </w:tbl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12E6" w:rsidRPr="00D64869" w:rsidRDefault="001212E6" w:rsidP="001212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 w:rsidRPr="00D64869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lastRenderedPageBreak/>
        <w:t>Таблица А. 4 – Отчет о финансовых результатах 2021-2022</w:t>
      </w:r>
    </w:p>
    <w:tbl>
      <w:tblPr>
        <w:tblW w:w="952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4126"/>
        <w:gridCol w:w="1155"/>
        <w:gridCol w:w="1275"/>
        <w:gridCol w:w="2079"/>
      </w:tblGrid>
      <w:tr w:rsidR="00D64869" w:rsidRPr="00D64869" w:rsidTr="001212E6">
        <w:trPr>
          <w:trHeight w:val="500"/>
          <w:tblHeader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 строки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 статьи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Номер пояснения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Данные за отчетный период, тыс. </w:t>
            </w:r>
            <w:proofErr w:type="spell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Данные за соответствующий период прошлого года, тыс. </w:t>
            </w:r>
            <w:proofErr w:type="spell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руб</w:t>
            </w:r>
            <w:proofErr w:type="spellEnd"/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Процентные доходы, всего, в том числе:</w:t>
            </w:r>
          </w:p>
        </w:tc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455 273 143</w:t>
            </w:r>
          </w:p>
        </w:tc>
        <w:tc>
          <w:tcPr>
            <w:tcW w:w="0" w:type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311555786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размещения сре</w:t>
            </w:r>
            <w:proofErr w:type="gram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дств в кр</w:t>
            </w:r>
            <w:proofErr w:type="gramEnd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едитных организациях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28 712 020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15369426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ссуд, предоставленных клиентам, не являющимся кредитными организациями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389 656 424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245932456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вложений в ценные бумаги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36 904 699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246972156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Процентные расходы, всего, в том числе: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257 678 964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152152189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привлеченным средствам кредитных организаций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8 204 908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7129416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привлеченным средствам клиентов, не являющихся кредитными организациями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229 242 559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214681004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выпущенным ценным бумагам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20 231 497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12781361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процентные доходы (отрицательная процентная маржа)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197 594 179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187456315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ссудам, ссудной и приравненной к ней задолженности, средствам, размещенным на корреспондентских счетах, а также начисленным процентным доходам, всего, в том числе: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-20 168 317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-14697560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начисленным процентным доходам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-4 707 904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-3135852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177 425 862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164892204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доходы от операций с финансовыми активами, оцениваемыми по справедливой стоимости через прибыль или убыток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46 401 234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34620785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доходы от операций с финансовыми обязательствами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1 058 037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1049356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Чистые доходы от операций с ценными бумагами, </w:t>
            </w:r>
            <w:proofErr w:type="gramStart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оцениваемым</w:t>
            </w:r>
            <w:proofErr w:type="gramEnd"/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 амортизированной стоимости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424 863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328456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доходы от операций с драгоценными металлами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130 662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128931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Комиссионные доходы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64 827 651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57263156</w:t>
            </w:r>
          </w:p>
        </w:tc>
      </w:tr>
    </w:tbl>
    <w:p w:rsidR="001212E6" w:rsidRPr="00D64869" w:rsidRDefault="001212E6" w:rsidP="001212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  <w:r w:rsidRPr="00D64869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lastRenderedPageBreak/>
        <w:t>Продолжение таблицы А. 4</w:t>
      </w:r>
    </w:p>
    <w:tbl>
      <w:tblPr>
        <w:tblW w:w="952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4495"/>
        <w:gridCol w:w="1134"/>
        <w:gridCol w:w="1417"/>
        <w:gridCol w:w="1997"/>
      </w:tblGrid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Комиссионные расходы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23 860 955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17312088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Изменение резерва на возможные потери и оценочного резерва под ожидаемые кредитные убытки по ценным бумагам, оцениваемым по амортизированной стоимости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647 096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547298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Изменение резерва по прочим потерям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-1 489 599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-1354638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Прочие операционные доходы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7 649 166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6452165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Чистые доходы (расходы)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266 836 216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165127861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Операционные расходы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141 791 502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135456021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125 044 714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116325987</w:t>
            </w:r>
          </w:p>
        </w:tc>
      </w:tr>
      <w:tr w:rsidR="00D64869" w:rsidRPr="00D64869" w:rsidTr="0051777B">
        <w:trPr>
          <w:trHeight w:val="25"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Возмещение (расход) по налогу на прибыль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29 053 921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12512896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Прибыль (убыток) от продолжающейся деятельности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95 990 793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86145305</w:t>
            </w:r>
          </w:p>
        </w:tc>
      </w:tr>
      <w:tr w:rsidR="00D64869" w:rsidRPr="00D64869" w:rsidTr="0051777B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46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Прибыль (убыток) за отчетный период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95 990 793</w:t>
            </w:r>
          </w:p>
        </w:tc>
        <w:tc>
          <w:tcPr>
            <w:tcW w:w="19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12E6" w:rsidRPr="00D64869" w:rsidRDefault="001212E6" w:rsidP="00121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8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84201987</w:t>
            </w:r>
          </w:p>
        </w:tc>
      </w:tr>
    </w:tbl>
    <w:p w:rsidR="001212E6" w:rsidRPr="001212E6" w:rsidRDefault="001212E6" w:rsidP="001212E6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212E6" w:rsidRPr="001212E6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2E6" w:rsidRPr="001212E6" w:rsidRDefault="001212E6" w:rsidP="00121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972" w:rsidRPr="00CA5848" w:rsidRDefault="00B57972" w:rsidP="00762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57972" w:rsidRPr="00CA5848" w:rsidSect="00987A6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6A" w:rsidRDefault="00690A6A" w:rsidP="00C329B9">
      <w:pPr>
        <w:spacing w:after="0" w:line="240" w:lineRule="auto"/>
      </w:pPr>
      <w:r>
        <w:separator/>
      </w:r>
    </w:p>
  </w:endnote>
  <w:endnote w:type="continuationSeparator" w:id="0">
    <w:p w:rsidR="00690A6A" w:rsidRDefault="00690A6A" w:rsidP="00C3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53526156"/>
    </w:sdtPr>
    <w:sdtContent>
      <w:p w:rsidR="00846110" w:rsidRPr="00C329B9" w:rsidRDefault="00846110">
        <w:pPr>
          <w:pStyle w:val="a5"/>
          <w:jc w:val="center"/>
          <w:rPr>
            <w:rFonts w:ascii="Times New Roman" w:hAnsi="Times New Roman" w:cs="Times New Roman"/>
          </w:rPr>
        </w:pPr>
        <w:r w:rsidRPr="00C329B9">
          <w:rPr>
            <w:rFonts w:ascii="Times New Roman" w:hAnsi="Times New Roman" w:cs="Times New Roman"/>
          </w:rPr>
          <w:fldChar w:fldCharType="begin"/>
        </w:r>
        <w:r w:rsidRPr="00C329B9">
          <w:rPr>
            <w:rFonts w:ascii="Times New Roman" w:hAnsi="Times New Roman" w:cs="Times New Roman"/>
          </w:rPr>
          <w:instrText>PAGE   \* MERGEFORMAT</w:instrText>
        </w:r>
        <w:r w:rsidRPr="00C329B9">
          <w:rPr>
            <w:rFonts w:ascii="Times New Roman" w:hAnsi="Times New Roman" w:cs="Times New Roman"/>
          </w:rPr>
          <w:fldChar w:fldCharType="separate"/>
        </w:r>
        <w:r w:rsidR="00CC1D32">
          <w:rPr>
            <w:rFonts w:ascii="Times New Roman" w:hAnsi="Times New Roman" w:cs="Times New Roman"/>
            <w:noProof/>
          </w:rPr>
          <w:t>29</w:t>
        </w:r>
        <w:r w:rsidRPr="00C329B9">
          <w:rPr>
            <w:rFonts w:ascii="Times New Roman" w:hAnsi="Times New Roman" w:cs="Times New Roman"/>
          </w:rPr>
          <w:fldChar w:fldCharType="end"/>
        </w:r>
      </w:p>
    </w:sdtContent>
  </w:sdt>
  <w:p w:rsidR="00846110" w:rsidRDefault="008461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6A" w:rsidRDefault="00690A6A" w:rsidP="00C329B9">
      <w:pPr>
        <w:spacing w:after="0" w:line="240" w:lineRule="auto"/>
      </w:pPr>
      <w:r>
        <w:separator/>
      </w:r>
    </w:p>
  </w:footnote>
  <w:footnote w:type="continuationSeparator" w:id="0">
    <w:p w:rsidR="00690A6A" w:rsidRDefault="00690A6A" w:rsidP="00C32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B6037"/>
    <w:multiLevelType w:val="hybridMultilevel"/>
    <w:tmpl w:val="389A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05A5E"/>
    <w:multiLevelType w:val="hybridMultilevel"/>
    <w:tmpl w:val="2F6E027E"/>
    <w:lvl w:ilvl="0" w:tplc="E350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56E"/>
    <w:rsid w:val="00013B7C"/>
    <w:rsid w:val="000172F6"/>
    <w:rsid w:val="0002009C"/>
    <w:rsid w:val="00024B57"/>
    <w:rsid w:val="0003030D"/>
    <w:rsid w:val="000326F2"/>
    <w:rsid w:val="00052333"/>
    <w:rsid w:val="000619E9"/>
    <w:rsid w:val="0006421D"/>
    <w:rsid w:val="000767E8"/>
    <w:rsid w:val="00084BD3"/>
    <w:rsid w:val="000926F0"/>
    <w:rsid w:val="000A678E"/>
    <w:rsid w:val="000B21C2"/>
    <w:rsid w:val="00103F14"/>
    <w:rsid w:val="001212E6"/>
    <w:rsid w:val="00123536"/>
    <w:rsid w:val="0012741C"/>
    <w:rsid w:val="00135853"/>
    <w:rsid w:val="00151924"/>
    <w:rsid w:val="001609DF"/>
    <w:rsid w:val="00164F56"/>
    <w:rsid w:val="00166475"/>
    <w:rsid w:val="00187E42"/>
    <w:rsid w:val="001A1CC8"/>
    <w:rsid w:val="001A2E84"/>
    <w:rsid w:val="001A69DD"/>
    <w:rsid w:val="001B6A1D"/>
    <w:rsid w:val="001F3F2C"/>
    <w:rsid w:val="001F669A"/>
    <w:rsid w:val="00226435"/>
    <w:rsid w:val="002347FD"/>
    <w:rsid w:val="0027750E"/>
    <w:rsid w:val="00290C05"/>
    <w:rsid w:val="002A5499"/>
    <w:rsid w:val="002B4315"/>
    <w:rsid w:val="002E28D1"/>
    <w:rsid w:val="002E3B3B"/>
    <w:rsid w:val="002E7E66"/>
    <w:rsid w:val="002F234F"/>
    <w:rsid w:val="003070C1"/>
    <w:rsid w:val="00317935"/>
    <w:rsid w:val="00333BD6"/>
    <w:rsid w:val="003357A0"/>
    <w:rsid w:val="00370639"/>
    <w:rsid w:val="003839E2"/>
    <w:rsid w:val="0038616E"/>
    <w:rsid w:val="00390E83"/>
    <w:rsid w:val="00395E82"/>
    <w:rsid w:val="003A78E6"/>
    <w:rsid w:val="003B1C42"/>
    <w:rsid w:val="003D6F0C"/>
    <w:rsid w:val="003E3F92"/>
    <w:rsid w:val="003F6C3B"/>
    <w:rsid w:val="00407BE1"/>
    <w:rsid w:val="00431896"/>
    <w:rsid w:val="004440AE"/>
    <w:rsid w:val="00460130"/>
    <w:rsid w:val="00497924"/>
    <w:rsid w:val="004A3FDD"/>
    <w:rsid w:val="004A78BF"/>
    <w:rsid w:val="004B4371"/>
    <w:rsid w:val="004C1C28"/>
    <w:rsid w:val="004D6CD3"/>
    <w:rsid w:val="00500454"/>
    <w:rsid w:val="005048D1"/>
    <w:rsid w:val="005109AD"/>
    <w:rsid w:val="00512D2F"/>
    <w:rsid w:val="005152BC"/>
    <w:rsid w:val="0051777B"/>
    <w:rsid w:val="0054521C"/>
    <w:rsid w:val="00545F6E"/>
    <w:rsid w:val="00550BD7"/>
    <w:rsid w:val="005710D2"/>
    <w:rsid w:val="00580F4C"/>
    <w:rsid w:val="00587ED0"/>
    <w:rsid w:val="005B18D6"/>
    <w:rsid w:val="005C3EFF"/>
    <w:rsid w:val="006042BC"/>
    <w:rsid w:val="006068FD"/>
    <w:rsid w:val="006331B8"/>
    <w:rsid w:val="00636715"/>
    <w:rsid w:val="00643E39"/>
    <w:rsid w:val="00663A93"/>
    <w:rsid w:val="00681F6D"/>
    <w:rsid w:val="00686DA9"/>
    <w:rsid w:val="00690A6A"/>
    <w:rsid w:val="006B3275"/>
    <w:rsid w:val="006C656E"/>
    <w:rsid w:val="006C6CB5"/>
    <w:rsid w:val="006D1AC1"/>
    <w:rsid w:val="006E5319"/>
    <w:rsid w:val="006F6FC1"/>
    <w:rsid w:val="00725EE5"/>
    <w:rsid w:val="007546B3"/>
    <w:rsid w:val="0076015A"/>
    <w:rsid w:val="007626AA"/>
    <w:rsid w:val="00762AB9"/>
    <w:rsid w:val="00773C4C"/>
    <w:rsid w:val="00784ED1"/>
    <w:rsid w:val="00785B6A"/>
    <w:rsid w:val="00787522"/>
    <w:rsid w:val="007916A4"/>
    <w:rsid w:val="007939A4"/>
    <w:rsid w:val="00794385"/>
    <w:rsid w:val="007968B9"/>
    <w:rsid w:val="007C5F4C"/>
    <w:rsid w:val="007E1A33"/>
    <w:rsid w:val="007F1399"/>
    <w:rsid w:val="00807981"/>
    <w:rsid w:val="00844748"/>
    <w:rsid w:val="00846110"/>
    <w:rsid w:val="0086004D"/>
    <w:rsid w:val="00862E10"/>
    <w:rsid w:val="00873CBE"/>
    <w:rsid w:val="00886ADC"/>
    <w:rsid w:val="008925B1"/>
    <w:rsid w:val="008B2BF5"/>
    <w:rsid w:val="008C2B33"/>
    <w:rsid w:val="008F0331"/>
    <w:rsid w:val="008F1038"/>
    <w:rsid w:val="008F66A6"/>
    <w:rsid w:val="00903CDE"/>
    <w:rsid w:val="009109E3"/>
    <w:rsid w:val="0092509E"/>
    <w:rsid w:val="00947159"/>
    <w:rsid w:val="009578BC"/>
    <w:rsid w:val="00960C43"/>
    <w:rsid w:val="00983F56"/>
    <w:rsid w:val="0098473E"/>
    <w:rsid w:val="00987A63"/>
    <w:rsid w:val="0099207F"/>
    <w:rsid w:val="009A4028"/>
    <w:rsid w:val="009B51F9"/>
    <w:rsid w:val="009C7553"/>
    <w:rsid w:val="009E0435"/>
    <w:rsid w:val="009E3E1B"/>
    <w:rsid w:val="00A339A0"/>
    <w:rsid w:val="00A61175"/>
    <w:rsid w:val="00A63D9C"/>
    <w:rsid w:val="00A82231"/>
    <w:rsid w:val="00A84BB3"/>
    <w:rsid w:val="00A940D0"/>
    <w:rsid w:val="00AC13D1"/>
    <w:rsid w:val="00AC5C6B"/>
    <w:rsid w:val="00AF135D"/>
    <w:rsid w:val="00AF1501"/>
    <w:rsid w:val="00AF388D"/>
    <w:rsid w:val="00B015F7"/>
    <w:rsid w:val="00B0352B"/>
    <w:rsid w:val="00B13135"/>
    <w:rsid w:val="00B15B16"/>
    <w:rsid w:val="00B34004"/>
    <w:rsid w:val="00B41816"/>
    <w:rsid w:val="00B5295B"/>
    <w:rsid w:val="00B57972"/>
    <w:rsid w:val="00B81FAD"/>
    <w:rsid w:val="00B82652"/>
    <w:rsid w:val="00BA1AB4"/>
    <w:rsid w:val="00BA3B25"/>
    <w:rsid w:val="00BA5124"/>
    <w:rsid w:val="00BC2BAE"/>
    <w:rsid w:val="00BD6775"/>
    <w:rsid w:val="00BD6813"/>
    <w:rsid w:val="00C0225E"/>
    <w:rsid w:val="00C10DCC"/>
    <w:rsid w:val="00C117DA"/>
    <w:rsid w:val="00C14938"/>
    <w:rsid w:val="00C329B9"/>
    <w:rsid w:val="00C37A79"/>
    <w:rsid w:val="00C44004"/>
    <w:rsid w:val="00C56168"/>
    <w:rsid w:val="00C66362"/>
    <w:rsid w:val="00C663AA"/>
    <w:rsid w:val="00C76911"/>
    <w:rsid w:val="00C832B8"/>
    <w:rsid w:val="00C91780"/>
    <w:rsid w:val="00C957A0"/>
    <w:rsid w:val="00CA5848"/>
    <w:rsid w:val="00CA7C37"/>
    <w:rsid w:val="00CC1D32"/>
    <w:rsid w:val="00CC4DA6"/>
    <w:rsid w:val="00CC6890"/>
    <w:rsid w:val="00CE4020"/>
    <w:rsid w:val="00CE72B2"/>
    <w:rsid w:val="00CF40B2"/>
    <w:rsid w:val="00CF74F2"/>
    <w:rsid w:val="00D03D4F"/>
    <w:rsid w:val="00D04675"/>
    <w:rsid w:val="00D05C22"/>
    <w:rsid w:val="00D2543D"/>
    <w:rsid w:val="00D260BD"/>
    <w:rsid w:val="00D34B2E"/>
    <w:rsid w:val="00D64869"/>
    <w:rsid w:val="00D736E0"/>
    <w:rsid w:val="00D876FF"/>
    <w:rsid w:val="00D91B32"/>
    <w:rsid w:val="00D94A63"/>
    <w:rsid w:val="00DA0B73"/>
    <w:rsid w:val="00DB4E71"/>
    <w:rsid w:val="00DF22E9"/>
    <w:rsid w:val="00DF43B9"/>
    <w:rsid w:val="00DF75EF"/>
    <w:rsid w:val="00E06BDB"/>
    <w:rsid w:val="00E15A10"/>
    <w:rsid w:val="00E6054D"/>
    <w:rsid w:val="00E72F30"/>
    <w:rsid w:val="00E77763"/>
    <w:rsid w:val="00E85153"/>
    <w:rsid w:val="00E90CE0"/>
    <w:rsid w:val="00E9123B"/>
    <w:rsid w:val="00EE3163"/>
    <w:rsid w:val="00EE368A"/>
    <w:rsid w:val="00EF070D"/>
    <w:rsid w:val="00F076AE"/>
    <w:rsid w:val="00F17865"/>
    <w:rsid w:val="00F46F2A"/>
    <w:rsid w:val="00F4720F"/>
    <w:rsid w:val="00F51F36"/>
    <w:rsid w:val="00F54B05"/>
    <w:rsid w:val="00F63A71"/>
    <w:rsid w:val="00F7116D"/>
    <w:rsid w:val="00F82D72"/>
    <w:rsid w:val="00F82E5D"/>
    <w:rsid w:val="00FB195A"/>
    <w:rsid w:val="00FB47E7"/>
    <w:rsid w:val="00FB49DB"/>
    <w:rsid w:val="00FD2419"/>
    <w:rsid w:val="00FE3B7C"/>
    <w:rsid w:val="00FE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9B9"/>
  </w:style>
  <w:style w:type="paragraph" w:styleId="a5">
    <w:name w:val="footer"/>
    <w:basedOn w:val="a"/>
    <w:link w:val="a6"/>
    <w:uiPriority w:val="99"/>
    <w:unhideWhenUsed/>
    <w:rsid w:val="00C3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9B9"/>
  </w:style>
  <w:style w:type="table" w:styleId="a7">
    <w:name w:val="Table Grid"/>
    <w:basedOn w:val="a1"/>
    <w:uiPriority w:val="39"/>
    <w:rsid w:val="00D9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F388D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81F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1F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1FA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1F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1FA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8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1FAD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36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Доля неплательщиков, %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5.0000000000000017E-2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89-47FF-9D92-D01B3BF9E3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Доля неплательщиков, %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89-47FF-9D92-D01B3BF9E3B2}"/>
            </c:ext>
          </c:extLst>
        </c:ser>
        <c:gapWidth val="219"/>
        <c:overlap val="-27"/>
        <c:axId val="59422976"/>
        <c:axId val="86200320"/>
      </c:barChart>
      <c:catAx>
        <c:axId val="59422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6200320"/>
        <c:crosses val="autoZero"/>
        <c:auto val="1"/>
        <c:lblAlgn val="ctr"/>
        <c:lblOffset val="100"/>
      </c:catAx>
      <c:valAx>
        <c:axId val="862003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42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добросовестных заемщиков по срокам задержки оплаты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дней</c:v>
                </c:pt>
                <c:pt idx="1">
                  <c:v>5-15 дней</c:v>
                </c:pt>
                <c:pt idx="2">
                  <c:v>16-30 дней</c:v>
                </c:pt>
                <c:pt idx="3">
                  <c:v>1-2 месяца</c:v>
                </c:pt>
                <c:pt idx="4">
                  <c:v>более 2х месяцев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</c:v>
                </c:pt>
                <c:pt idx="1">
                  <c:v>0.3000000000000001</c:v>
                </c:pt>
                <c:pt idx="2">
                  <c:v>0.17</c:v>
                </c:pt>
                <c:pt idx="3">
                  <c:v>4.0000000000000015E-2</c:v>
                </c:pt>
                <c:pt idx="4">
                  <c:v>8.0000000000000029E-2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39-4191-A1EC-2A9E481E0C88}"/>
            </c:ext>
          </c:extLst>
        </c:ser>
        <c:gapWidth val="182"/>
        <c:axId val="113374336"/>
        <c:axId val="113375872"/>
      </c:barChart>
      <c:catAx>
        <c:axId val="1133743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3375872"/>
        <c:crosses val="autoZero"/>
        <c:auto val="1"/>
        <c:lblAlgn val="ctr"/>
        <c:lblOffset val="100"/>
      </c:catAx>
      <c:valAx>
        <c:axId val="1133758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337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41683979986991"/>
          <c:y val="8.3905415713196083E-2"/>
          <c:w val="0.83043173977599249"/>
          <c:h val="0.564657621458644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услуг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до мероприятия </c:v>
                </c:pt>
                <c:pt idx="1">
                  <c:v>после мероприятия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40473</c:v>
                </c:pt>
                <c:pt idx="1">
                  <c:v>44520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48-4219-8A99-0407E5CEE569}"/>
            </c:ext>
          </c:extLst>
        </c:ser>
        <c:gapWidth val="219"/>
        <c:overlap val="-27"/>
        <c:axId val="128887040"/>
        <c:axId val="129737088"/>
      </c:barChart>
      <c:catAx>
        <c:axId val="128887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9737088"/>
        <c:crosses val="autoZero"/>
        <c:auto val="1"/>
        <c:lblAlgn val="ctr"/>
        <c:lblOffset val="100"/>
      </c:catAx>
      <c:valAx>
        <c:axId val="129737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88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1B2B-AE68-41CD-AF69-E4EC2DA6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19072</Words>
  <Characters>108714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2024-01-18T09:19:00Z</cp:lastPrinted>
  <dcterms:created xsi:type="dcterms:W3CDTF">2024-01-18T09:19:00Z</dcterms:created>
  <dcterms:modified xsi:type="dcterms:W3CDTF">2024-01-18T09:19:00Z</dcterms:modified>
</cp:coreProperties>
</file>