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3D31" w14:textId="2A834D01" w:rsidR="00BF7F53" w:rsidRPr="005C2687" w:rsidRDefault="009623BC" w:rsidP="00321D54">
      <w:pPr>
        <w:shd w:val="clear" w:color="auto" w:fill="FFFFFF"/>
        <w:spacing w:after="0" w:line="360" w:lineRule="auto"/>
        <w:jc w:val="center"/>
        <w:rPr>
          <w:rFonts w:ascii="Times New Roman" w:eastAsia="Calibri" w:hAnsi="Times New Roman" w:cs="Times New Roman"/>
          <w:color w:val="000000"/>
        </w:rPr>
      </w:pPr>
      <w:r>
        <w:rPr>
          <w:rFonts w:ascii="Times New Roman" w:eastAsia="Calibri" w:hAnsi="Times New Roman" w:cs="Times New Roman"/>
          <w:noProof/>
          <w:sz w:val="28"/>
          <w:szCs w:val="28"/>
        </w:rPr>
        <w:drawing>
          <wp:anchor distT="0" distB="0" distL="114300" distR="114300" simplePos="0" relativeHeight="251659264" behindDoc="0" locked="0" layoutInCell="1" allowOverlap="1" wp14:anchorId="0A2DDCF5" wp14:editId="4CC3840A">
            <wp:simplePos x="0" y="0"/>
            <wp:positionH relativeFrom="column">
              <wp:posOffset>0</wp:posOffset>
            </wp:positionH>
            <wp:positionV relativeFrom="paragraph">
              <wp:posOffset>294005</wp:posOffset>
            </wp:positionV>
            <wp:extent cx="5940425" cy="8321675"/>
            <wp:effectExtent l="0" t="0" r="3175" b="317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321675"/>
                    </a:xfrm>
                    <a:prstGeom prst="rect">
                      <a:avLst/>
                    </a:prstGeom>
                  </pic:spPr>
                </pic:pic>
              </a:graphicData>
            </a:graphic>
          </wp:anchor>
        </w:drawing>
      </w:r>
      <w:r w:rsidR="00D5235C" w:rsidRPr="00D5235C">
        <w:rPr>
          <w:rFonts w:ascii="Times New Roman" w:eastAsia="Calibri" w:hAnsi="Times New Roman" w:cs="Times New Roman"/>
          <w:sz w:val="28"/>
          <w:szCs w:val="28"/>
        </w:rPr>
        <w:br w:type="page"/>
      </w:r>
      <w:r w:rsidR="00BF7F53" w:rsidRPr="00D5235C">
        <w:rPr>
          <w:rFonts w:ascii="Times New Roman" w:eastAsia="Calibri" w:hAnsi="Times New Roman" w:cs="Times New Roman"/>
          <w:b/>
          <w:bCs/>
          <w:sz w:val="28"/>
          <w:szCs w:val="28"/>
        </w:rPr>
        <w:lastRenderedPageBreak/>
        <w:t>СОДЕРЖАНИЕ</w:t>
      </w:r>
    </w:p>
    <w:p w14:paraId="7C0C65EC" w14:textId="02AF0B58" w:rsidR="00BF7F53" w:rsidRDefault="00BF7F53" w:rsidP="00BF7F53">
      <w:pPr>
        <w:tabs>
          <w:tab w:val="right" w:leader="dot" w:pos="9072"/>
          <w:tab w:val="left" w:pos="9214"/>
        </w:tabs>
        <w:rPr>
          <w:rFonts w:ascii="Times New Roman" w:eastAsia="Calibri" w:hAnsi="Times New Roman" w:cs="Times New Roman"/>
          <w:sz w:val="28"/>
          <w:szCs w:val="28"/>
        </w:rPr>
      </w:pPr>
      <w:r>
        <w:rPr>
          <w:rFonts w:ascii="Times New Roman" w:eastAsia="Calibri" w:hAnsi="Times New Roman" w:cs="Times New Roman"/>
          <w:sz w:val="28"/>
          <w:szCs w:val="28"/>
        </w:rPr>
        <w:t>Введение</w:t>
      </w:r>
      <w:r>
        <w:rPr>
          <w:rFonts w:ascii="Times New Roman" w:eastAsia="Calibri" w:hAnsi="Times New Roman" w:cs="Times New Roman"/>
          <w:sz w:val="28"/>
          <w:szCs w:val="28"/>
        </w:rPr>
        <w:tab/>
      </w:r>
      <w:r>
        <w:rPr>
          <w:rFonts w:ascii="Times New Roman" w:eastAsia="Calibri" w:hAnsi="Times New Roman" w:cs="Times New Roman"/>
          <w:sz w:val="28"/>
          <w:szCs w:val="28"/>
        </w:rPr>
        <w:tab/>
        <w:t>3</w:t>
      </w:r>
    </w:p>
    <w:p w14:paraId="1052E525" w14:textId="0E167F7A" w:rsidR="00BF7F53" w:rsidRDefault="00BF7F53" w:rsidP="00BF7F53">
      <w:pPr>
        <w:tabs>
          <w:tab w:val="right" w:leader="dot" w:pos="9072"/>
          <w:tab w:val="left" w:pos="9214"/>
        </w:tabs>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D5235C">
        <w:rPr>
          <w:rFonts w:ascii="Times New Roman" w:eastAsia="Calibri" w:hAnsi="Times New Roman" w:cs="Times New Roman"/>
          <w:sz w:val="28"/>
          <w:szCs w:val="28"/>
        </w:rPr>
        <w:t>Теоретические основы исследования</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деривативов</w:t>
      </w:r>
      <w:proofErr w:type="spellEnd"/>
      <w:r>
        <w:rPr>
          <w:rFonts w:ascii="Times New Roman" w:eastAsia="Calibri" w:hAnsi="Times New Roman" w:cs="Times New Roman"/>
          <w:sz w:val="28"/>
          <w:szCs w:val="28"/>
        </w:rPr>
        <w:tab/>
      </w:r>
      <w:r>
        <w:rPr>
          <w:rFonts w:ascii="Times New Roman" w:eastAsia="Calibri" w:hAnsi="Times New Roman" w:cs="Times New Roman"/>
          <w:sz w:val="28"/>
          <w:szCs w:val="28"/>
        </w:rPr>
        <w:tab/>
        <w:t>5</w:t>
      </w:r>
    </w:p>
    <w:p w14:paraId="10251702" w14:textId="1ECB7001" w:rsidR="00BF7F53" w:rsidRDefault="00BF7F53" w:rsidP="00BF7F53">
      <w:pPr>
        <w:tabs>
          <w:tab w:val="right" w:leader="dot" w:pos="9072"/>
          <w:tab w:val="left" w:pos="9214"/>
        </w:tabs>
        <w:ind w:left="284"/>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Pr="00702358">
        <w:rPr>
          <w:rFonts w:ascii="Times New Roman" w:eastAsia="Calibri" w:hAnsi="Times New Roman" w:cs="Times New Roman"/>
          <w:sz w:val="28"/>
          <w:szCs w:val="28"/>
        </w:rPr>
        <w:t xml:space="preserve">Понятие и сущность валютных </w:t>
      </w:r>
      <w:proofErr w:type="spellStart"/>
      <w:r w:rsidRPr="00702358">
        <w:rPr>
          <w:rFonts w:ascii="Times New Roman" w:eastAsia="Calibri" w:hAnsi="Times New Roman" w:cs="Times New Roman"/>
          <w:sz w:val="28"/>
          <w:szCs w:val="28"/>
        </w:rPr>
        <w:t>деривативов</w:t>
      </w:r>
      <w:proofErr w:type="spellEnd"/>
      <w:r>
        <w:rPr>
          <w:rFonts w:ascii="Times New Roman" w:eastAsia="Calibri" w:hAnsi="Times New Roman" w:cs="Times New Roman"/>
          <w:sz w:val="28"/>
          <w:szCs w:val="28"/>
        </w:rPr>
        <w:tab/>
      </w:r>
      <w:r>
        <w:rPr>
          <w:rFonts w:ascii="Times New Roman" w:eastAsia="Calibri" w:hAnsi="Times New Roman" w:cs="Times New Roman"/>
          <w:sz w:val="28"/>
          <w:szCs w:val="28"/>
        </w:rPr>
        <w:tab/>
        <w:t>5</w:t>
      </w:r>
    </w:p>
    <w:p w14:paraId="7D949BF8" w14:textId="0B564D80" w:rsidR="00BF7F53" w:rsidRDefault="00BF7F53" w:rsidP="00BF7F53">
      <w:pPr>
        <w:tabs>
          <w:tab w:val="right" w:leader="dot" w:pos="9072"/>
          <w:tab w:val="left" w:pos="9214"/>
        </w:tabs>
        <w:ind w:left="284"/>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Pr="00702358">
        <w:rPr>
          <w:rFonts w:ascii="Times New Roman" w:eastAsia="Calibri" w:hAnsi="Times New Roman" w:cs="Times New Roman"/>
          <w:sz w:val="28"/>
          <w:szCs w:val="28"/>
        </w:rPr>
        <w:t xml:space="preserve">Виды валютных </w:t>
      </w:r>
      <w:proofErr w:type="spellStart"/>
      <w:r w:rsidRPr="00702358">
        <w:rPr>
          <w:rFonts w:ascii="Times New Roman" w:eastAsia="Calibri" w:hAnsi="Times New Roman" w:cs="Times New Roman"/>
          <w:sz w:val="28"/>
          <w:szCs w:val="28"/>
        </w:rPr>
        <w:t>деривативов</w:t>
      </w:r>
      <w:proofErr w:type="spellEnd"/>
      <w:r w:rsidRPr="00702358">
        <w:rPr>
          <w:rFonts w:ascii="Times New Roman" w:eastAsia="Calibri" w:hAnsi="Times New Roman" w:cs="Times New Roman"/>
          <w:sz w:val="28"/>
          <w:szCs w:val="28"/>
        </w:rPr>
        <w:t xml:space="preserve"> и их особенности</w:t>
      </w:r>
      <w:r>
        <w:rPr>
          <w:rFonts w:ascii="Times New Roman" w:eastAsia="Calibri" w:hAnsi="Times New Roman" w:cs="Times New Roman"/>
          <w:sz w:val="28"/>
          <w:szCs w:val="28"/>
        </w:rPr>
        <w:tab/>
      </w:r>
      <w:r>
        <w:rPr>
          <w:rFonts w:ascii="Times New Roman" w:eastAsia="Calibri" w:hAnsi="Times New Roman" w:cs="Times New Roman"/>
          <w:sz w:val="28"/>
          <w:szCs w:val="28"/>
        </w:rPr>
        <w:tab/>
        <w:t>8</w:t>
      </w:r>
    </w:p>
    <w:p w14:paraId="35227A93" w14:textId="08C4A314" w:rsidR="00BF7F53" w:rsidRDefault="00BF7F53" w:rsidP="00BF7F53">
      <w:pPr>
        <w:tabs>
          <w:tab w:val="right" w:leader="dot" w:pos="8931"/>
          <w:tab w:val="left" w:pos="9072"/>
        </w:tabs>
        <w:ind w:left="284"/>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Pr="00702358">
        <w:rPr>
          <w:rFonts w:ascii="Times New Roman" w:eastAsia="Calibri" w:hAnsi="Times New Roman" w:cs="Times New Roman"/>
          <w:sz w:val="28"/>
          <w:szCs w:val="28"/>
        </w:rPr>
        <w:t xml:space="preserve">Методические подходы к применению валютных </w:t>
      </w:r>
      <w:proofErr w:type="spellStart"/>
      <w:r w:rsidRPr="00702358">
        <w:rPr>
          <w:rFonts w:ascii="Times New Roman" w:eastAsia="Calibri" w:hAnsi="Times New Roman" w:cs="Times New Roman"/>
          <w:sz w:val="28"/>
          <w:szCs w:val="28"/>
        </w:rPr>
        <w:t>деривативов</w:t>
      </w:r>
      <w:proofErr w:type="spellEnd"/>
      <w:r w:rsidRPr="00702358">
        <w:rPr>
          <w:rFonts w:ascii="Times New Roman" w:eastAsia="Calibri" w:hAnsi="Times New Roman" w:cs="Times New Roman"/>
          <w:sz w:val="28"/>
          <w:szCs w:val="28"/>
        </w:rPr>
        <w:t xml:space="preserve"> при осуществлении международных сделок</w:t>
      </w:r>
      <w:r>
        <w:rPr>
          <w:rFonts w:ascii="Times New Roman" w:eastAsia="Calibri" w:hAnsi="Times New Roman" w:cs="Times New Roman"/>
          <w:sz w:val="28"/>
          <w:szCs w:val="28"/>
        </w:rPr>
        <w:tab/>
      </w:r>
      <w:r>
        <w:rPr>
          <w:rFonts w:ascii="Times New Roman" w:eastAsia="Calibri" w:hAnsi="Times New Roman" w:cs="Times New Roman"/>
          <w:sz w:val="28"/>
          <w:szCs w:val="28"/>
        </w:rPr>
        <w:tab/>
        <w:t>15</w:t>
      </w:r>
    </w:p>
    <w:p w14:paraId="7AB0E94A" w14:textId="658237BC" w:rsidR="00BF7F53" w:rsidRDefault="00BF7F53" w:rsidP="00BF7F53">
      <w:pPr>
        <w:tabs>
          <w:tab w:val="right" w:leader="dot" w:pos="8931"/>
          <w:tab w:val="left" w:pos="9072"/>
        </w:tabs>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702358">
        <w:rPr>
          <w:rFonts w:ascii="Times New Roman" w:eastAsia="Calibri" w:hAnsi="Times New Roman" w:cs="Times New Roman"/>
          <w:sz w:val="28"/>
          <w:szCs w:val="28"/>
        </w:rPr>
        <w:t xml:space="preserve">Анализ использования сделок с </w:t>
      </w:r>
      <w:proofErr w:type="spellStart"/>
      <w:r w:rsidRPr="00702358">
        <w:rPr>
          <w:rFonts w:ascii="Times New Roman" w:eastAsia="Calibri" w:hAnsi="Times New Roman" w:cs="Times New Roman"/>
          <w:sz w:val="28"/>
          <w:szCs w:val="28"/>
        </w:rPr>
        <w:t>деривативами</w:t>
      </w:r>
      <w:proofErr w:type="spellEnd"/>
      <w:r>
        <w:rPr>
          <w:rFonts w:ascii="Times New Roman" w:eastAsia="Calibri" w:hAnsi="Times New Roman" w:cs="Times New Roman"/>
          <w:sz w:val="28"/>
          <w:szCs w:val="28"/>
        </w:rPr>
        <w:tab/>
      </w:r>
      <w:r>
        <w:rPr>
          <w:rFonts w:ascii="Times New Roman" w:eastAsia="Calibri" w:hAnsi="Times New Roman" w:cs="Times New Roman"/>
          <w:sz w:val="28"/>
          <w:szCs w:val="28"/>
        </w:rPr>
        <w:tab/>
        <w:t>20</w:t>
      </w:r>
    </w:p>
    <w:p w14:paraId="4FA10EFF" w14:textId="029B8970" w:rsidR="00BF7F53" w:rsidRDefault="00E93CFA" w:rsidP="00BF7F53">
      <w:pPr>
        <w:tabs>
          <w:tab w:val="right" w:leader="dot" w:pos="8931"/>
          <w:tab w:val="left" w:pos="9072"/>
        </w:tabs>
        <w:ind w:left="284"/>
        <w:rPr>
          <w:rFonts w:ascii="Times New Roman" w:eastAsia="Calibri" w:hAnsi="Times New Roman" w:cs="Times New Roman"/>
          <w:sz w:val="28"/>
          <w:szCs w:val="28"/>
        </w:rPr>
      </w:pPr>
      <w:r>
        <w:rPr>
          <w:rFonts w:ascii="Times New Roman" w:eastAsia="Calibri" w:hAnsi="Times New Roman" w:cs="Times New Roman"/>
          <w:sz w:val="28"/>
          <w:szCs w:val="28"/>
        </w:rPr>
        <w:t xml:space="preserve">2.1 </w:t>
      </w:r>
      <w:r w:rsidRPr="00702358">
        <w:rPr>
          <w:rFonts w:ascii="Times New Roman" w:eastAsia="Calibri" w:hAnsi="Times New Roman" w:cs="Times New Roman"/>
          <w:sz w:val="28"/>
          <w:szCs w:val="28"/>
        </w:rPr>
        <w:t xml:space="preserve">Анализ мировой практики использования сделок с </w:t>
      </w:r>
      <w:proofErr w:type="spellStart"/>
      <w:r w:rsidRPr="00702358">
        <w:rPr>
          <w:rFonts w:ascii="Times New Roman" w:eastAsia="Calibri" w:hAnsi="Times New Roman" w:cs="Times New Roman"/>
          <w:sz w:val="28"/>
          <w:szCs w:val="28"/>
        </w:rPr>
        <w:t>деривативами</w:t>
      </w:r>
      <w:proofErr w:type="spellEnd"/>
      <w:r>
        <w:rPr>
          <w:rFonts w:ascii="Times New Roman" w:eastAsia="Calibri" w:hAnsi="Times New Roman" w:cs="Times New Roman"/>
          <w:sz w:val="28"/>
          <w:szCs w:val="28"/>
        </w:rPr>
        <w:tab/>
      </w:r>
      <w:r>
        <w:rPr>
          <w:rFonts w:ascii="Times New Roman" w:eastAsia="Calibri" w:hAnsi="Times New Roman" w:cs="Times New Roman"/>
          <w:sz w:val="28"/>
          <w:szCs w:val="28"/>
        </w:rPr>
        <w:tab/>
        <w:t>20</w:t>
      </w:r>
    </w:p>
    <w:p w14:paraId="23F44FC7" w14:textId="3C9F0840" w:rsidR="00E93CFA" w:rsidRDefault="00E93CFA" w:rsidP="00BF7F53">
      <w:pPr>
        <w:tabs>
          <w:tab w:val="right" w:leader="dot" w:pos="8931"/>
          <w:tab w:val="left" w:pos="9072"/>
        </w:tabs>
        <w:ind w:left="284"/>
        <w:rPr>
          <w:rFonts w:ascii="Times New Roman" w:eastAsia="Calibri" w:hAnsi="Times New Roman" w:cs="Times New Roman"/>
          <w:sz w:val="28"/>
          <w:szCs w:val="28"/>
        </w:rPr>
      </w:pPr>
      <w:r>
        <w:rPr>
          <w:rFonts w:ascii="Times New Roman" w:eastAsia="Calibri" w:hAnsi="Times New Roman" w:cs="Times New Roman"/>
          <w:sz w:val="28"/>
          <w:szCs w:val="28"/>
        </w:rPr>
        <w:t xml:space="preserve">2.2 </w:t>
      </w:r>
      <w:r w:rsidRPr="00702358">
        <w:rPr>
          <w:rFonts w:ascii="Times New Roman" w:eastAsia="Calibri" w:hAnsi="Times New Roman" w:cs="Times New Roman"/>
          <w:sz w:val="28"/>
          <w:szCs w:val="28"/>
        </w:rPr>
        <w:t xml:space="preserve">Анализ рынка валютных </w:t>
      </w:r>
      <w:proofErr w:type="spellStart"/>
      <w:r w:rsidRPr="00702358">
        <w:rPr>
          <w:rFonts w:ascii="Times New Roman" w:eastAsia="Calibri" w:hAnsi="Times New Roman" w:cs="Times New Roman"/>
          <w:sz w:val="28"/>
          <w:szCs w:val="28"/>
        </w:rPr>
        <w:t>деривативов</w:t>
      </w:r>
      <w:proofErr w:type="spellEnd"/>
      <w:r w:rsidRPr="00702358">
        <w:rPr>
          <w:rFonts w:ascii="Times New Roman" w:eastAsia="Calibri" w:hAnsi="Times New Roman" w:cs="Times New Roman"/>
          <w:sz w:val="28"/>
          <w:szCs w:val="28"/>
        </w:rPr>
        <w:t xml:space="preserve"> в России</w:t>
      </w:r>
      <w:r>
        <w:rPr>
          <w:rFonts w:ascii="Times New Roman" w:eastAsia="Calibri" w:hAnsi="Times New Roman" w:cs="Times New Roman"/>
          <w:sz w:val="28"/>
          <w:szCs w:val="28"/>
        </w:rPr>
        <w:tab/>
      </w:r>
      <w:r>
        <w:rPr>
          <w:rFonts w:ascii="Times New Roman" w:eastAsia="Calibri" w:hAnsi="Times New Roman" w:cs="Times New Roman"/>
          <w:sz w:val="28"/>
          <w:szCs w:val="28"/>
        </w:rPr>
        <w:tab/>
        <w:t>27</w:t>
      </w:r>
    </w:p>
    <w:p w14:paraId="3C0C4828" w14:textId="6B099CE1" w:rsidR="00E93CFA" w:rsidRDefault="00E93CFA" w:rsidP="00E93CFA">
      <w:pPr>
        <w:tabs>
          <w:tab w:val="right" w:leader="dot" w:pos="8931"/>
          <w:tab w:val="left" w:pos="9072"/>
        </w:tabs>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D5235C">
        <w:rPr>
          <w:rFonts w:ascii="Times New Roman" w:eastAsia="Calibri" w:hAnsi="Times New Roman" w:cs="Times New Roman"/>
          <w:sz w:val="28"/>
          <w:szCs w:val="28"/>
        </w:rPr>
        <w:t xml:space="preserve">Проблемы и перспективы развития </w:t>
      </w:r>
      <w:r>
        <w:rPr>
          <w:rFonts w:ascii="Times New Roman" w:eastAsia="Calibri" w:hAnsi="Times New Roman" w:cs="Times New Roman"/>
          <w:sz w:val="28"/>
          <w:szCs w:val="28"/>
        </w:rPr>
        <w:t xml:space="preserve">рынка </w:t>
      </w:r>
      <w:proofErr w:type="spellStart"/>
      <w:r>
        <w:rPr>
          <w:rFonts w:ascii="Times New Roman" w:eastAsia="Calibri" w:hAnsi="Times New Roman" w:cs="Times New Roman"/>
          <w:sz w:val="28"/>
          <w:szCs w:val="28"/>
        </w:rPr>
        <w:t>деривативов</w:t>
      </w:r>
      <w:proofErr w:type="spellEnd"/>
      <w:r>
        <w:rPr>
          <w:rFonts w:ascii="Times New Roman" w:eastAsia="Calibri" w:hAnsi="Times New Roman" w:cs="Times New Roman"/>
          <w:sz w:val="28"/>
          <w:szCs w:val="28"/>
        </w:rPr>
        <w:t xml:space="preserve"> </w:t>
      </w:r>
      <w:r w:rsidRPr="00D5235C">
        <w:rPr>
          <w:rFonts w:ascii="Times New Roman" w:eastAsia="Calibri" w:hAnsi="Times New Roman" w:cs="Times New Roman"/>
          <w:sz w:val="28"/>
          <w:szCs w:val="28"/>
        </w:rPr>
        <w:t>в России</w:t>
      </w:r>
      <w:r>
        <w:rPr>
          <w:rFonts w:ascii="Times New Roman" w:eastAsia="Calibri" w:hAnsi="Times New Roman" w:cs="Times New Roman"/>
          <w:sz w:val="28"/>
          <w:szCs w:val="28"/>
        </w:rPr>
        <w:tab/>
      </w:r>
      <w:r>
        <w:rPr>
          <w:rFonts w:ascii="Times New Roman" w:eastAsia="Calibri" w:hAnsi="Times New Roman" w:cs="Times New Roman"/>
          <w:sz w:val="28"/>
          <w:szCs w:val="28"/>
        </w:rPr>
        <w:tab/>
        <w:t>34</w:t>
      </w:r>
    </w:p>
    <w:p w14:paraId="6AD44644" w14:textId="5A5BB15D" w:rsidR="00E93CFA" w:rsidRDefault="00E93CFA" w:rsidP="00E93CFA">
      <w:pPr>
        <w:tabs>
          <w:tab w:val="right" w:leader="dot" w:pos="8931"/>
          <w:tab w:val="left" w:pos="9072"/>
        </w:tabs>
        <w:ind w:left="284"/>
        <w:rPr>
          <w:rFonts w:ascii="Times New Roman" w:eastAsia="Calibri" w:hAnsi="Times New Roman" w:cs="Times New Roman"/>
          <w:sz w:val="28"/>
          <w:szCs w:val="28"/>
        </w:rPr>
      </w:pPr>
      <w:r>
        <w:rPr>
          <w:rFonts w:ascii="Times New Roman" w:eastAsia="Calibri" w:hAnsi="Times New Roman" w:cs="Times New Roman"/>
          <w:sz w:val="28"/>
          <w:szCs w:val="28"/>
        </w:rPr>
        <w:t xml:space="preserve">3.1 </w:t>
      </w:r>
      <w:r w:rsidRPr="00702358">
        <w:rPr>
          <w:rFonts w:ascii="Times New Roman" w:eastAsia="Calibri" w:hAnsi="Times New Roman" w:cs="Times New Roman"/>
          <w:sz w:val="28"/>
          <w:szCs w:val="28"/>
        </w:rPr>
        <w:t xml:space="preserve">Основные проблемы и тенденции рынка </w:t>
      </w:r>
      <w:proofErr w:type="spellStart"/>
      <w:r w:rsidRPr="00702358">
        <w:rPr>
          <w:rFonts w:ascii="Times New Roman" w:eastAsia="Calibri" w:hAnsi="Times New Roman" w:cs="Times New Roman"/>
          <w:sz w:val="28"/>
          <w:szCs w:val="28"/>
        </w:rPr>
        <w:t>деривативов</w:t>
      </w:r>
      <w:proofErr w:type="spellEnd"/>
      <w:r w:rsidRPr="00702358">
        <w:rPr>
          <w:rFonts w:ascii="Times New Roman" w:eastAsia="Calibri" w:hAnsi="Times New Roman" w:cs="Times New Roman"/>
          <w:sz w:val="28"/>
          <w:szCs w:val="28"/>
        </w:rPr>
        <w:t xml:space="preserve"> </w:t>
      </w:r>
      <w:r w:rsidRPr="00D5235C">
        <w:rPr>
          <w:rFonts w:ascii="Times New Roman" w:eastAsia="Calibri" w:hAnsi="Times New Roman" w:cs="Times New Roman"/>
          <w:sz w:val="28"/>
          <w:szCs w:val="28"/>
        </w:rPr>
        <w:t>в России</w:t>
      </w:r>
      <w:r>
        <w:rPr>
          <w:rFonts w:ascii="Times New Roman" w:eastAsia="Calibri" w:hAnsi="Times New Roman" w:cs="Times New Roman"/>
          <w:sz w:val="28"/>
          <w:szCs w:val="28"/>
        </w:rPr>
        <w:tab/>
      </w:r>
      <w:r>
        <w:rPr>
          <w:rFonts w:ascii="Times New Roman" w:eastAsia="Calibri" w:hAnsi="Times New Roman" w:cs="Times New Roman"/>
          <w:sz w:val="28"/>
          <w:szCs w:val="28"/>
        </w:rPr>
        <w:tab/>
        <w:t>34</w:t>
      </w:r>
    </w:p>
    <w:p w14:paraId="0AB034D3" w14:textId="18B6330F" w:rsidR="00E93CFA" w:rsidRDefault="00E93CFA" w:rsidP="00E93CFA">
      <w:pPr>
        <w:tabs>
          <w:tab w:val="right" w:leader="dot" w:pos="8931"/>
          <w:tab w:val="left" w:pos="9072"/>
        </w:tabs>
        <w:ind w:left="284"/>
        <w:rPr>
          <w:rFonts w:ascii="Times New Roman" w:eastAsia="Calibri" w:hAnsi="Times New Roman" w:cs="Times New Roman"/>
          <w:sz w:val="28"/>
          <w:szCs w:val="28"/>
        </w:rPr>
      </w:pPr>
      <w:r>
        <w:rPr>
          <w:rFonts w:ascii="Times New Roman" w:eastAsia="Calibri" w:hAnsi="Times New Roman" w:cs="Times New Roman"/>
          <w:sz w:val="28"/>
          <w:szCs w:val="28"/>
        </w:rPr>
        <w:t xml:space="preserve">3.2 Предложения по совершенствованию </w:t>
      </w:r>
      <w:r w:rsidRPr="00702358">
        <w:rPr>
          <w:rFonts w:ascii="Times New Roman" w:eastAsia="Calibri" w:hAnsi="Times New Roman" w:cs="Times New Roman"/>
          <w:sz w:val="28"/>
          <w:szCs w:val="28"/>
        </w:rPr>
        <w:t xml:space="preserve">рынка </w:t>
      </w:r>
      <w:proofErr w:type="spellStart"/>
      <w:r w:rsidRPr="00702358">
        <w:rPr>
          <w:rFonts w:ascii="Times New Roman" w:eastAsia="Calibri" w:hAnsi="Times New Roman" w:cs="Times New Roman"/>
          <w:sz w:val="28"/>
          <w:szCs w:val="28"/>
        </w:rPr>
        <w:t>деривативо</w:t>
      </w:r>
      <w:r>
        <w:rPr>
          <w:rFonts w:ascii="Times New Roman" w:eastAsia="Calibri" w:hAnsi="Times New Roman" w:cs="Times New Roman"/>
          <w:sz w:val="28"/>
          <w:szCs w:val="28"/>
        </w:rPr>
        <w:t>в</w:t>
      </w:r>
      <w:proofErr w:type="spellEnd"/>
      <w:r>
        <w:rPr>
          <w:rFonts w:ascii="Times New Roman" w:eastAsia="Calibri" w:hAnsi="Times New Roman" w:cs="Times New Roman"/>
          <w:sz w:val="28"/>
          <w:szCs w:val="28"/>
        </w:rPr>
        <w:t xml:space="preserve"> в России</w:t>
      </w:r>
      <w:r>
        <w:rPr>
          <w:rFonts w:ascii="Times New Roman" w:eastAsia="Calibri" w:hAnsi="Times New Roman" w:cs="Times New Roman"/>
          <w:sz w:val="28"/>
          <w:szCs w:val="28"/>
        </w:rPr>
        <w:tab/>
      </w:r>
      <w:r>
        <w:rPr>
          <w:rFonts w:ascii="Times New Roman" w:eastAsia="Calibri" w:hAnsi="Times New Roman" w:cs="Times New Roman"/>
          <w:sz w:val="28"/>
          <w:szCs w:val="28"/>
        </w:rPr>
        <w:tab/>
        <w:t>37</w:t>
      </w:r>
    </w:p>
    <w:p w14:paraId="20D194E7" w14:textId="29C56D32" w:rsidR="00E93CFA" w:rsidRDefault="00E93CFA" w:rsidP="00E93CFA">
      <w:pPr>
        <w:tabs>
          <w:tab w:val="right" w:leader="dot" w:pos="8931"/>
          <w:tab w:val="left" w:pos="9072"/>
        </w:tabs>
        <w:rPr>
          <w:rFonts w:ascii="Times New Roman" w:eastAsia="Times New Roman" w:hAnsi="Times New Roman" w:cs="Times New Roman"/>
          <w:sz w:val="28"/>
          <w:szCs w:val="28"/>
          <w:lang w:eastAsia="ru-RU"/>
        </w:rPr>
      </w:pPr>
      <w:r w:rsidRPr="00D5235C">
        <w:rPr>
          <w:rFonts w:ascii="Times New Roman" w:eastAsia="Times New Roman" w:hAnsi="Times New Roman" w:cs="Times New Roman"/>
          <w:sz w:val="28"/>
          <w:szCs w:val="28"/>
          <w:lang w:eastAsia="ru-RU"/>
        </w:rPr>
        <w:t>Заключение</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43</w:t>
      </w:r>
    </w:p>
    <w:p w14:paraId="15FAF102" w14:textId="438D28A8" w:rsidR="00E93CFA" w:rsidRDefault="00E93CFA" w:rsidP="00E93CFA">
      <w:pPr>
        <w:tabs>
          <w:tab w:val="right" w:leader="dot" w:pos="8931"/>
          <w:tab w:val="left" w:pos="9072"/>
        </w:tabs>
        <w:rPr>
          <w:rFonts w:ascii="Times New Roman" w:eastAsia="Calibri" w:hAnsi="Times New Roman" w:cs="Times New Roman"/>
          <w:sz w:val="28"/>
          <w:szCs w:val="28"/>
        </w:rPr>
      </w:pPr>
      <w:r w:rsidRPr="00D5235C">
        <w:rPr>
          <w:rFonts w:ascii="Times New Roman" w:eastAsia="Times New Roman" w:hAnsi="Times New Roman" w:cs="Times New Roman"/>
          <w:sz w:val="28"/>
          <w:szCs w:val="28"/>
          <w:lang w:eastAsia="ru-RU"/>
        </w:rPr>
        <w:t>Список использованных источников</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45</w:t>
      </w:r>
    </w:p>
    <w:p w14:paraId="6E1ABB85" w14:textId="12D47800" w:rsidR="00D5235C" w:rsidRPr="00D5235C" w:rsidRDefault="00BF7F53" w:rsidP="00BF7F53">
      <w:pPr>
        <w:tabs>
          <w:tab w:val="right" w:leader="dot" w:pos="9072"/>
          <w:tab w:val="left" w:pos="9214"/>
        </w:tabs>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76E97C6C" w14:textId="588FB9BD" w:rsidR="00D5235C" w:rsidRDefault="00D5235C" w:rsidP="00D5235C">
      <w:pPr>
        <w:spacing w:after="0" w:line="360" w:lineRule="auto"/>
        <w:jc w:val="center"/>
        <w:rPr>
          <w:rFonts w:ascii="Times New Roman" w:eastAsia="Calibri" w:hAnsi="Times New Roman" w:cs="Times New Roman"/>
          <w:b/>
          <w:bCs/>
          <w:sz w:val="28"/>
          <w:szCs w:val="28"/>
        </w:rPr>
      </w:pPr>
      <w:r w:rsidRPr="00D5235C">
        <w:rPr>
          <w:rFonts w:ascii="Times New Roman" w:eastAsia="Calibri" w:hAnsi="Times New Roman" w:cs="Times New Roman"/>
          <w:b/>
          <w:bCs/>
          <w:sz w:val="28"/>
          <w:szCs w:val="28"/>
        </w:rPr>
        <w:lastRenderedPageBreak/>
        <w:t>ВВЕДЕНИЕ</w:t>
      </w:r>
    </w:p>
    <w:p w14:paraId="1CD57E33" w14:textId="45572BA4" w:rsidR="00702358" w:rsidRPr="00702358" w:rsidRDefault="00702358" w:rsidP="00FD03D4">
      <w:pPr>
        <w:spacing w:after="0" w:line="360" w:lineRule="auto"/>
        <w:ind w:firstLine="709"/>
        <w:jc w:val="center"/>
        <w:rPr>
          <w:rFonts w:ascii="Times New Roman" w:eastAsia="Calibri" w:hAnsi="Times New Roman" w:cs="Times New Roman"/>
          <w:sz w:val="28"/>
          <w:szCs w:val="28"/>
        </w:rPr>
      </w:pPr>
    </w:p>
    <w:p w14:paraId="27656E6A" w14:textId="77777777" w:rsidR="005F7ADA" w:rsidRPr="005F7ADA" w:rsidRDefault="005F7ADA" w:rsidP="005F7ADA">
      <w:pPr>
        <w:spacing w:after="0" w:line="360" w:lineRule="auto"/>
        <w:ind w:firstLine="709"/>
        <w:jc w:val="both"/>
        <w:rPr>
          <w:rFonts w:ascii="Times New Roman" w:eastAsia="Calibri" w:hAnsi="Times New Roman" w:cs="Times New Roman"/>
          <w:sz w:val="28"/>
          <w:szCs w:val="28"/>
        </w:rPr>
      </w:pPr>
      <w:r w:rsidRPr="005F7ADA">
        <w:rPr>
          <w:rFonts w:ascii="Times New Roman" w:eastAsia="Calibri" w:hAnsi="Times New Roman" w:cs="Times New Roman"/>
          <w:i/>
          <w:iCs/>
          <w:sz w:val="28"/>
          <w:szCs w:val="28"/>
        </w:rPr>
        <w:t xml:space="preserve">Актуальность </w:t>
      </w:r>
      <w:r w:rsidRPr="005F7ADA">
        <w:rPr>
          <w:rFonts w:ascii="Times New Roman" w:eastAsia="Calibri" w:hAnsi="Times New Roman" w:cs="Times New Roman"/>
          <w:sz w:val="28"/>
          <w:szCs w:val="28"/>
        </w:rPr>
        <w:t xml:space="preserve">этой работы объясняется тем, что за последние несколько десятилетий рынок </w:t>
      </w:r>
      <w:proofErr w:type="spellStart"/>
      <w:r w:rsidRPr="005F7ADA">
        <w:rPr>
          <w:rFonts w:ascii="Times New Roman" w:eastAsia="Calibri" w:hAnsi="Times New Roman" w:cs="Times New Roman"/>
          <w:sz w:val="28"/>
          <w:szCs w:val="28"/>
        </w:rPr>
        <w:t>деривативов</w:t>
      </w:r>
      <w:proofErr w:type="spellEnd"/>
      <w:r w:rsidRPr="005F7ADA">
        <w:rPr>
          <w:rFonts w:ascii="Times New Roman" w:eastAsia="Calibri" w:hAnsi="Times New Roman" w:cs="Times New Roman"/>
          <w:sz w:val="28"/>
          <w:szCs w:val="28"/>
        </w:rPr>
        <w:t xml:space="preserve"> превратился из разовых транзакций в неотъемлемую часть международного финансового рынка. Сегодня объем мирового рынка </w:t>
      </w:r>
      <w:proofErr w:type="spellStart"/>
      <w:r w:rsidRPr="005F7ADA">
        <w:rPr>
          <w:rFonts w:ascii="Times New Roman" w:eastAsia="Calibri" w:hAnsi="Times New Roman" w:cs="Times New Roman"/>
          <w:sz w:val="28"/>
          <w:szCs w:val="28"/>
        </w:rPr>
        <w:t>деривативов</w:t>
      </w:r>
      <w:proofErr w:type="spellEnd"/>
      <w:r w:rsidRPr="005F7ADA">
        <w:rPr>
          <w:rFonts w:ascii="Times New Roman" w:eastAsia="Calibri" w:hAnsi="Times New Roman" w:cs="Times New Roman"/>
          <w:sz w:val="28"/>
          <w:szCs w:val="28"/>
        </w:rPr>
        <w:t xml:space="preserve"> превышает объем мирового ВВП в десятки раз.</w:t>
      </w:r>
    </w:p>
    <w:p w14:paraId="794997E5" w14:textId="77777777" w:rsidR="005F7ADA" w:rsidRPr="005F7ADA" w:rsidRDefault="005F7ADA" w:rsidP="005F7ADA">
      <w:pPr>
        <w:spacing w:after="0" w:line="360" w:lineRule="auto"/>
        <w:ind w:firstLine="709"/>
        <w:jc w:val="both"/>
        <w:rPr>
          <w:rFonts w:ascii="Times New Roman" w:eastAsia="Calibri" w:hAnsi="Times New Roman" w:cs="Times New Roman"/>
          <w:sz w:val="28"/>
          <w:szCs w:val="28"/>
        </w:rPr>
      </w:pPr>
      <w:r w:rsidRPr="005F7ADA">
        <w:rPr>
          <w:rFonts w:ascii="Times New Roman" w:eastAsia="Calibri" w:hAnsi="Times New Roman" w:cs="Times New Roman"/>
          <w:sz w:val="28"/>
          <w:szCs w:val="28"/>
        </w:rPr>
        <w:t xml:space="preserve">Причиной активного использования этих инструментов на мировом рынке является их способность подвергать большое количество пользователей меньшим колебаниям рынка. Операции на рынке </w:t>
      </w:r>
      <w:proofErr w:type="spellStart"/>
      <w:r w:rsidRPr="005F7ADA">
        <w:rPr>
          <w:rFonts w:ascii="Times New Roman" w:eastAsia="Calibri" w:hAnsi="Times New Roman" w:cs="Times New Roman"/>
          <w:sz w:val="28"/>
          <w:szCs w:val="28"/>
        </w:rPr>
        <w:t>деривативов</w:t>
      </w:r>
      <w:proofErr w:type="spellEnd"/>
      <w:r w:rsidRPr="005F7ADA">
        <w:rPr>
          <w:rFonts w:ascii="Times New Roman" w:eastAsia="Calibri" w:hAnsi="Times New Roman" w:cs="Times New Roman"/>
          <w:sz w:val="28"/>
          <w:szCs w:val="28"/>
        </w:rPr>
        <w:t xml:space="preserve"> предоставляют игрокам важную экономическую информацию. Стороны заключают сделки на основе правильных цен, что приводит к более эффективному распределению экономических ресурсов. Развитие этого рынка повлияло на механизм перераспределения капитала между различными секторами экономики.</w:t>
      </w:r>
    </w:p>
    <w:p w14:paraId="2584A433" w14:textId="48F5887F" w:rsidR="005F7ADA" w:rsidRDefault="005F7ADA" w:rsidP="00FD03D4">
      <w:pPr>
        <w:spacing w:after="0" w:line="360" w:lineRule="auto"/>
        <w:ind w:firstLine="709"/>
        <w:jc w:val="both"/>
        <w:rPr>
          <w:rFonts w:ascii="Times New Roman" w:eastAsia="Calibri" w:hAnsi="Times New Roman" w:cs="Times New Roman"/>
          <w:sz w:val="28"/>
          <w:szCs w:val="28"/>
        </w:rPr>
      </w:pPr>
      <w:r w:rsidRPr="005F7ADA">
        <w:rPr>
          <w:rFonts w:ascii="Times New Roman" w:eastAsia="Calibri" w:hAnsi="Times New Roman" w:cs="Times New Roman"/>
          <w:sz w:val="28"/>
          <w:szCs w:val="28"/>
        </w:rPr>
        <w:t xml:space="preserve">В современных </w:t>
      </w:r>
      <w:r>
        <w:rPr>
          <w:rFonts w:ascii="Times New Roman" w:eastAsia="Calibri" w:hAnsi="Times New Roman" w:cs="Times New Roman"/>
          <w:sz w:val="28"/>
          <w:szCs w:val="28"/>
        </w:rPr>
        <w:t xml:space="preserve">динамичных </w:t>
      </w:r>
      <w:r w:rsidRPr="005F7ADA">
        <w:rPr>
          <w:rFonts w:ascii="Times New Roman" w:eastAsia="Calibri" w:hAnsi="Times New Roman" w:cs="Times New Roman"/>
          <w:sz w:val="28"/>
          <w:szCs w:val="28"/>
        </w:rPr>
        <w:t xml:space="preserve">условиях </w:t>
      </w:r>
      <w:r>
        <w:rPr>
          <w:rFonts w:ascii="Times New Roman" w:eastAsia="Calibri" w:hAnsi="Times New Roman" w:cs="Times New Roman"/>
          <w:sz w:val="28"/>
          <w:szCs w:val="28"/>
        </w:rPr>
        <w:t xml:space="preserve">экономики </w:t>
      </w:r>
      <w:r w:rsidRPr="005F7ADA">
        <w:rPr>
          <w:rFonts w:ascii="Times New Roman" w:eastAsia="Calibri" w:hAnsi="Times New Roman" w:cs="Times New Roman"/>
          <w:sz w:val="28"/>
          <w:szCs w:val="28"/>
        </w:rPr>
        <w:t xml:space="preserve">меняется уровень риска в деятельности различных компаний на рынке. Это приводит к еще большему спросу на производные финансовые инструменты. Производные инструменты позволяют хеджировать потенциальные риски и получать выгоду от изменений обменных курсов и процентных ставок, что делает их более </w:t>
      </w:r>
      <w:r>
        <w:rPr>
          <w:rFonts w:ascii="Times New Roman" w:eastAsia="Calibri" w:hAnsi="Times New Roman" w:cs="Times New Roman"/>
          <w:sz w:val="28"/>
          <w:szCs w:val="28"/>
        </w:rPr>
        <w:t>значимыми</w:t>
      </w:r>
      <w:r w:rsidRPr="005F7ADA">
        <w:rPr>
          <w:rFonts w:ascii="Times New Roman" w:eastAsia="Calibri" w:hAnsi="Times New Roman" w:cs="Times New Roman"/>
          <w:sz w:val="28"/>
          <w:szCs w:val="28"/>
        </w:rPr>
        <w:t>.</w:t>
      </w:r>
    </w:p>
    <w:p w14:paraId="69ECCAB8" w14:textId="3B1EBEA5" w:rsidR="00FD03D4" w:rsidRPr="00FD03D4" w:rsidRDefault="00FD03D4" w:rsidP="00FD03D4">
      <w:pPr>
        <w:spacing w:after="0" w:line="360" w:lineRule="auto"/>
        <w:ind w:firstLine="709"/>
        <w:jc w:val="both"/>
        <w:rPr>
          <w:rFonts w:ascii="Times New Roman" w:eastAsia="Calibri" w:hAnsi="Times New Roman" w:cs="Times New Roman"/>
          <w:sz w:val="28"/>
          <w:szCs w:val="28"/>
        </w:rPr>
      </w:pPr>
      <w:r w:rsidRPr="00FD03D4">
        <w:rPr>
          <w:rFonts w:ascii="Times New Roman" w:eastAsia="Calibri" w:hAnsi="Times New Roman" w:cs="Times New Roman"/>
          <w:i/>
          <w:iCs/>
          <w:sz w:val="28"/>
          <w:szCs w:val="28"/>
        </w:rPr>
        <w:t>Целью</w:t>
      </w:r>
      <w:r w:rsidRPr="00FD03D4">
        <w:rPr>
          <w:rFonts w:ascii="Times New Roman" w:eastAsia="Calibri" w:hAnsi="Times New Roman" w:cs="Times New Roman"/>
          <w:sz w:val="28"/>
          <w:szCs w:val="28"/>
        </w:rPr>
        <w:t xml:space="preserve"> </w:t>
      </w:r>
      <w:r w:rsidRPr="00FD03D4">
        <w:rPr>
          <w:rFonts w:ascii="Times New Roman" w:eastAsia="Calibri" w:hAnsi="Times New Roman" w:cs="Times New Roman"/>
          <w:i/>
          <w:iCs/>
          <w:sz w:val="28"/>
          <w:szCs w:val="28"/>
        </w:rPr>
        <w:t>курсовой работы</w:t>
      </w:r>
      <w:r w:rsidRPr="00FD03D4">
        <w:rPr>
          <w:rFonts w:ascii="Times New Roman" w:eastAsia="Calibri" w:hAnsi="Times New Roman" w:cs="Times New Roman"/>
          <w:sz w:val="28"/>
          <w:szCs w:val="28"/>
        </w:rPr>
        <w:t xml:space="preserve"> является </w:t>
      </w:r>
      <w:r w:rsidR="005F7ADA">
        <w:rPr>
          <w:rFonts w:ascii="Times New Roman" w:eastAsia="Calibri" w:hAnsi="Times New Roman" w:cs="Times New Roman"/>
          <w:sz w:val="28"/>
          <w:szCs w:val="28"/>
        </w:rPr>
        <w:t xml:space="preserve">определение </w:t>
      </w:r>
      <w:r w:rsidRPr="00FD03D4">
        <w:rPr>
          <w:rFonts w:ascii="Times New Roman" w:eastAsia="Calibri" w:hAnsi="Times New Roman" w:cs="Times New Roman"/>
          <w:sz w:val="28"/>
          <w:szCs w:val="28"/>
        </w:rPr>
        <w:t xml:space="preserve">перспективных направлений применения валютных </w:t>
      </w:r>
      <w:proofErr w:type="spellStart"/>
      <w:r w:rsidRPr="00FD03D4">
        <w:rPr>
          <w:rFonts w:ascii="Times New Roman" w:eastAsia="Calibri" w:hAnsi="Times New Roman" w:cs="Times New Roman"/>
          <w:sz w:val="28"/>
          <w:szCs w:val="28"/>
        </w:rPr>
        <w:t>деривативов</w:t>
      </w:r>
      <w:proofErr w:type="spellEnd"/>
      <w:r w:rsidRPr="00FD03D4">
        <w:rPr>
          <w:rFonts w:ascii="Times New Roman" w:eastAsia="Calibri" w:hAnsi="Times New Roman" w:cs="Times New Roman"/>
          <w:sz w:val="28"/>
          <w:szCs w:val="28"/>
        </w:rPr>
        <w:t xml:space="preserve"> в условиях нестабильности </w:t>
      </w:r>
      <w:r w:rsidR="005F7ADA">
        <w:rPr>
          <w:rFonts w:ascii="Times New Roman" w:eastAsia="Calibri" w:hAnsi="Times New Roman" w:cs="Times New Roman"/>
          <w:sz w:val="28"/>
          <w:szCs w:val="28"/>
        </w:rPr>
        <w:t xml:space="preserve">российского биржевого </w:t>
      </w:r>
      <w:r w:rsidRPr="00FD03D4">
        <w:rPr>
          <w:rFonts w:ascii="Times New Roman" w:eastAsia="Calibri" w:hAnsi="Times New Roman" w:cs="Times New Roman"/>
          <w:sz w:val="28"/>
          <w:szCs w:val="28"/>
        </w:rPr>
        <w:t xml:space="preserve">рынка. Для достижения обозначенной цели были поставлены следующие </w:t>
      </w:r>
      <w:r w:rsidRPr="00FD03D4">
        <w:rPr>
          <w:rFonts w:ascii="Times New Roman" w:eastAsia="Calibri" w:hAnsi="Times New Roman" w:cs="Times New Roman"/>
          <w:i/>
          <w:iCs/>
          <w:sz w:val="28"/>
          <w:szCs w:val="28"/>
        </w:rPr>
        <w:t>задачи</w:t>
      </w:r>
      <w:r w:rsidRPr="00FD03D4">
        <w:rPr>
          <w:rFonts w:ascii="Times New Roman" w:eastAsia="Calibri" w:hAnsi="Times New Roman" w:cs="Times New Roman"/>
          <w:sz w:val="28"/>
          <w:szCs w:val="28"/>
        </w:rPr>
        <w:t xml:space="preserve">: </w:t>
      </w:r>
    </w:p>
    <w:p w14:paraId="3C29D294" w14:textId="2804F57A" w:rsidR="00FD03D4" w:rsidRPr="00FD03D4" w:rsidRDefault="00FD03D4" w:rsidP="00FD03D4">
      <w:pPr>
        <w:numPr>
          <w:ilvl w:val="0"/>
          <w:numId w:val="1"/>
        </w:numPr>
        <w:spacing w:after="0" w:line="360" w:lineRule="auto"/>
        <w:ind w:left="0" w:firstLine="0"/>
        <w:jc w:val="both"/>
        <w:rPr>
          <w:rFonts w:ascii="Times New Roman" w:eastAsia="Calibri" w:hAnsi="Times New Roman" w:cs="Times New Roman"/>
          <w:sz w:val="28"/>
          <w:szCs w:val="28"/>
        </w:rPr>
      </w:pPr>
      <w:r w:rsidRPr="00FD03D4">
        <w:rPr>
          <w:rFonts w:ascii="Times New Roman" w:eastAsia="Calibri" w:hAnsi="Times New Roman" w:cs="Times New Roman"/>
          <w:sz w:val="28"/>
          <w:szCs w:val="28"/>
        </w:rPr>
        <w:t xml:space="preserve">дать понятие и рассмотреть сущность </w:t>
      </w:r>
      <w:r>
        <w:rPr>
          <w:rFonts w:ascii="Times New Roman" w:eastAsia="Calibri" w:hAnsi="Times New Roman" w:cs="Times New Roman"/>
          <w:sz w:val="28"/>
          <w:szCs w:val="28"/>
        </w:rPr>
        <w:t xml:space="preserve">валютных </w:t>
      </w:r>
      <w:proofErr w:type="spellStart"/>
      <w:r>
        <w:rPr>
          <w:rFonts w:ascii="Times New Roman" w:eastAsia="Calibri" w:hAnsi="Times New Roman" w:cs="Times New Roman"/>
          <w:sz w:val="28"/>
          <w:szCs w:val="28"/>
        </w:rPr>
        <w:t>деривативов</w:t>
      </w:r>
      <w:proofErr w:type="spellEnd"/>
      <w:r w:rsidRPr="00FD03D4">
        <w:rPr>
          <w:rFonts w:ascii="Times New Roman" w:eastAsia="Calibri" w:hAnsi="Times New Roman" w:cs="Times New Roman"/>
          <w:sz w:val="28"/>
          <w:szCs w:val="28"/>
        </w:rPr>
        <w:t>;</w:t>
      </w:r>
    </w:p>
    <w:p w14:paraId="2B805A86" w14:textId="77777777" w:rsidR="00FD03D4" w:rsidRPr="00FD03D4" w:rsidRDefault="00FD03D4" w:rsidP="00FD03D4">
      <w:pPr>
        <w:numPr>
          <w:ilvl w:val="0"/>
          <w:numId w:val="1"/>
        </w:numPr>
        <w:spacing w:after="0" w:line="360" w:lineRule="auto"/>
        <w:ind w:left="0" w:firstLine="0"/>
        <w:jc w:val="both"/>
        <w:rPr>
          <w:rFonts w:ascii="Times New Roman" w:eastAsia="Calibri" w:hAnsi="Times New Roman" w:cs="Times New Roman"/>
          <w:sz w:val="28"/>
          <w:szCs w:val="28"/>
        </w:rPr>
      </w:pPr>
      <w:r w:rsidRPr="00FD03D4">
        <w:rPr>
          <w:rFonts w:ascii="Times New Roman" w:eastAsia="Calibri" w:hAnsi="Times New Roman" w:cs="Times New Roman"/>
          <w:sz w:val="28"/>
          <w:szCs w:val="28"/>
        </w:rPr>
        <w:t xml:space="preserve">исследовать разные виды валютных </w:t>
      </w:r>
      <w:proofErr w:type="spellStart"/>
      <w:r w:rsidRPr="00FD03D4">
        <w:rPr>
          <w:rFonts w:ascii="Times New Roman" w:eastAsia="Calibri" w:hAnsi="Times New Roman" w:cs="Times New Roman"/>
          <w:sz w:val="28"/>
          <w:szCs w:val="28"/>
        </w:rPr>
        <w:t>деривативов</w:t>
      </w:r>
      <w:proofErr w:type="spellEnd"/>
      <w:r w:rsidRPr="00FD03D4">
        <w:rPr>
          <w:rFonts w:ascii="Times New Roman" w:eastAsia="Calibri" w:hAnsi="Times New Roman" w:cs="Times New Roman"/>
          <w:sz w:val="28"/>
          <w:szCs w:val="28"/>
        </w:rPr>
        <w:t xml:space="preserve"> и их особенности;</w:t>
      </w:r>
    </w:p>
    <w:p w14:paraId="761D8996" w14:textId="56EA7171" w:rsidR="00FD03D4" w:rsidRDefault="00FD03D4" w:rsidP="00FD03D4">
      <w:pPr>
        <w:numPr>
          <w:ilvl w:val="0"/>
          <w:numId w:val="1"/>
        </w:numPr>
        <w:spacing w:after="0" w:line="360" w:lineRule="auto"/>
        <w:ind w:left="0" w:firstLine="0"/>
        <w:jc w:val="both"/>
        <w:rPr>
          <w:rFonts w:ascii="Times New Roman" w:eastAsia="Calibri" w:hAnsi="Times New Roman" w:cs="Times New Roman"/>
          <w:sz w:val="28"/>
          <w:szCs w:val="28"/>
        </w:rPr>
      </w:pPr>
      <w:r w:rsidRPr="00FD03D4">
        <w:rPr>
          <w:rFonts w:ascii="Times New Roman" w:eastAsia="Calibri" w:hAnsi="Times New Roman" w:cs="Times New Roman"/>
          <w:sz w:val="28"/>
          <w:szCs w:val="28"/>
        </w:rPr>
        <w:t>проанализировать состояние мирового</w:t>
      </w:r>
      <w:r>
        <w:rPr>
          <w:rFonts w:ascii="Times New Roman" w:eastAsia="Calibri" w:hAnsi="Times New Roman" w:cs="Times New Roman"/>
          <w:sz w:val="28"/>
          <w:szCs w:val="28"/>
        </w:rPr>
        <w:t xml:space="preserve"> рынка валютных </w:t>
      </w:r>
      <w:proofErr w:type="spellStart"/>
      <w:r>
        <w:rPr>
          <w:rFonts w:ascii="Times New Roman" w:eastAsia="Calibri" w:hAnsi="Times New Roman" w:cs="Times New Roman"/>
          <w:sz w:val="28"/>
          <w:szCs w:val="28"/>
        </w:rPr>
        <w:t>деривативов</w:t>
      </w:r>
      <w:proofErr w:type="spellEnd"/>
      <w:r w:rsidRPr="00FD03D4">
        <w:rPr>
          <w:rFonts w:ascii="Times New Roman" w:eastAsia="Calibri" w:hAnsi="Times New Roman" w:cs="Times New Roman"/>
          <w:sz w:val="28"/>
          <w:szCs w:val="28"/>
        </w:rPr>
        <w:t>;</w:t>
      </w:r>
    </w:p>
    <w:p w14:paraId="7B0ED73C" w14:textId="45C3D6E8" w:rsidR="00FD03D4" w:rsidRPr="00FD03D4" w:rsidRDefault="00FD03D4" w:rsidP="00FD03D4">
      <w:pPr>
        <w:numPr>
          <w:ilvl w:val="0"/>
          <w:numId w:val="1"/>
        </w:numPr>
        <w:spacing w:after="0" w:line="36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провести анализ состояния российского рынка валютных </w:t>
      </w:r>
      <w:proofErr w:type="spellStart"/>
      <w:r>
        <w:rPr>
          <w:rFonts w:ascii="Times New Roman" w:eastAsia="Calibri" w:hAnsi="Times New Roman" w:cs="Times New Roman"/>
          <w:sz w:val="28"/>
          <w:szCs w:val="28"/>
        </w:rPr>
        <w:t>деривативов</w:t>
      </w:r>
      <w:proofErr w:type="spellEnd"/>
      <w:r>
        <w:rPr>
          <w:rFonts w:ascii="Times New Roman" w:eastAsia="Calibri" w:hAnsi="Times New Roman" w:cs="Times New Roman"/>
          <w:sz w:val="28"/>
          <w:szCs w:val="28"/>
        </w:rPr>
        <w:t>;</w:t>
      </w:r>
    </w:p>
    <w:p w14:paraId="6634478F" w14:textId="3FDB96B9" w:rsidR="00FD03D4" w:rsidRPr="00FD03D4" w:rsidRDefault="00FD03D4" w:rsidP="00FD03D4">
      <w:pPr>
        <w:numPr>
          <w:ilvl w:val="0"/>
          <w:numId w:val="1"/>
        </w:numPr>
        <w:spacing w:after="0" w:line="360" w:lineRule="auto"/>
        <w:ind w:left="0" w:firstLine="0"/>
        <w:jc w:val="both"/>
        <w:rPr>
          <w:rFonts w:ascii="Times New Roman" w:eastAsia="Calibri" w:hAnsi="Times New Roman" w:cs="Times New Roman"/>
          <w:sz w:val="28"/>
          <w:szCs w:val="28"/>
        </w:rPr>
      </w:pPr>
      <w:r w:rsidRPr="00FD03D4">
        <w:rPr>
          <w:rFonts w:ascii="Times New Roman" w:eastAsia="Calibri" w:hAnsi="Times New Roman" w:cs="Times New Roman"/>
          <w:sz w:val="28"/>
          <w:szCs w:val="28"/>
        </w:rPr>
        <w:t>выявить основные</w:t>
      </w:r>
      <w:r>
        <w:rPr>
          <w:rFonts w:ascii="Times New Roman" w:eastAsia="Calibri" w:hAnsi="Times New Roman" w:cs="Times New Roman"/>
          <w:sz w:val="28"/>
          <w:szCs w:val="28"/>
        </w:rPr>
        <w:t xml:space="preserve"> тенденции и</w:t>
      </w:r>
      <w:r w:rsidRPr="00FD03D4">
        <w:rPr>
          <w:rFonts w:ascii="Times New Roman" w:eastAsia="Calibri" w:hAnsi="Times New Roman" w:cs="Times New Roman"/>
          <w:sz w:val="28"/>
          <w:szCs w:val="28"/>
        </w:rPr>
        <w:t xml:space="preserve"> проблемы</w:t>
      </w:r>
      <w:r>
        <w:rPr>
          <w:rFonts w:ascii="Times New Roman" w:eastAsia="Calibri" w:hAnsi="Times New Roman" w:cs="Times New Roman"/>
          <w:sz w:val="28"/>
          <w:szCs w:val="28"/>
        </w:rPr>
        <w:t xml:space="preserve"> российского</w:t>
      </w:r>
      <w:r w:rsidRPr="00FD03D4">
        <w:rPr>
          <w:rFonts w:ascii="Times New Roman" w:eastAsia="Calibri" w:hAnsi="Times New Roman" w:cs="Times New Roman"/>
          <w:sz w:val="28"/>
          <w:szCs w:val="28"/>
        </w:rPr>
        <w:t xml:space="preserve"> рынка </w:t>
      </w:r>
      <w:proofErr w:type="spellStart"/>
      <w:r w:rsidRPr="00FD03D4">
        <w:rPr>
          <w:rFonts w:ascii="Times New Roman" w:eastAsia="Calibri" w:hAnsi="Times New Roman" w:cs="Times New Roman"/>
          <w:sz w:val="28"/>
          <w:szCs w:val="28"/>
        </w:rPr>
        <w:t>деривативов</w:t>
      </w:r>
      <w:proofErr w:type="spellEnd"/>
      <w:r w:rsidRPr="00FD03D4">
        <w:rPr>
          <w:rFonts w:ascii="Times New Roman" w:eastAsia="Calibri" w:hAnsi="Times New Roman" w:cs="Times New Roman"/>
          <w:sz w:val="28"/>
          <w:szCs w:val="28"/>
        </w:rPr>
        <w:t>;</w:t>
      </w:r>
    </w:p>
    <w:p w14:paraId="7EAA33C1" w14:textId="67B53DAC" w:rsidR="00FD03D4" w:rsidRPr="00FD03D4" w:rsidRDefault="005F7ADA" w:rsidP="00FD03D4">
      <w:pPr>
        <w:numPr>
          <w:ilvl w:val="0"/>
          <w:numId w:val="1"/>
        </w:numPr>
        <w:spacing w:after="0" w:line="36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обозначить</w:t>
      </w:r>
      <w:r w:rsidR="00FD03D4" w:rsidRPr="00FD03D4">
        <w:rPr>
          <w:rFonts w:ascii="Times New Roman" w:eastAsia="Calibri" w:hAnsi="Times New Roman" w:cs="Times New Roman"/>
          <w:sz w:val="28"/>
          <w:szCs w:val="28"/>
        </w:rPr>
        <w:t xml:space="preserve"> пути </w:t>
      </w:r>
      <w:r>
        <w:rPr>
          <w:rFonts w:ascii="Times New Roman" w:eastAsia="Calibri" w:hAnsi="Times New Roman" w:cs="Times New Roman"/>
          <w:sz w:val="28"/>
          <w:szCs w:val="28"/>
        </w:rPr>
        <w:t xml:space="preserve">совершенствования в функционировании российского рынка валютных </w:t>
      </w:r>
      <w:proofErr w:type="spellStart"/>
      <w:r>
        <w:rPr>
          <w:rFonts w:ascii="Times New Roman" w:eastAsia="Calibri" w:hAnsi="Times New Roman" w:cs="Times New Roman"/>
          <w:sz w:val="28"/>
          <w:szCs w:val="28"/>
        </w:rPr>
        <w:t>деривативов</w:t>
      </w:r>
      <w:proofErr w:type="spellEnd"/>
      <w:r w:rsidR="00FD03D4" w:rsidRPr="00FD03D4">
        <w:rPr>
          <w:rFonts w:ascii="Times New Roman" w:eastAsia="Calibri" w:hAnsi="Times New Roman" w:cs="Times New Roman"/>
          <w:sz w:val="28"/>
          <w:szCs w:val="28"/>
        </w:rPr>
        <w:t>.</w:t>
      </w:r>
    </w:p>
    <w:p w14:paraId="62906826" w14:textId="77777777" w:rsidR="00FD03D4" w:rsidRPr="00FD03D4" w:rsidRDefault="00FD03D4" w:rsidP="00FD03D4">
      <w:pPr>
        <w:spacing w:after="0" w:line="360" w:lineRule="auto"/>
        <w:ind w:firstLine="709"/>
        <w:jc w:val="both"/>
        <w:rPr>
          <w:rFonts w:ascii="Times New Roman" w:eastAsia="Calibri" w:hAnsi="Times New Roman" w:cs="Times New Roman"/>
          <w:sz w:val="28"/>
          <w:szCs w:val="28"/>
        </w:rPr>
      </w:pPr>
      <w:r w:rsidRPr="00FD03D4">
        <w:rPr>
          <w:rFonts w:ascii="Times New Roman" w:eastAsia="Calibri" w:hAnsi="Times New Roman" w:cs="Times New Roman"/>
          <w:i/>
          <w:iCs/>
          <w:sz w:val="28"/>
          <w:szCs w:val="28"/>
        </w:rPr>
        <w:lastRenderedPageBreak/>
        <w:t>Объект исследования</w:t>
      </w:r>
      <w:r w:rsidRPr="00FD03D4">
        <w:rPr>
          <w:rFonts w:ascii="Times New Roman" w:eastAsia="Calibri" w:hAnsi="Times New Roman" w:cs="Times New Roman"/>
          <w:sz w:val="28"/>
          <w:szCs w:val="28"/>
        </w:rPr>
        <w:t xml:space="preserve"> – рынок валютных </w:t>
      </w:r>
      <w:proofErr w:type="spellStart"/>
      <w:r w:rsidRPr="00FD03D4">
        <w:rPr>
          <w:rFonts w:ascii="Times New Roman" w:eastAsia="Calibri" w:hAnsi="Times New Roman" w:cs="Times New Roman"/>
          <w:sz w:val="28"/>
          <w:szCs w:val="28"/>
        </w:rPr>
        <w:t>деривативов</w:t>
      </w:r>
      <w:proofErr w:type="spellEnd"/>
      <w:r w:rsidRPr="00FD03D4">
        <w:rPr>
          <w:rFonts w:ascii="Times New Roman" w:eastAsia="Calibri" w:hAnsi="Times New Roman" w:cs="Times New Roman"/>
          <w:sz w:val="28"/>
          <w:szCs w:val="28"/>
        </w:rPr>
        <w:t xml:space="preserve">. </w:t>
      </w:r>
    </w:p>
    <w:p w14:paraId="58F86F84" w14:textId="77777777" w:rsidR="00FD03D4" w:rsidRPr="00FD03D4" w:rsidRDefault="00FD03D4" w:rsidP="00FD03D4">
      <w:pPr>
        <w:spacing w:after="0" w:line="360" w:lineRule="auto"/>
        <w:ind w:firstLine="709"/>
        <w:jc w:val="both"/>
        <w:rPr>
          <w:rFonts w:ascii="Times New Roman" w:eastAsia="Calibri" w:hAnsi="Times New Roman" w:cs="Times New Roman"/>
          <w:sz w:val="28"/>
          <w:szCs w:val="28"/>
        </w:rPr>
      </w:pPr>
      <w:r w:rsidRPr="00FD03D4">
        <w:rPr>
          <w:rFonts w:ascii="Times New Roman" w:eastAsia="Calibri" w:hAnsi="Times New Roman" w:cs="Times New Roman"/>
          <w:i/>
          <w:iCs/>
          <w:sz w:val="28"/>
          <w:szCs w:val="28"/>
        </w:rPr>
        <w:t>Предмет исследования</w:t>
      </w:r>
      <w:r w:rsidRPr="00FD03D4">
        <w:rPr>
          <w:rFonts w:ascii="Times New Roman" w:eastAsia="Calibri" w:hAnsi="Times New Roman" w:cs="Times New Roman"/>
          <w:sz w:val="28"/>
          <w:szCs w:val="28"/>
        </w:rPr>
        <w:t xml:space="preserve"> – экономические отношения участников мирового финансового рынка, трансформирующиеся в условиях расширения применения валютных </w:t>
      </w:r>
      <w:proofErr w:type="spellStart"/>
      <w:r w:rsidRPr="00FD03D4">
        <w:rPr>
          <w:rFonts w:ascii="Times New Roman" w:eastAsia="Calibri" w:hAnsi="Times New Roman" w:cs="Times New Roman"/>
          <w:sz w:val="28"/>
          <w:szCs w:val="28"/>
        </w:rPr>
        <w:t>деривативов</w:t>
      </w:r>
      <w:proofErr w:type="spellEnd"/>
      <w:r w:rsidRPr="00FD03D4">
        <w:rPr>
          <w:rFonts w:ascii="Times New Roman" w:eastAsia="Calibri" w:hAnsi="Times New Roman" w:cs="Times New Roman"/>
          <w:sz w:val="28"/>
          <w:szCs w:val="28"/>
        </w:rPr>
        <w:t>.</w:t>
      </w:r>
    </w:p>
    <w:p w14:paraId="4DDB0281" w14:textId="1DB8AA95" w:rsidR="00FD03D4" w:rsidRPr="00FD03D4" w:rsidRDefault="00FD03D4" w:rsidP="00FD03D4">
      <w:pPr>
        <w:spacing w:after="0" w:line="360" w:lineRule="auto"/>
        <w:ind w:firstLine="709"/>
        <w:jc w:val="both"/>
        <w:rPr>
          <w:rFonts w:ascii="Times New Roman" w:eastAsia="Calibri" w:hAnsi="Times New Roman" w:cs="Times New Roman"/>
          <w:sz w:val="28"/>
          <w:szCs w:val="28"/>
        </w:rPr>
      </w:pPr>
      <w:r w:rsidRPr="00FD03D4">
        <w:rPr>
          <w:rFonts w:ascii="Times New Roman" w:eastAsia="Calibri" w:hAnsi="Times New Roman" w:cs="Times New Roman"/>
          <w:sz w:val="28"/>
          <w:szCs w:val="28"/>
        </w:rPr>
        <w:t xml:space="preserve">Информационную базу курсовой работы составили данные статистики Всемирной Федерации бирж, обзоры Ассоциации фьючерской торговли, годовые отчеты Московской биржи. </w:t>
      </w:r>
    </w:p>
    <w:p w14:paraId="276D08E8" w14:textId="0E823A18" w:rsidR="00702358" w:rsidRPr="00702358" w:rsidRDefault="00FD03D4" w:rsidP="005F7ADA">
      <w:pPr>
        <w:spacing w:after="0" w:line="360" w:lineRule="auto"/>
        <w:ind w:firstLine="709"/>
        <w:jc w:val="both"/>
        <w:rPr>
          <w:rFonts w:ascii="Times New Roman" w:eastAsia="Calibri" w:hAnsi="Times New Roman" w:cs="Times New Roman"/>
          <w:sz w:val="28"/>
          <w:szCs w:val="28"/>
        </w:rPr>
      </w:pPr>
      <w:r w:rsidRPr="00FD03D4">
        <w:rPr>
          <w:rFonts w:ascii="Times New Roman" w:eastAsia="Calibri" w:hAnsi="Times New Roman" w:cs="Times New Roman"/>
          <w:sz w:val="28"/>
          <w:szCs w:val="28"/>
        </w:rPr>
        <w:t xml:space="preserve">Структура </w:t>
      </w:r>
      <w:r>
        <w:rPr>
          <w:rFonts w:ascii="Times New Roman" w:eastAsia="Calibri" w:hAnsi="Times New Roman" w:cs="Times New Roman"/>
          <w:sz w:val="28"/>
          <w:szCs w:val="28"/>
        </w:rPr>
        <w:t xml:space="preserve">курсовой работы </w:t>
      </w:r>
      <w:r w:rsidRPr="00FD03D4">
        <w:rPr>
          <w:rFonts w:ascii="Times New Roman" w:eastAsia="Calibri" w:hAnsi="Times New Roman" w:cs="Times New Roman"/>
          <w:sz w:val="28"/>
          <w:szCs w:val="28"/>
        </w:rPr>
        <w:t xml:space="preserve">состоит из введения, трёх глав, заключения, </w:t>
      </w:r>
      <w:r>
        <w:rPr>
          <w:rFonts w:ascii="Times New Roman" w:eastAsia="Calibri" w:hAnsi="Times New Roman" w:cs="Times New Roman"/>
          <w:sz w:val="28"/>
          <w:szCs w:val="28"/>
        </w:rPr>
        <w:t>и списка использованных источников.</w:t>
      </w:r>
    </w:p>
    <w:p w14:paraId="72FCE27D" w14:textId="6A89DA41" w:rsidR="00702358" w:rsidRDefault="00702358">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777638C3" w14:textId="70787B32" w:rsidR="00702358" w:rsidRDefault="00702358" w:rsidP="00702358">
      <w:pPr>
        <w:spacing w:after="0" w:line="360" w:lineRule="auto"/>
        <w:ind w:firstLine="709"/>
        <w:jc w:val="both"/>
        <w:rPr>
          <w:rFonts w:ascii="Times New Roman" w:hAnsi="Times New Roman" w:cs="Times New Roman"/>
          <w:b/>
          <w:bCs/>
          <w:sz w:val="28"/>
          <w:szCs w:val="28"/>
        </w:rPr>
      </w:pPr>
      <w:r w:rsidRPr="00702358">
        <w:rPr>
          <w:rFonts w:ascii="Times New Roman" w:hAnsi="Times New Roman" w:cs="Times New Roman"/>
          <w:b/>
          <w:bCs/>
          <w:sz w:val="28"/>
          <w:szCs w:val="28"/>
        </w:rPr>
        <w:lastRenderedPageBreak/>
        <w:t xml:space="preserve">1 Теоретические основы исследования </w:t>
      </w:r>
      <w:proofErr w:type="spellStart"/>
      <w:r w:rsidRPr="00702358">
        <w:rPr>
          <w:rFonts w:ascii="Times New Roman" w:hAnsi="Times New Roman" w:cs="Times New Roman"/>
          <w:b/>
          <w:bCs/>
          <w:sz w:val="28"/>
          <w:szCs w:val="28"/>
        </w:rPr>
        <w:t>деривативов</w:t>
      </w:r>
      <w:proofErr w:type="spellEnd"/>
    </w:p>
    <w:p w14:paraId="591B1AD2" w14:textId="77777777" w:rsidR="00702358" w:rsidRPr="00702358" w:rsidRDefault="00702358" w:rsidP="00702358">
      <w:pPr>
        <w:spacing w:after="0" w:line="360" w:lineRule="auto"/>
        <w:ind w:firstLine="709"/>
        <w:jc w:val="both"/>
        <w:rPr>
          <w:rFonts w:ascii="Times New Roman" w:hAnsi="Times New Roman" w:cs="Times New Roman"/>
          <w:b/>
          <w:bCs/>
          <w:sz w:val="28"/>
          <w:szCs w:val="28"/>
        </w:rPr>
      </w:pPr>
    </w:p>
    <w:p w14:paraId="4D189DC8" w14:textId="1ED056B2" w:rsidR="00702358" w:rsidRPr="00542ED0" w:rsidRDefault="00702358" w:rsidP="00542ED0">
      <w:pPr>
        <w:pStyle w:val="a6"/>
        <w:numPr>
          <w:ilvl w:val="1"/>
          <w:numId w:val="4"/>
        </w:numPr>
        <w:spacing w:after="0" w:line="360" w:lineRule="auto"/>
        <w:jc w:val="both"/>
        <w:rPr>
          <w:rFonts w:ascii="Times New Roman" w:hAnsi="Times New Roman" w:cs="Times New Roman"/>
          <w:b/>
          <w:bCs/>
          <w:sz w:val="28"/>
          <w:szCs w:val="28"/>
        </w:rPr>
      </w:pPr>
      <w:r w:rsidRPr="00542ED0">
        <w:rPr>
          <w:rFonts w:ascii="Times New Roman" w:hAnsi="Times New Roman" w:cs="Times New Roman"/>
          <w:b/>
          <w:bCs/>
          <w:sz w:val="28"/>
          <w:szCs w:val="28"/>
        </w:rPr>
        <w:t xml:space="preserve">Понятие и сущность валютных </w:t>
      </w:r>
      <w:proofErr w:type="spellStart"/>
      <w:r w:rsidRPr="00542ED0">
        <w:rPr>
          <w:rFonts w:ascii="Times New Roman" w:hAnsi="Times New Roman" w:cs="Times New Roman"/>
          <w:b/>
          <w:bCs/>
          <w:sz w:val="28"/>
          <w:szCs w:val="28"/>
        </w:rPr>
        <w:t>деривативов</w:t>
      </w:r>
      <w:proofErr w:type="spellEnd"/>
    </w:p>
    <w:p w14:paraId="324F1473" w14:textId="77777777" w:rsidR="00542ED0" w:rsidRPr="00542ED0" w:rsidRDefault="00542ED0" w:rsidP="00542ED0">
      <w:pPr>
        <w:spacing w:after="0" w:line="360" w:lineRule="auto"/>
        <w:ind w:left="709"/>
        <w:jc w:val="both"/>
        <w:rPr>
          <w:rFonts w:ascii="Times New Roman" w:hAnsi="Times New Roman" w:cs="Times New Roman"/>
          <w:b/>
          <w:bCs/>
          <w:sz w:val="28"/>
          <w:szCs w:val="28"/>
        </w:rPr>
      </w:pPr>
    </w:p>
    <w:p w14:paraId="22C8ACE6" w14:textId="20DFB66B" w:rsidR="00CF70BC" w:rsidRPr="00CF70BC" w:rsidRDefault="00CF70BC" w:rsidP="00FD03D4">
      <w:pPr>
        <w:spacing w:after="0" w:line="360" w:lineRule="auto"/>
        <w:ind w:firstLine="709"/>
        <w:jc w:val="both"/>
        <w:rPr>
          <w:rFonts w:ascii="Times New Roman" w:hAnsi="Times New Roman" w:cs="Times New Roman"/>
          <w:sz w:val="28"/>
          <w:szCs w:val="28"/>
        </w:rPr>
      </w:pPr>
      <w:proofErr w:type="spellStart"/>
      <w:r w:rsidRPr="00CF70BC">
        <w:rPr>
          <w:rFonts w:ascii="Times New Roman" w:hAnsi="Times New Roman" w:cs="Times New Roman"/>
          <w:sz w:val="28"/>
          <w:szCs w:val="28"/>
        </w:rPr>
        <w:t>Деривативы</w:t>
      </w:r>
      <w:proofErr w:type="spellEnd"/>
      <w:r w:rsidRPr="00CF70BC">
        <w:rPr>
          <w:rFonts w:ascii="Times New Roman" w:hAnsi="Times New Roman" w:cs="Times New Roman"/>
          <w:sz w:val="28"/>
          <w:szCs w:val="28"/>
        </w:rPr>
        <w:t xml:space="preserve"> </w:t>
      </w:r>
      <w:r w:rsidR="00FD03D4">
        <w:rPr>
          <w:rFonts w:ascii="Times New Roman" w:hAnsi="Times New Roman" w:cs="Times New Roman"/>
          <w:sz w:val="28"/>
          <w:szCs w:val="28"/>
        </w:rPr>
        <w:t>–</w:t>
      </w:r>
      <w:r w:rsidRPr="00CF70BC">
        <w:rPr>
          <w:rFonts w:ascii="Times New Roman" w:hAnsi="Times New Roman" w:cs="Times New Roman"/>
          <w:sz w:val="28"/>
          <w:szCs w:val="28"/>
        </w:rPr>
        <w:t xml:space="preserve"> это контракты, стоимость которых определяется ценой другого актива, называемого базовым активом, которые исполняются в будущем. С помощью </w:t>
      </w:r>
      <w:proofErr w:type="spellStart"/>
      <w:r w:rsidRPr="00CF70BC">
        <w:rPr>
          <w:rFonts w:ascii="Times New Roman" w:hAnsi="Times New Roman" w:cs="Times New Roman"/>
          <w:sz w:val="28"/>
          <w:szCs w:val="28"/>
        </w:rPr>
        <w:t>деривативов</w:t>
      </w:r>
      <w:proofErr w:type="spellEnd"/>
      <w:r w:rsidRPr="00CF70BC">
        <w:rPr>
          <w:rFonts w:ascii="Times New Roman" w:hAnsi="Times New Roman" w:cs="Times New Roman"/>
          <w:sz w:val="28"/>
          <w:szCs w:val="28"/>
        </w:rPr>
        <w:t xml:space="preserve"> можно открывать позиции по широкому спектру базовых активов, таких как обменные курсы, процентные ставки, акции и т. д., что в противном случае могло бы повлечь за собой очень высокие затраты. Наиболее часто используемые </w:t>
      </w:r>
      <w:proofErr w:type="spellStart"/>
      <w:r w:rsidRPr="00CF70BC">
        <w:rPr>
          <w:rFonts w:ascii="Times New Roman" w:hAnsi="Times New Roman" w:cs="Times New Roman"/>
          <w:sz w:val="28"/>
          <w:szCs w:val="28"/>
        </w:rPr>
        <w:t>деривативы</w:t>
      </w:r>
      <w:proofErr w:type="spellEnd"/>
      <w:r w:rsidRPr="00CF70BC">
        <w:rPr>
          <w:rFonts w:ascii="Times New Roman" w:hAnsi="Times New Roman" w:cs="Times New Roman"/>
          <w:sz w:val="28"/>
          <w:szCs w:val="28"/>
        </w:rPr>
        <w:t xml:space="preserve"> — это свопы , форварды , фьючерсы и опционы</w:t>
      </w:r>
      <w:r w:rsidR="00EC48AE">
        <w:rPr>
          <w:rFonts w:ascii="Times New Roman" w:hAnsi="Times New Roman" w:cs="Times New Roman"/>
          <w:sz w:val="28"/>
          <w:szCs w:val="28"/>
        </w:rPr>
        <w:t xml:space="preserve"> [4]</w:t>
      </w:r>
      <w:r w:rsidRPr="00CF70BC">
        <w:rPr>
          <w:rFonts w:ascii="Times New Roman" w:hAnsi="Times New Roman" w:cs="Times New Roman"/>
          <w:sz w:val="28"/>
          <w:szCs w:val="28"/>
        </w:rPr>
        <w:t>.</w:t>
      </w:r>
    </w:p>
    <w:p w14:paraId="4B5093B3" w14:textId="3FBE9DBF" w:rsidR="00CF70BC" w:rsidRPr="00CF70BC" w:rsidRDefault="00CF70BC" w:rsidP="00FD03D4">
      <w:pPr>
        <w:spacing w:after="0" w:line="360" w:lineRule="auto"/>
        <w:ind w:firstLine="709"/>
        <w:jc w:val="both"/>
        <w:rPr>
          <w:rFonts w:ascii="Times New Roman" w:hAnsi="Times New Roman" w:cs="Times New Roman"/>
          <w:sz w:val="28"/>
          <w:szCs w:val="28"/>
        </w:rPr>
      </w:pPr>
      <w:r w:rsidRPr="00CF70BC">
        <w:rPr>
          <w:rFonts w:ascii="Times New Roman" w:hAnsi="Times New Roman" w:cs="Times New Roman"/>
          <w:sz w:val="28"/>
          <w:szCs w:val="28"/>
        </w:rPr>
        <w:t xml:space="preserve">И фирмы, и частные лица используют </w:t>
      </w:r>
      <w:proofErr w:type="spellStart"/>
      <w:r w:rsidRPr="00CF70BC">
        <w:rPr>
          <w:rFonts w:ascii="Times New Roman" w:hAnsi="Times New Roman" w:cs="Times New Roman"/>
          <w:sz w:val="28"/>
          <w:szCs w:val="28"/>
        </w:rPr>
        <w:t>деривативы</w:t>
      </w:r>
      <w:proofErr w:type="spellEnd"/>
      <w:r w:rsidRPr="00CF70BC">
        <w:rPr>
          <w:rFonts w:ascii="Times New Roman" w:hAnsi="Times New Roman" w:cs="Times New Roman"/>
          <w:sz w:val="28"/>
          <w:szCs w:val="28"/>
        </w:rPr>
        <w:t xml:space="preserve"> для хеджирования, спекуляции или арбитража. В частности, хеджирующие и спекулятивные функции </w:t>
      </w:r>
      <w:proofErr w:type="spellStart"/>
      <w:r w:rsidRPr="00CF70BC">
        <w:rPr>
          <w:rFonts w:ascii="Times New Roman" w:hAnsi="Times New Roman" w:cs="Times New Roman"/>
          <w:sz w:val="28"/>
          <w:szCs w:val="28"/>
        </w:rPr>
        <w:t>деривативов</w:t>
      </w:r>
      <w:proofErr w:type="spellEnd"/>
      <w:r w:rsidRPr="00CF70BC">
        <w:rPr>
          <w:rFonts w:ascii="Times New Roman" w:hAnsi="Times New Roman" w:cs="Times New Roman"/>
          <w:sz w:val="28"/>
          <w:szCs w:val="28"/>
        </w:rPr>
        <w:t xml:space="preserve"> облегчают перераспределение рисков между агентами, которые хотят избавиться от них, и агентами, которые в обмен на доход хотят их приобрести.</w:t>
      </w:r>
    </w:p>
    <w:p w14:paraId="454C6680" w14:textId="0A8108BA" w:rsidR="00FD03D4" w:rsidRDefault="00CF70BC" w:rsidP="00330E44">
      <w:pPr>
        <w:spacing w:after="0" w:line="360" w:lineRule="auto"/>
        <w:ind w:firstLine="709"/>
        <w:jc w:val="both"/>
        <w:rPr>
          <w:rFonts w:ascii="Times New Roman" w:hAnsi="Times New Roman" w:cs="Times New Roman"/>
          <w:sz w:val="28"/>
          <w:szCs w:val="28"/>
        </w:rPr>
      </w:pPr>
      <w:r w:rsidRPr="00CF70BC">
        <w:rPr>
          <w:rFonts w:ascii="Times New Roman" w:hAnsi="Times New Roman" w:cs="Times New Roman"/>
          <w:sz w:val="28"/>
          <w:szCs w:val="28"/>
        </w:rPr>
        <w:t>Первая функция этих инструментов заключается в обеспечении механизма хеджирования ранее существовавшего риска</w:t>
      </w:r>
      <w:r w:rsidR="00FD03D4">
        <w:rPr>
          <w:rFonts w:ascii="Times New Roman" w:hAnsi="Times New Roman" w:cs="Times New Roman"/>
          <w:sz w:val="28"/>
          <w:szCs w:val="28"/>
        </w:rPr>
        <w:t xml:space="preserve"> </w:t>
      </w:r>
      <w:r w:rsidRPr="00CF70BC">
        <w:rPr>
          <w:rFonts w:ascii="Times New Roman" w:hAnsi="Times New Roman" w:cs="Times New Roman"/>
          <w:sz w:val="28"/>
          <w:szCs w:val="28"/>
        </w:rPr>
        <w:t>связанн</w:t>
      </w:r>
      <w:r w:rsidR="00FD03D4">
        <w:rPr>
          <w:rFonts w:ascii="Times New Roman" w:hAnsi="Times New Roman" w:cs="Times New Roman"/>
          <w:sz w:val="28"/>
          <w:szCs w:val="28"/>
        </w:rPr>
        <w:t>ого</w:t>
      </w:r>
      <w:r w:rsidRPr="00CF70BC">
        <w:rPr>
          <w:rFonts w:ascii="Times New Roman" w:hAnsi="Times New Roman" w:cs="Times New Roman"/>
          <w:sz w:val="28"/>
          <w:szCs w:val="28"/>
        </w:rPr>
        <w:t xml:space="preserve"> с колебаниями цены базового актива, которые могут привести к убыткам агентов.</w:t>
      </w:r>
    </w:p>
    <w:p w14:paraId="295CCCA4" w14:textId="67AF25DC" w:rsidR="00CF70BC" w:rsidRPr="00CF70BC" w:rsidRDefault="00CF70BC" w:rsidP="00330E44">
      <w:pPr>
        <w:spacing w:after="0" w:line="360" w:lineRule="auto"/>
        <w:ind w:firstLine="709"/>
        <w:jc w:val="both"/>
        <w:rPr>
          <w:rFonts w:ascii="Times New Roman" w:hAnsi="Times New Roman" w:cs="Times New Roman"/>
          <w:sz w:val="28"/>
          <w:szCs w:val="28"/>
        </w:rPr>
      </w:pPr>
      <w:r w:rsidRPr="00CF70BC">
        <w:rPr>
          <w:rFonts w:ascii="Times New Roman" w:hAnsi="Times New Roman" w:cs="Times New Roman"/>
          <w:sz w:val="28"/>
          <w:szCs w:val="28"/>
        </w:rPr>
        <w:t>При анализе определяющих факторов хеджирования обнаруж</w:t>
      </w:r>
      <w:r w:rsidR="00330E44">
        <w:rPr>
          <w:rFonts w:ascii="Times New Roman" w:hAnsi="Times New Roman" w:cs="Times New Roman"/>
          <w:sz w:val="28"/>
          <w:szCs w:val="28"/>
        </w:rPr>
        <w:t>ивается</w:t>
      </w:r>
      <w:r w:rsidRPr="00CF70BC">
        <w:rPr>
          <w:rFonts w:ascii="Times New Roman" w:hAnsi="Times New Roman" w:cs="Times New Roman"/>
          <w:sz w:val="28"/>
          <w:szCs w:val="28"/>
        </w:rPr>
        <w:t>, что использование производных финансовых инструментов положительно связано со степенью подверженности валютному риску, порождаемому доходами и долгами, номинированными в иностранной валюте, в соответствии с, которы</w:t>
      </w:r>
      <w:r w:rsidR="00FD03D4">
        <w:rPr>
          <w:rFonts w:ascii="Times New Roman" w:hAnsi="Times New Roman" w:cs="Times New Roman"/>
          <w:sz w:val="28"/>
          <w:szCs w:val="28"/>
        </w:rPr>
        <w:t>ми</w:t>
      </w:r>
      <w:r w:rsidRPr="00CF70BC">
        <w:rPr>
          <w:rFonts w:ascii="Times New Roman" w:hAnsi="Times New Roman" w:cs="Times New Roman"/>
          <w:sz w:val="28"/>
          <w:szCs w:val="28"/>
        </w:rPr>
        <w:t xml:space="preserve"> связывают использование </w:t>
      </w:r>
      <w:proofErr w:type="spellStart"/>
      <w:r w:rsidRPr="00CF70BC">
        <w:rPr>
          <w:rFonts w:ascii="Times New Roman" w:hAnsi="Times New Roman" w:cs="Times New Roman"/>
          <w:sz w:val="28"/>
          <w:szCs w:val="28"/>
        </w:rPr>
        <w:t>деривативов</w:t>
      </w:r>
      <w:proofErr w:type="spellEnd"/>
      <w:r w:rsidRPr="00CF70BC">
        <w:rPr>
          <w:rFonts w:ascii="Times New Roman" w:hAnsi="Times New Roman" w:cs="Times New Roman"/>
          <w:sz w:val="28"/>
          <w:szCs w:val="28"/>
        </w:rPr>
        <w:t xml:space="preserve"> в целях хеджирования с размером компании.</w:t>
      </w:r>
    </w:p>
    <w:p w14:paraId="7755478D" w14:textId="7ABDD809" w:rsidR="00330E44" w:rsidRDefault="00CF70BC" w:rsidP="00330E44">
      <w:pPr>
        <w:spacing w:after="0" w:line="360" w:lineRule="auto"/>
        <w:ind w:firstLine="709"/>
        <w:jc w:val="both"/>
        <w:rPr>
          <w:rFonts w:ascii="Times New Roman" w:hAnsi="Times New Roman" w:cs="Times New Roman"/>
          <w:sz w:val="28"/>
          <w:szCs w:val="28"/>
        </w:rPr>
      </w:pPr>
      <w:r w:rsidRPr="00CF70BC">
        <w:rPr>
          <w:rFonts w:ascii="Times New Roman" w:hAnsi="Times New Roman" w:cs="Times New Roman"/>
          <w:sz w:val="28"/>
          <w:szCs w:val="28"/>
        </w:rPr>
        <w:t xml:space="preserve">В отличие от операций хеджирования, спекулятивные операции с </w:t>
      </w:r>
      <w:proofErr w:type="spellStart"/>
      <w:r w:rsidRPr="00CF70BC">
        <w:rPr>
          <w:rFonts w:ascii="Times New Roman" w:hAnsi="Times New Roman" w:cs="Times New Roman"/>
          <w:sz w:val="28"/>
          <w:szCs w:val="28"/>
        </w:rPr>
        <w:t>деривативами</w:t>
      </w:r>
      <w:proofErr w:type="spellEnd"/>
      <w:r w:rsidRPr="00CF70BC">
        <w:rPr>
          <w:rFonts w:ascii="Times New Roman" w:hAnsi="Times New Roman" w:cs="Times New Roman"/>
          <w:sz w:val="28"/>
          <w:szCs w:val="28"/>
        </w:rPr>
        <w:t xml:space="preserve"> позволяют брать на себя новые риски, то есть приобретать новые позиции по базовому активу</w:t>
      </w:r>
      <w:r w:rsidR="002F4C71">
        <w:rPr>
          <w:rFonts w:ascii="Times New Roman" w:hAnsi="Times New Roman" w:cs="Times New Roman"/>
          <w:sz w:val="28"/>
          <w:szCs w:val="28"/>
        </w:rPr>
        <w:t xml:space="preserve"> [18].</w:t>
      </w:r>
    </w:p>
    <w:p w14:paraId="315F58F7" w14:textId="0178189F" w:rsidR="00CF70BC" w:rsidRPr="00CF70BC" w:rsidRDefault="00CF70BC" w:rsidP="00330E44">
      <w:pPr>
        <w:spacing w:after="0" w:line="360" w:lineRule="auto"/>
        <w:ind w:firstLine="709"/>
        <w:jc w:val="both"/>
        <w:rPr>
          <w:rFonts w:ascii="Times New Roman" w:hAnsi="Times New Roman" w:cs="Times New Roman"/>
          <w:sz w:val="28"/>
          <w:szCs w:val="28"/>
        </w:rPr>
      </w:pPr>
      <w:r w:rsidRPr="00CF70BC">
        <w:rPr>
          <w:rFonts w:ascii="Times New Roman" w:hAnsi="Times New Roman" w:cs="Times New Roman"/>
          <w:sz w:val="28"/>
          <w:szCs w:val="28"/>
        </w:rPr>
        <w:t xml:space="preserve">Агенты, использующие эти стратегии, играют важную роль на финансовых рынках в той мере, в какой они обеспечивают ликвидность </w:t>
      </w:r>
      <w:r w:rsidRPr="00CF70BC">
        <w:rPr>
          <w:rFonts w:ascii="Times New Roman" w:hAnsi="Times New Roman" w:cs="Times New Roman"/>
          <w:sz w:val="28"/>
          <w:szCs w:val="28"/>
        </w:rPr>
        <w:lastRenderedPageBreak/>
        <w:t xml:space="preserve">системе. Это увеличение ликвидности является одним из наиболее ценных вкладов рынка </w:t>
      </w:r>
      <w:proofErr w:type="spellStart"/>
      <w:r w:rsidRPr="00CF70BC">
        <w:rPr>
          <w:rFonts w:ascii="Times New Roman" w:hAnsi="Times New Roman" w:cs="Times New Roman"/>
          <w:sz w:val="28"/>
          <w:szCs w:val="28"/>
        </w:rPr>
        <w:t>деривативов</w:t>
      </w:r>
      <w:proofErr w:type="spellEnd"/>
      <w:r w:rsidRPr="00CF70BC">
        <w:rPr>
          <w:rFonts w:ascii="Times New Roman" w:hAnsi="Times New Roman" w:cs="Times New Roman"/>
          <w:sz w:val="28"/>
          <w:szCs w:val="28"/>
        </w:rPr>
        <w:t>, поскольку оно означает, что инвесторы, стремящиеся передать или приобрести риски, могут легче продать (или купить) свои активы, не теряя больших сумм денег и не оказывая существенного влияния на цену активов. их активы на рынке</w:t>
      </w:r>
      <w:r w:rsidR="00330E44">
        <w:rPr>
          <w:rFonts w:ascii="Times New Roman" w:hAnsi="Times New Roman" w:cs="Times New Roman"/>
          <w:sz w:val="28"/>
          <w:szCs w:val="28"/>
        </w:rPr>
        <w:t>.</w:t>
      </w:r>
    </w:p>
    <w:p w14:paraId="311068AA" w14:textId="678A304B" w:rsidR="00CF70BC" w:rsidRPr="00CF70BC" w:rsidRDefault="00CF70BC" w:rsidP="00330E44">
      <w:pPr>
        <w:spacing w:after="0" w:line="360" w:lineRule="auto"/>
        <w:ind w:firstLine="709"/>
        <w:jc w:val="both"/>
        <w:rPr>
          <w:rFonts w:ascii="Times New Roman" w:hAnsi="Times New Roman" w:cs="Times New Roman"/>
          <w:sz w:val="28"/>
          <w:szCs w:val="28"/>
        </w:rPr>
      </w:pPr>
      <w:r w:rsidRPr="00CF70BC">
        <w:rPr>
          <w:rFonts w:ascii="Times New Roman" w:hAnsi="Times New Roman" w:cs="Times New Roman"/>
          <w:sz w:val="28"/>
          <w:szCs w:val="28"/>
        </w:rPr>
        <w:t xml:space="preserve">Кроме того, </w:t>
      </w:r>
      <w:proofErr w:type="spellStart"/>
      <w:r w:rsidRPr="00CF70BC">
        <w:rPr>
          <w:rFonts w:ascii="Times New Roman" w:hAnsi="Times New Roman" w:cs="Times New Roman"/>
          <w:sz w:val="28"/>
          <w:szCs w:val="28"/>
        </w:rPr>
        <w:t>деривативы</w:t>
      </w:r>
      <w:proofErr w:type="spellEnd"/>
      <w:r w:rsidRPr="00CF70BC">
        <w:rPr>
          <w:rFonts w:ascii="Times New Roman" w:hAnsi="Times New Roman" w:cs="Times New Roman"/>
          <w:sz w:val="28"/>
          <w:szCs w:val="28"/>
        </w:rPr>
        <w:t xml:space="preserve"> предлагают возможности для реализации арбитражных стратегий в той мере, в какой они позволяют использовать в своих интересах несовершенства или искажения на рынках. В результате постоянного поиска арбитража цены на различные базовые активы имеют тенденцию сходиться к их равновесной стоимости, уменьшая несовершенства, которые могут возникнуть при ценообразовании</w:t>
      </w:r>
      <w:r w:rsidR="003C01AA">
        <w:rPr>
          <w:rFonts w:ascii="Times New Roman" w:hAnsi="Times New Roman" w:cs="Times New Roman"/>
          <w:sz w:val="28"/>
          <w:szCs w:val="28"/>
        </w:rPr>
        <w:t xml:space="preserve"> [17].</w:t>
      </w:r>
    </w:p>
    <w:p w14:paraId="0EAF5632" w14:textId="778A7E8C" w:rsidR="00330E44" w:rsidRDefault="00CF70BC" w:rsidP="00330E44">
      <w:pPr>
        <w:spacing w:after="0" w:line="360" w:lineRule="auto"/>
        <w:ind w:firstLine="709"/>
        <w:jc w:val="both"/>
        <w:rPr>
          <w:rFonts w:ascii="Times New Roman" w:hAnsi="Times New Roman" w:cs="Times New Roman"/>
          <w:sz w:val="28"/>
          <w:szCs w:val="28"/>
        </w:rPr>
      </w:pPr>
      <w:r w:rsidRPr="00CF70BC">
        <w:rPr>
          <w:rFonts w:ascii="Times New Roman" w:hAnsi="Times New Roman" w:cs="Times New Roman"/>
          <w:sz w:val="28"/>
          <w:szCs w:val="28"/>
        </w:rPr>
        <w:t xml:space="preserve">Значительный рост рынка </w:t>
      </w:r>
      <w:proofErr w:type="spellStart"/>
      <w:r w:rsidRPr="00CF70BC">
        <w:rPr>
          <w:rFonts w:ascii="Times New Roman" w:hAnsi="Times New Roman" w:cs="Times New Roman"/>
          <w:sz w:val="28"/>
          <w:szCs w:val="28"/>
        </w:rPr>
        <w:t>деривативов</w:t>
      </w:r>
      <w:proofErr w:type="spellEnd"/>
      <w:r w:rsidRPr="00CF70BC">
        <w:rPr>
          <w:rFonts w:ascii="Times New Roman" w:hAnsi="Times New Roman" w:cs="Times New Roman"/>
          <w:sz w:val="28"/>
          <w:szCs w:val="28"/>
        </w:rPr>
        <w:t xml:space="preserve">, отраженный в трехлетнем обзоре </w:t>
      </w:r>
      <w:proofErr w:type="spellStart"/>
      <w:r w:rsidRPr="00CF70BC">
        <w:rPr>
          <w:rFonts w:ascii="Times New Roman" w:hAnsi="Times New Roman" w:cs="Times New Roman"/>
          <w:sz w:val="28"/>
          <w:szCs w:val="28"/>
        </w:rPr>
        <w:t>деривативов</w:t>
      </w:r>
      <w:proofErr w:type="spellEnd"/>
      <w:r w:rsidRPr="00CF70BC">
        <w:rPr>
          <w:rFonts w:ascii="Times New Roman" w:hAnsi="Times New Roman" w:cs="Times New Roman"/>
          <w:sz w:val="28"/>
          <w:szCs w:val="28"/>
        </w:rPr>
        <w:t xml:space="preserve"> Банка международных расчетов (БМР), можно объяснить преимуществами, которые он дает компаниям, инвесторам и экономике в целом.</w:t>
      </w:r>
    </w:p>
    <w:p w14:paraId="3C01FD1A" w14:textId="376A93A8" w:rsidR="00330E44" w:rsidRDefault="00CF70BC" w:rsidP="00330E44">
      <w:pPr>
        <w:spacing w:after="0" w:line="360" w:lineRule="auto"/>
        <w:ind w:firstLine="709"/>
        <w:jc w:val="both"/>
        <w:rPr>
          <w:rFonts w:ascii="Times New Roman" w:hAnsi="Times New Roman" w:cs="Times New Roman"/>
          <w:sz w:val="28"/>
          <w:szCs w:val="28"/>
        </w:rPr>
      </w:pPr>
      <w:r w:rsidRPr="00CF70BC">
        <w:rPr>
          <w:rFonts w:ascii="Times New Roman" w:hAnsi="Times New Roman" w:cs="Times New Roman"/>
          <w:sz w:val="28"/>
          <w:szCs w:val="28"/>
        </w:rPr>
        <w:t xml:space="preserve">Прежде всего, следует отметить, что производные финансовые инструменты играют важную роль в процессе определения цены базового актива. </w:t>
      </w:r>
      <w:r w:rsidR="00330E44">
        <w:rPr>
          <w:rFonts w:ascii="Times New Roman" w:hAnsi="Times New Roman" w:cs="Times New Roman"/>
          <w:sz w:val="28"/>
          <w:szCs w:val="28"/>
        </w:rPr>
        <w:t>Р</w:t>
      </w:r>
      <w:r w:rsidRPr="00CF70BC">
        <w:rPr>
          <w:rFonts w:ascii="Times New Roman" w:hAnsi="Times New Roman" w:cs="Times New Roman"/>
          <w:sz w:val="28"/>
          <w:szCs w:val="28"/>
        </w:rPr>
        <w:t xml:space="preserve">ыночные цены </w:t>
      </w:r>
      <w:proofErr w:type="spellStart"/>
      <w:r w:rsidRPr="00CF70BC">
        <w:rPr>
          <w:rFonts w:ascii="Times New Roman" w:hAnsi="Times New Roman" w:cs="Times New Roman"/>
          <w:sz w:val="28"/>
          <w:szCs w:val="28"/>
        </w:rPr>
        <w:t>деривативов</w:t>
      </w:r>
      <w:proofErr w:type="spellEnd"/>
      <w:r w:rsidRPr="00CF70BC">
        <w:rPr>
          <w:rFonts w:ascii="Times New Roman" w:hAnsi="Times New Roman" w:cs="Times New Roman"/>
          <w:sz w:val="28"/>
          <w:szCs w:val="28"/>
        </w:rPr>
        <w:t xml:space="preserve"> быстро отражают новую информацию о </w:t>
      </w:r>
      <w:proofErr w:type="spellStart"/>
      <w:r w:rsidRPr="00CF70BC">
        <w:rPr>
          <w:rFonts w:ascii="Times New Roman" w:hAnsi="Times New Roman" w:cs="Times New Roman"/>
          <w:sz w:val="28"/>
          <w:szCs w:val="28"/>
        </w:rPr>
        <w:t>спотовой</w:t>
      </w:r>
      <w:proofErr w:type="spellEnd"/>
      <w:r w:rsidRPr="00CF70BC">
        <w:rPr>
          <w:rFonts w:ascii="Times New Roman" w:hAnsi="Times New Roman" w:cs="Times New Roman"/>
          <w:sz w:val="28"/>
          <w:szCs w:val="28"/>
        </w:rPr>
        <w:t xml:space="preserve"> цене базового актива, подчеркивая взаимосвязь между этими двумя рынками. Объяснение объясняется низкими затратами, присущими торговле </w:t>
      </w:r>
      <w:proofErr w:type="spellStart"/>
      <w:r w:rsidRPr="00CF70BC">
        <w:rPr>
          <w:rFonts w:ascii="Times New Roman" w:hAnsi="Times New Roman" w:cs="Times New Roman"/>
          <w:sz w:val="28"/>
          <w:szCs w:val="28"/>
        </w:rPr>
        <w:t>деривативами</w:t>
      </w:r>
      <w:proofErr w:type="spellEnd"/>
      <w:r w:rsidRPr="00CF70BC">
        <w:rPr>
          <w:rFonts w:ascii="Times New Roman" w:hAnsi="Times New Roman" w:cs="Times New Roman"/>
          <w:sz w:val="28"/>
          <w:szCs w:val="28"/>
        </w:rPr>
        <w:t xml:space="preserve"> (низкие транзакционные издержки, низкая маржа и быстрое выполнение операций), и предлагаемыми ими возможностями кредитного плеча, что согласуется с так называемой «гипотезой стоимости торговли», согласно котор</w:t>
      </w:r>
      <w:r w:rsidR="00330E44">
        <w:rPr>
          <w:rFonts w:ascii="Times New Roman" w:hAnsi="Times New Roman" w:cs="Times New Roman"/>
          <w:sz w:val="28"/>
          <w:szCs w:val="28"/>
        </w:rPr>
        <w:t>ой</w:t>
      </w:r>
      <w:r w:rsidRPr="00CF70BC">
        <w:rPr>
          <w:rFonts w:ascii="Times New Roman" w:hAnsi="Times New Roman" w:cs="Times New Roman"/>
          <w:sz w:val="28"/>
          <w:szCs w:val="28"/>
        </w:rPr>
        <w:t xml:space="preserve"> рынки с более низкими транзакционными издержками, как правило, быстрее реагируют на новую доступную информацию и, следовательно, сохранять лидерство в процессе ценообразования.</w:t>
      </w:r>
    </w:p>
    <w:p w14:paraId="5F8AB69A" w14:textId="3C524A87" w:rsidR="00CF70BC" w:rsidRPr="00CF70BC" w:rsidRDefault="00CF70BC" w:rsidP="00330E44">
      <w:pPr>
        <w:spacing w:after="0" w:line="360" w:lineRule="auto"/>
        <w:ind w:firstLine="709"/>
        <w:jc w:val="both"/>
        <w:rPr>
          <w:rFonts w:ascii="Times New Roman" w:hAnsi="Times New Roman" w:cs="Times New Roman"/>
          <w:sz w:val="28"/>
          <w:szCs w:val="28"/>
        </w:rPr>
      </w:pPr>
      <w:r w:rsidRPr="00CF70BC">
        <w:rPr>
          <w:rFonts w:ascii="Times New Roman" w:hAnsi="Times New Roman" w:cs="Times New Roman"/>
          <w:sz w:val="28"/>
          <w:szCs w:val="28"/>
        </w:rPr>
        <w:t xml:space="preserve">Другая причина, объясняющая, почему </w:t>
      </w:r>
      <w:proofErr w:type="spellStart"/>
      <w:r w:rsidRPr="00CF70BC">
        <w:rPr>
          <w:rFonts w:ascii="Times New Roman" w:hAnsi="Times New Roman" w:cs="Times New Roman"/>
          <w:sz w:val="28"/>
          <w:szCs w:val="28"/>
        </w:rPr>
        <w:t>деривативы</w:t>
      </w:r>
      <w:proofErr w:type="spellEnd"/>
      <w:r w:rsidRPr="00CF70BC">
        <w:rPr>
          <w:rFonts w:ascii="Times New Roman" w:hAnsi="Times New Roman" w:cs="Times New Roman"/>
          <w:sz w:val="28"/>
          <w:szCs w:val="28"/>
        </w:rPr>
        <w:t xml:space="preserve"> быстрее реагируют на новую информацию о базовом активе, заключается в отсутствии ограничений на короткие позиции, которые задерживают процесс корректировки цены на новую доступную информацию, связанную с отрицательными последствиями.</w:t>
      </w:r>
    </w:p>
    <w:p w14:paraId="4813AE0B" w14:textId="799E2AEB" w:rsidR="00330E44" w:rsidRDefault="00CF70BC" w:rsidP="00CF70BC">
      <w:pPr>
        <w:spacing w:after="0" w:line="360" w:lineRule="auto"/>
        <w:ind w:firstLine="709"/>
        <w:jc w:val="both"/>
        <w:rPr>
          <w:rFonts w:ascii="Times New Roman" w:hAnsi="Times New Roman" w:cs="Times New Roman"/>
          <w:sz w:val="28"/>
          <w:szCs w:val="28"/>
        </w:rPr>
      </w:pPr>
      <w:r w:rsidRPr="00CF70BC">
        <w:rPr>
          <w:rFonts w:ascii="Times New Roman" w:hAnsi="Times New Roman" w:cs="Times New Roman"/>
          <w:sz w:val="28"/>
          <w:szCs w:val="28"/>
        </w:rPr>
        <w:lastRenderedPageBreak/>
        <w:t xml:space="preserve">Еще одно преимущество, которое в значительной степени способствует перераспределению риска между агентами с помощью </w:t>
      </w:r>
      <w:proofErr w:type="spellStart"/>
      <w:r w:rsidRPr="00CF70BC">
        <w:rPr>
          <w:rFonts w:ascii="Times New Roman" w:hAnsi="Times New Roman" w:cs="Times New Roman"/>
          <w:sz w:val="28"/>
          <w:szCs w:val="28"/>
        </w:rPr>
        <w:t>деривативов</w:t>
      </w:r>
      <w:proofErr w:type="spellEnd"/>
      <w:r w:rsidRPr="00CF70BC">
        <w:rPr>
          <w:rFonts w:ascii="Times New Roman" w:hAnsi="Times New Roman" w:cs="Times New Roman"/>
          <w:sz w:val="28"/>
          <w:szCs w:val="28"/>
        </w:rPr>
        <w:t>, заключается в том, что эти инструменты предлагают возможности использования кредитного плеча при низких затратах, поскольку поток денег между сторонами контракта не является необходимым во время торговли, что позволяет инвесторам диверсифицировать свой портфель</w:t>
      </w:r>
      <w:r w:rsidR="00330E44">
        <w:rPr>
          <w:rFonts w:ascii="Times New Roman" w:hAnsi="Times New Roman" w:cs="Times New Roman"/>
          <w:sz w:val="28"/>
          <w:szCs w:val="28"/>
        </w:rPr>
        <w:t xml:space="preserve"> </w:t>
      </w:r>
      <w:r w:rsidRPr="00CF70BC">
        <w:rPr>
          <w:rFonts w:ascii="Times New Roman" w:hAnsi="Times New Roman" w:cs="Times New Roman"/>
          <w:sz w:val="28"/>
          <w:szCs w:val="28"/>
        </w:rPr>
        <w:t>и, как следствие, повышение ликвидности базового актива.</w:t>
      </w:r>
    </w:p>
    <w:p w14:paraId="6048618A" w14:textId="32ECF8DB" w:rsidR="00330E44" w:rsidRDefault="00CF70BC" w:rsidP="00CF70BC">
      <w:pPr>
        <w:spacing w:after="0" w:line="360" w:lineRule="auto"/>
        <w:ind w:firstLine="709"/>
        <w:jc w:val="both"/>
        <w:rPr>
          <w:rFonts w:ascii="Times New Roman" w:hAnsi="Times New Roman" w:cs="Times New Roman"/>
          <w:sz w:val="28"/>
          <w:szCs w:val="28"/>
        </w:rPr>
      </w:pPr>
      <w:r w:rsidRPr="00CF70BC">
        <w:rPr>
          <w:rFonts w:ascii="Times New Roman" w:hAnsi="Times New Roman" w:cs="Times New Roman"/>
          <w:sz w:val="28"/>
          <w:szCs w:val="28"/>
        </w:rPr>
        <w:t xml:space="preserve">Тем не менее, литература, связанная с кредитным плечом через </w:t>
      </w:r>
      <w:proofErr w:type="spellStart"/>
      <w:r w:rsidRPr="00CF70BC">
        <w:rPr>
          <w:rFonts w:ascii="Times New Roman" w:hAnsi="Times New Roman" w:cs="Times New Roman"/>
          <w:sz w:val="28"/>
          <w:szCs w:val="28"/>
        </w:rPr>
        <w:t>деривативы</w:t>
      </w:r>
      <w:proofErr w:type="spellEnd"/>
      <w:r w:rsidRPr="00CF70BC">
        <w:rPr>
          <w:rFonts w:ascii="Times New Roman" w:hAnsi="Times New Roman" w:cs="Times New Roman"/>
          <w:sz w:val="28"/>
          <w:szCs w:val="28"/>
        </w:rPr>
        <w:t>, также содержит больше предупреждений об этом механизме, поскольку он имеет тенденцию к увеличению цены базового актива, даже приводя к возможным пузырям активов и увеличению хрупкости финансовых активов. системы, вызывая возможный системный эффект.</w:t>
      </w:r>
    </w:p>
    <w:p w14:paraId="5C816096" w14:textId="62C5339F" w:rsidR="00330E44" w:rsidRDefault="00CF70BC" w:rsidP="00CF70BC">
      <w:pPr>
        <w:spacing w:after="0" w:line="360" w:lineRule="auto"/>
        <w:ind w:firstLine="709"/>
        <w:jc w:val="both"/>
        <w:rPr>
          <w:rFonts w:ascii="Times New Roman" w:hAnsi="Times New Roman" w:cs="Times New Roman"/>
          <w:sz w:val="28"/>
          <w:szCs w:val="28"/>
        </w:rPr>
      </w:pPr>
      <w:r w:rsidRPr="00CF70BC">
        <w:rPr>
          <w:rFonts w:ascii="Times New Roman" w:hAnsi="Times New Roman" w:cs="Times New Roman"/>
          <w:sz w:val="28"/>
          <w:szCs w:val="28"/>
        </w:rPr>
        <w:t xml:space="preserve">Высокая степень </w:t>
      </w:r>
      <w:proofErr w:type="spellStart"/>
      <w:r w:rsidRPr="00CF70BC">
        <w:rPr>
          <w:rFonts w:ascii="Times New Roman" w:hAnsi="Times New Roman" w:cs="Times New Roman"/>
          <w:sz w:val="28"/>
          <w:szCs w:val="28"/>
        </w:rPr>
        <w:t>левериджа</w:t>
      </w:r>
      <w:proofErr w:type="spellEnd"/>
      <w:r w:rsidRPr="00CF70BC">
        <w:rPr>
          <w:rFonts w:ascii="Times New Roman" w:hAnsi="Times New Roman" w:cs="Times New Roman"/>
          <w:sz w:val="28"/>
          <w:szCs w:val="28"/>
        </w:rPr>
        <w:t xml:space="preserve"> обуславливает возникновение мультипликативного эффекта, как в случае прибылей, так и убытков, поэтому удобно принимать предупредительные меры как дополнение к операциям с </w:t>
      </w:r>
      <w:proofErr w:type="spellStart"/>
      <w:r w:rsidRPr="00CF70BC">
        <w:rPr>
          <w:rFonts w:ascii="Times New Roman" w:hAnsi="Times New Roman" w:cs="Times New Roman"/>
          <w:sz w:val="28"/>
          <w:szCs w:val="28"/>
        </w:rPr>
        <w:t>левериджем</w:t>
      </w:r>
      <w:proofErr w:type="spellEnd"/>
      <w:r w:rsidRPr="00CF70BC">
        <w:rPr>
          <w:rFonts w:ascii="Times New Roman" w:hAnsi="Times New Roman" w:cs="Times New Roman"/>
          <w:sz w:val="28"/>
          <w:szCs w:val="28"/>
        </w:rPr>
        <w:t xml:space="preserve"> через эти инструменты</w:t>
      </w:r>
      <w:r w:rsidR="00CD1049">
        <w:rPr>
          <w:rFonts w:ascii="Times New Roman" w:hAnsi="Times New Roman" w:cs="Times New Roman"/>
          <w:sz w:val="28"/>
          <w:szCs w:val="28"/>
        </w:rPr>
        <w:t xml:space="preserve"> [9].</w:t>
      </w:r>
    </w:p>
    <w:p w14:paraId="0E288F2B" w14:textId="53D2E3FE" w:rsidR="00330E44" w:rsidRDefault="00CF70BC" w:rsidP="00CF70BC">
      <w:pPr>
        <w:spacing w:after="0" w:line="360" w:lineRule="auto"/>
        <w:ind w:firstLine="709"/>
        <w:jc w:val="both"/>
        <w:rPr>
          <w:rFonts w:ascii="Times New Roman" w:hAnsi="Times New Roman" w:cs="Times New Roman"/>
          <w:sz w:val="28"/>
          <w:szCs w:val="28"/>
        </w:rPr>
      </w:pPr>
      <w:r w:rsidRPr="00CF70BC">
        <w:rPr>
          <w:rFonts w:ascii="Times New Roman" w:hAnsi="Times New Roman" w:cs="Times New Roman"/>
          <w:sz w:val="28"/>
          <w:szCs w:val="28"/>
        </w:rPr>
        <w:t xml:space="preserve">Здесь следует отметить, что развитие рынка </w:t>
      </w:r>
      <w:proofErr w:type="spellStart"/>
      <w:r w:rsidRPr="00CF70BC">
        <w:rPr>
          <w:rFonts w:ascii="Times New Roman" w:hAnsi="Times New Roman" w:cs="Times New Roman"/>
          <w:sz w:val="28"/>
          <w:szCs w:val="28"/>
        </w:rPr>
        <w:t>деривативов</w:t>
      </w:r>
      <w:proofErr w:type="spellEnd"/>
      <w:r w:rsidRPr="00CF70BC">
        <w:rPr>
          <w:rFonts w:ascii="Times New Roman" w:hAnsi="Times New Roman" w:cs="Times New Roman"/>
          <w:sz w:val="28"/>
          <w:szCs w:val="28"/>
        </w:rPr>
        <w:t xml:space="preserve"> во всем мире потребовало от контролирующих органов внедрения жесткого регулирования, которое способствует стабильности финансовой системы с учетом рисков, связанных с проведением этих операций (кредитный риск, основная, ликвидная, юридическая и т. д.).</w:t>
      </w:r>
    </w:p>
    <w:p w14:paraId="53F5252B" w14:textId="2B4FECD8" w:rsidR="00330E44" w:rsidRDefault="00CF70BC" w:rsidP="00CF70BC">
      <w:pPr>
        <w:spacing w:after="0" w:line="360" w:lineRule="auto"/>
        <w:ind w:firstLine="709"/>
        <w:jc w:val="both"/>
        <w:rPr>
          <w:rFonts w:ascii="Times New Roman" w:hAnsi="Times New Roman" w:cs="Times New Roman"/>
          <w:sz w:val="28"/>
          <w:szCs w:val="28"/>
        </w:rPr>
      </w:pPr>
      <w:r w:rsidRPr="00CF70BC">
        <w:rPr>
          <w:rFonts w:ascii="Times New Roman" w:hAnsi="Times New Roman" w:cs="Times New Roman"/>
          <w:sz w:val="28"/>
          <w:szCs w:val="28"/>
        </w:rPr>
        <w:t>Кроме того, он направлен на устранение асимметрии информации и укрепление целостности рынка в рамках финансовой системы</w:t>
      </w:r>
      <w:r w:rsidR="00D51D18">
        <w:rPr>
          <w:rFonts w:ascii="Times New Roman" w:hAnsi="Times New Roman" w:cs="Times New Roman"/>
          <w:sz w:val="28"/>
          <w:szCs w:val="28"/>
        </w:rPr>
        <w:t xml:space="preserve"> [14].</w:t>
      </w:r>
    </w:p>
    <w:p w14:paraId="46C87A87" w14:textId="77777777" w:rsidR="00330E44" w:rsidRDefault="00CF70BC" w:rsidP="00CF70BC">
      <w:pPr>
        <w:spacing w:after="0" w:line="360" w:lineRule="auto"/>
        <w:ind w:firstLine="709"/>
        <w:jc w:val="both"/>
        <w:rPr>
          <w:rFonts w:ascii="Times New Roman" w:hAnsi="Times New Roman" w:cs="Times New Roman"/>
          <w:sz w:val="28"/>
          <w:szCs w:val="28"/>
        </w:rPr>
      </w:pPr>
      <w:r w:rsidRPr="00CF70BC">
        <w:rPr>
          <w:rFonts w:ascii="Times New Roman" w:hAnsi="Times New Roman" w:cs="Times New Roman"/>
          <w:sz w:val="28"/>
          <w:szCs w:val="28"/>
        </w:rPr>
        <w:t xml:space="preserve">Следует отметить, что развитие рынка </w:t>
      </w:r>
      <w:proofErr w:type="spellStart"/>
      <w:r w:rsidRPr="00CF70BC">
        <w:rPr>
          <w:rFonts w:ascii="Times New Roman" w:hAnsi="Times New Roman" w:cs="Times New Roman"/>
          <w:sz w:val="28"/>
          <w:szCs w:val="28"/>
        </w:rPr>
        <w:t>деривативов</w:t>
      </w:r>
      <w:proofErr w:type="spellEnd"/>
      <w:r w:rsidRPr="00CF70BC">
        <w:rPr>
          <w:rFonts w:ascii="Times New Roman" w:hAnsi="Times New Roman" w:cs="Times New Roman"/>
          <w:sz w:val="28"/>
          <w:szCs w:val="28"/>
        </w:rPr>
        <w:t xml:space="preserve"> во всем мире требует от контролирующих органов жесткого регулирования, которое способствует стабильности финансовой системы с учетом рисков, связанных с проведением этих операций (кредитный риск, основная сумма, ликвидность, юридический и др.). Кроме того, он направлен на устранение асимметрии информации и укрепление целостности рынка в рамках финансовой системы.</w:t>
      </w:r>
    </w:p>
    <w:p w14:paraId="2B5E7116" w14:textId="7C2B0273" w:rsidR="00702358" w:rsidRDefault="00330E44" w:rsidP="00CF70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CF70BC" w:rsidRPr="00CF70BC">
        <w:rPr>
          <w:rFonts w:ascii="Times New Roman" w:hAnsi="Times New Roman" w:cs="Times New Roman"/>
          <w:sz w:val="28"/>
          <w:szCs w:val="28"/>
        </w:rPr>
        <w:t xml:space="preserve">тоит упомянуть, что в сценарии экономии за счет масштаба затраты являются решающими в типе покрытия, которое компании приобретают с </w:t>
      </w:r>
      <w:r w:rsidR="00CF70BC" w:rsidRPr="00CF70BC">
        <w:rPr>
          <w:rFonts w:ascii="Times New Roman" w:hAnsi="Times New Roman" w:cs="Times New Roman"/>
          <w:sz w:val="28"/>
          <w:szCs w:val="28"/>
        </w:rPr>
        <w:lastRenderedPageBreak/>
        <w:t xml:space="preserve">помощью этих инструментов. Например, компании могут использовать долгосрочные валютные свопы для управления валютными рисками, распределенными по нескольким периодам и заранее известными (например, выплата долга, номинированного в иностранной валюте). </w:t>
      </w:r>
      <w:r>
        <w:rPr>
          <w:rFonts w:ascii="Times New Roman" w:hAnsi="Times New Roman" w:cs="Times New Roman"/>
          <w:sz w:val="28"/>
          <w:szCs w:val="28"/>
        </w:rPr>
        <w:t>К</w:t>
      </w:r>
      <w:r w:rsidR="00CF70BC" w:rsidRPr="00CF70BC">
        <w:rPr>
          <w:rFonts w:ascii="Times New Roman" w:hAnsi="Times New Roman" w:cs="Times New Roman"/>
          <w:sz w:val="28"/>
          <w:szCs w:val="28"/>
        </w:rPr>
        <w:t xml:space="preserve">омпании, использующие свопы , имеют статистически более высокий уровень долга в иностранной валюте, чем те компании, которые не используют валютные </w:t>
      </w:r>
      <w:proofErr w:type="spellStart"/>
      <w:r w:rsidR="00CF70BC" w:rsidRPr="00CF70BC">
        <w:rPr>
          <w:rFonts w:ascii="Times New Roman" w:hAnsi="Times New Roman" w:cs="Times New Roman"/>
          <w:sz w:val="28"/>
          <w:szCs w:val="28"/>
        </w:rPr>
        <w:t>деривативы</w:t>
      </w:r>
      <w:proofErr w:type="spellEnd"/>
      <w:r w:rsidR="00CF70BC" w:rsidRPr="00CF70BC">
        <w:rPr>
          <w:rFonts w:ascii="Times New Roman" w:hAnsi="Times New Roman" w:cs="Times New Roman"/>
          <w:sz w:val="28"/>
          <w:szCs w:val="28"/>
        </w:rPr>
        <w:t>. Напротив, форварды могут быть альтернативой с наименьшими затратами для частых краткосрочных операций, для которых время и сумма, подлежащая покрытию, заранее неизвестны (например, продажа товаров в иностранной валюте).</w:t>
      </w:r>
    </w:p>
    <w:p w14:paraId="190A0292" w14:textId="58E711FA" w:rsidR="00F06BAD" w:rsidRPr="001F4218" w:rsidRDefault="001F4218" w:rsidP="00CF70B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Подводя итог, следует сказать, что </w:t>
      </w:r>
      <w:proofErr w:type="spellStart"/>
      <w:r>
        <w:rPr>
          <w:rFonts w:ascii="Times New Roman" w:hAnsi="Times New Roman" w:cs="Times New Roman"/>
          <w:color w:val="000000" w:themeColor="text1"/>
          <w:sz w:val="28"/>
          <w:szCs w:val="28"/>
        </w:rPr>
        <w:t>деривативы</w:t>
      </w:r>
      <w:proofErr w:type="spellEnd"/>
      <w:r>
        <w:rPr>
          <w:rFonts w:ascii="Times New Roman" w:hAnsi="Times New Roman" w:cs="Times New Roman"/>
          <w:color w:val="000000" w:themeColor="text1"/>
          <w:sz w:val="28"/>
          <w:szCs w:val="28"/>
        </w:rPr>
        <w:t xml:space="preserve"> могут как застраховать </w:t>
      </w:r>
      <w:r w:rsidR="003E16DC">
        <w:rPr>
          <w:rFonts w:ascii="Times New Roman" w:hAnsi="Times New Roman" w:cs="Times New Roman"/>
          <w:color w:val="000000" w:themeColor="text1"/>
          <w:sz w:val="28"/>
          <w:szCs w:val="28"/>
        </w:rPr>
        <w:t xml:space="preserve">риски, </w:t>
      </w:r>
      <w:r w:rsidR="008C32A1">
        <w:rPr>
          <w:rFonts w:ascii="Times New Roman" w:hAnsi="Times New Roman" w:cs="Times New Roman"/>
          <w:color w:val="000000" w:themeColor="text1"/>
          <w:sz w:val="28"/>
          <w:szCs w:val="28"/>
        </w:rPr>
        <w:t xml:space="preserve">или привести к получению прибыли, так </w:t>
      </w:r>
      <w:r w:rsidR="0019178D">
        <w:rPr>
          <w:rFonts w:ascii="Times New Roman" w:hAnsi="Times New Roman" w:cs="Times New Roman"/>
          <w:color w:val="000000" w:themeColor="text1"/>
          <w:sz w:val="28"/>
          <w:szCs w:val="28"/>
        </w:rPr>
        <w:t>и быть убыточными</w:t>
      </w:r>
      <w:r w:rsidR="00A974DE">
        <w:rPr>
          <w:rFonts w:ascii="Times New Roman" w:hAnsi="Times New Roman" w:cs="Times New Roman"/>
          <w:color w:val="000000" w:themeColor="text1"/>
          <w:sz w:val="28"/>
          <w:szCs w:val="28"/>
        </w:rPr>
        <w:t xml:space="preserve">. ПФИ считаются рисковыми вложениями, а как известно, чем выше риск, </w:t>
      </w:r>
      <w:r w:rsidR="00D835D1">
        <w:rPr>
          <w:rFonts w:ascii="Times New Roman" w:hAnsi="Times New Roman" w:cs="Times New Roman"/>
          <w:color w:val="000000" w:themeColor="text1"/>
          <w:sz w:val="28"/>
          <w:szCs w:val="28"/>
        </w:rPr>
        <w:t xml:space="preserve">тем выше доходность. </w:t>
      </w:r>
    </w:p>
    <w:p w14:paraId="6A52B01A" w14:textId="77777777" w:rsidR="00702358" w:rsidRPr="00702358" w:rsidRDefault="00702358" w:rsidP="00702358">
      <w:pPr>
        <w:spacing w:after="0" w:line="360" w:lineRule="auto"/>
        <w:ind w:firstLine="709"/>
        <w:jc w:val="both"/>
        <w:rPr>
          <w:rFonts w:ascii="Times New Roman" w:hAnsi="Times New Roman" w:cs="Times New Roman"/>
          <w:sz w:val="28"/>
          <w:szCs w:val="28"/>
        </w:rPr>
      </w:pPr>
    </w:p>
    <w:p w14:paraId="163F249D" w14:textId="013AC2C5" w:rsidR="00702358" w:rsidRPr="00CF70BC" w:rsidRDefault="00702358" w:rsidP="00702358">
      <w:pPr>
        <w:spacing w:after="0" w:line="360" w:lineRule="auto"/>
        <w:ind w:firstLine="709"/>
        <w:jc w:val="both"/>
        <w:rPr>
          <w:rFonts w:ascii="Times New Roman" w:hAnsi="Times New Roman" w:cs="Times New Roman"/>
          <w:b/>
          <w:bCs/>
          <w:sz w:val="28"/>
          <w:szCs w:val="28"/>
        </w:rPr>
      </w:pPr>
      <w:r w:rsidRPr="00CF70BC">
        <w:rPr>
          <w:rFonts w:ascii="Times New Roman" w:hAnsi="Times New Roman" w:cs="Times New Roman"/>
          <w:b/>
          <w:bCs/>
          <w:sz w:val="28"/>
          <w:szCs w:val="28"/>
        </w:rPr>
        <w:t xml:space="preserve">1.2 Виды валютных </w:t>
      </w:r>
      <w:proofErr w:type="spellStart"/>
      <w:r w:rsidRPr="00CF70BC">
        <w:rPr>
          <w:rFonts w:ascii="Times New Roman" w:hAnsi="Times New Roman" w:cs="Times New Roman"/>
          <w:b/>
          <w:bCs/>
          <w:sz w:val="28"/>
          <w:szCs w:val="28"/>
        </w:rPr>
        <w:t>деривативов</w:t>
      </w:r>
      <w:proofErr w:type="spellEnd"/>
      <w:r w:rsidRPr="00CF70BC">
        <w:rPr>
          <w:rFonts w:ascii="Times New Roman" w:hAnsi="Times New Roman" w:cs="Times New Roman"/>
          <w:b/>
          <w:bCs/>
          <w:sz w:val="28"/>
          <w:szCs w:val="28"/>
        </w:rPr>
        <w:t xml:space="preserve"> и их особенности</w:t>
      </w:r>
    </w:p>
    <w:p w14:paraId="464EB391" w14:textId="544B9DC3" w:rsidR="00702358" w:rsidRDefault="00702358" w:rsidP="00702358">
      <w:pPr>
        <w:spacing w:after="0" w:line="360" w:lineRule="auto"/>
        <w:ind w:firstLine="709"/>
        <w:jc w:val="both"/>
        <w:rPr>
          <w:rFonts w:ascii="Times New Roman" w:hAnsi="Times New Roman" w:cs="Times New Roman"/>
          <w:sz w:val="28"/>
          <w:szCs w:val="28"/>
        </w:rPr>
      </w:pPr>
    </w:p>
    <w:p w14:paraId="42869AA2" w14:textId="4CC3A256" w:rsidR="00576869" w:rsidRPr="00576869" w:rsidRDefault="00576869" w:rsidP="0081459A">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 xml:space="preserve">Валютные </w:t>
      </w:r>
      <w:proofErr w:type="spellStart"/>
      <w:r w:rsidRPr="00576869">
        <w:rPr>
          <w:rFonts w:ascii="Times New Roman" w:hAnsi="Times New Roman" w:cs="Times New Roman"/>
          <w:sz w:val="28"/>
          <w:szCs w:val="28"/>
        </w:rPr>
        <w:t>деривативы</w:t>
      </w:r>
      <w:proofErr w:type="spellEnd"/>
      <w:r w:rsidRPr="00576869">
        <w:rPr>
          <w:rFonts w:ascii="Times New Roman" w:hAnsi="Times New Roman" w:cs="Times New Roman"/>
          <w:sz w:val="28"/>
          <w:szCs w:val="28"/>
        </w:rPr>
        <w:t xml:space="preserve"> </w:t>
      </w:r>
      <w:r w:rsidR="0081459A">
        <w:rPr>
          <w:rFonts w:ascii="Times New Roman" w:hAnsi="Times New Roman" w:cs="Times New Roman"/>
          <w:sz w:val="28"/>
          <w:szCs w:val="28"/>
        </w:rPr>
        <w:t>–</w:t>
      </w:r>
      <w:r w:rsidRPr="00576869">
        <w:rPr>
          <w:rFonts w:ascii="Times New Roman" w:hAnsi="Times New Roman" w:cs="Times New Roman"/>
          <w:sz w:val="28"/>
          <w:szCs w:val="28"/>
        </w:rPr>
        <w:t xml:space="preserve"> это инструменты, базисным активом которых является валюта. Валютные </w:t>
      </w:r>
      <w:proofErr w:type="spellStart"/>
      <w:r w:rsidRPr="00576869">
        <w:rPr>
          <w:rFonts w:ascii="Times New Roman" w:hAnsi="Times New Roman" w:cs="Times New Roman"/>
          <w:sz w:val="28"/>
          <w:szCs w:val="28"/>
        </w:rPr>
        <w:t>деривативы</w:t>
      </w:r>
      <w:proofErr w:type="spellEnd"/>
      <w:r w:rsidRPr="00576869">
        <w:rPr>
          <w:rFonts w:ascii="Times New Roman" w:hAnsi="Times New Roman" w:cs="Times New Roman"/>
          <w:sz w:val="28"/>
          <w:szCs w:val="28"/>
        </w:rPr>
        <w:t xml:space="preserve"> делятся на так называемые ванильные (базовые) </w:t>
      </w:r>
      <w:proofErr w:type="spellStart"/>
      <w:r w:rsidRPr="00576869">
        <w:rPr>
          <w:rFonts w:ascii="Times New Roman" w:hAnsi="Times New Roman" w:cs="Times New Roman"/>
          <w:sz w:val="28"/>
          <w:szCs w:val="28"/>
        </w:rPr>
        <w:t>деривативы</w:t>
      </w:r>
      <w:proofErr w:type="spellEnd"/>
      <w:r w:rsidRPr="00576869">
        <w:rPr>
          <w:rFonts w:ascii="Times New Roman" w:hAnsi="Times New Roman" w:cs="Times New Roman"/>
          <w:sz w:val="28"/>
          <w:szCs w:val="28"/>
        </w:rPr>
        <w:t xml:space="preserve"> (к ним относятся валютные форварды, фьючерсы, опционы и свопы) и экзотические инструменты, отличающиеся неординарными условиями. К основным инструментам внебиржевого валютного рынка относятся форварды и свопы</w:t>
      </w:r>
      <w:r w:rsidR="00D8173B">
        <w:rPr>
          <w:rFonts w:ascii="Times New Roman" w:hAnsi="Times New Roman" w:cs="Times New Roman"/>
          <w:sz w:val="28"/>
          <w:szCs w:val="28"/>
        </w:rPr>
        <w:t xml:space="preserve"> [6].</w:t>
      </w:r>
    </w:p>
    <w:p w14:paraId="7A327413" w14:textId="46D4E5D0" w:rsidR="00576869" w:rsidRPr="00576869" w:rsidRDefault="00576869" w:rsidP="0081459A">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 xml:space="preserve">Форвардный валютный контракт (от </w:t>
      </w:r>
      <w:proofErr w:type="spellStart"/>
      <w:r w:rsidRPr="00576869">
        <w:rPr>
          <w:rFonts w:ascii="Times New Roman" w:hAnsi="Times New Roman" w:cs="Times New Roman"/>
          <w:sz w:val="28"/>
          <w:szCs w:val="28"/>
        </w:rPr>
        <w:t>англ</w:t>
      </w:r>
      <w:proofErr w:type="spellEnd"/>
      <w:r w:rsidRPr="00576869">
        <w:rPr>
          <w:rFonts w:ascii="Times New Roman" w:hAnsi="Times New Roman" w:cs="Times New Roman"/>
          <w:sz w:val="28"/>
          <w:szCs w:val="28"/>
        </w:rPr>
        <w:t xml:space="preserve">, </w:t>
      </w:r>
      <w:r w:rsidRPr="00576869">
        <w:rPr>
          <w:rFonts w:ascii="Times New Roman" w:hAnsi="Times New Roman" w:cs="Times New Roman"/>
          <w:sz w:val="28"/>
          <w:szCs w:val="28"/>
          <w:lang w:val="en-US"/>
        </w:rPr>
        <w:t>forward</w:t>
      </w:r>
      <w:r w:rsidRPr="00576869">
        <w:rPr>
          <w:rFonts w:ascii="Times New Roman" w:hAnsi="Times New Roman" w:cs="Times New Roman"/>
          <w:sz w:val="28"/>
          <w:szCs w:val="28"/>
        </w:rPr>
        <w:t xml:space="preserve"> </w:t>
      </w:r>
      <w:r w:rsidR="0081459A">
        <w:rPr>
          <w:rFonts w:ascii="Times New Roman" w:hAnsi="Times New Roman" w:cs="Times New Roman"/>
          <w:sz w:val="28"/>
          <w:szCs w:val="28"/>
        </w:rPr>
        <w:t>–</w:t>
      </w:r>
      <w:r w:rsidRPr="00576869">
        <w:rPr>
          <w:rFonts w:ascii="Times New Roman" w:hAnsi="Times New Roman" w:cs="Times New Roman"/>
          <w:sz w:val="28"/>
          <w:szCs w:val="28"/>
        </w:rPr>
        <w:t xml:space="preserve"> вперед) </w:t>
      </w:r>
      <w:r w:rsidR="0081459A">
        <w:rPr>
          <w:rFonts w:ascii="Times New Roman" w:hAnsi="Times New Roman" w:cs="Times New Roman"/>
          <w:sz w:val="28"/>
          <w:szCs w:val="28"/>
        </w:rPr>
        <w:t>–</w:t>
      </w:r>
      <w:r w:rsidRPr="00576869">
        <w:rPr>
          <w:rFonts w:ascii="Times New Roman" w:hAnsi="Times New Roman" w:cs="Times New Roman"/>
          <w:sz w:val="28"/>
          <w:szCs w:val="28"/>
        </w:rPr>
        <w:t xml:space="preserve"> это обязательное для исполнения соглашение между контрагентами о будущей поставке определенной суммы иностранной валюты. Все условия сделки стороны обговаривают в момент заключения контракта, его исполнение осуществляется в соответствии с этими условиями, в назначенный срок. Условия содержат одну фиксированную дату поставки, а не ряд возможных. Лицо, обязанное поставить соответствующую валюту по контракту, открывает короткую позицию, т.е. продает контракт. Лицо, покупающее валюту по </w:t>
      </w:r>
      <w:r w:rsidRPr="00576869">
        <w:rPr>
          <w:rFonts w:ascii="Times New Roman" w:hAnsi="Times New Roman" w:cs="Times New Roman"/>
          <w:sz w:val="28"/>
          <w:szCs w:val="28"/>
        </w:rPr>
        <w:lastRenderedPageBreak/>
        <w:t>контракту, открывает длинную позицию, т.е. покупает контракт. Форвардную операцию отличают следующие особенности:</w:t>
      </w:r>
    </w:p>
    <w:p w14:paraId="7C9BFE26" w14:textId="5003AFF5" w:rsidR="00576869" w:rsidRPr="00576869" w:rsidRDefault="0081459A" w:rsidP="005768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6869" w:rsidRPr="00576869">
        <w:rPr>
          <w:rFonts w:ascii="Times New Roman" w:hAnsi="Times New Roman" w:cs="Times New Roman"/>
          <w:sz w:val="28"/>
          <w:szCs w:val="28"/>
        </w:rPr>
        <w:t>обменный курс фиксируется в момент заключения контракта, а валюта переходит к покупателю через определенный срок;</w:t>
      </w:r>
    </w:p>
    <w:p w14:paraId="077204C0" w14:textId="559EEF44" w:rsidR="00576869" w:rsidRPr="00576869" w:rsidRDefault="0081459A" w:rsidP="005768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6869" w:rsidRPr="00576869">
        <w:rPr>
          <w:rFonts w:ascii="Times New Roman" w:hAnsi="Times New Roman" w:cs="Times New Roman"/>
          <w:sz w:val="28"/>
          <w:szCs w:val="28"/>
        </w:rPr>
        <w:t>в момент заключения сделки стороны не несут никаких издержек, все расчеты осуществляются только по истечении срока действия контракта;</w:t>
      </w:r>
    </w:p>
    <w:p w14:paraId="3C2CE07D" w14:textId="4B02913C" w:rsidR="00576869" w:rsidRPr="00576869" w:rsidRDefault="0081459A" w:rsidP="005768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6869" w:rsidRPr="00576869">
        <w:rPr>
          <w:rFonts w:ascii="Times New Roman" w:hAnsi="Times New Roman" w:cs="Times New Roman"/>
          <w:sz w:val="28"/>
          <w:szCs w:val="28"/>
        </w:rPr>
        <w:t>форвардные операции могут совершаться на любой срок от 3 дней до 5 лет, однако одними из наиболее распространенных являются сроки 1, 3, б и 12 месяцев</w:t>
      </w:r>
      <w:r w:rsidR="001F155C">
        <w:rPr>
          <w:rFonts w:ascii="Times New Roman" w:hAnsi="Times New Roman" w:cs="Times New Roman"/>
          <w:sz w:val="28"/>
          <w:szCs w:val="28"/>
        </w:rPr>
        <w:t xml:space="preserve"> [15].</w:t>
      </w:r>
    </w:p>
    <w:p w14:paraId="25C25001" w14:textId="677F378A" w:rsidR="00576869" w:rsidRPr="00576869" w:rsidRDefault="00576869" w:rsidP="0081459A">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Форвардный контракт обязателен для исполнения, стандартной формы форвардного контракта не существует. Форвардные контракты заключаются с целью осуществления реальной покупки или продажи валюты, в том числе и для страхования продавца от изменения курса. По большей части форвардные операции завершаются поставкой иностранной валюты. Однако исполнение форвардного контракта возможно и без поставки иностранной валюты, с помощью проведения офсетной сделки на дату исполнения форвардного контракта. Офсетная сделка — противоположная сделка, когда продавец осуществляет покупку валюты, а покупатель продает валюту. Заключение контракта не требует от контрагента расходов. Но контрагент не застрахован от неисполнения обязательств со стороны партнера. К недостаткам форвардного контракта можно отнести возможность для одного из участников после выплаты неустойки за неисполнение контракта отказаться от своих обязательств. Поэтому форвардные сделки заключаются в основном между деловыми партнерами (чаще всего — банками и их клиентами) или между крупнейшими и наиболее надежными банками.</w:t>
      </w:r>
    </w:p>
    <w:p w14:paraId="21E54C53" w14:textId="254F1FAF" w:rsidR="00576869" w:rsidRPr="00576869" w:rsidRDefault="00576869" w:rsidP="0081459A">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Форвардные контракты заключаются вне биржи, вторичный рынок для них либо узок, либо вообще отсутствует, так как трудно найти еще одно лицо, интересы которого совпадали бы с интересами участников контракта. Ликвидировать позицию по контракту одна из сторон может лишь с согласия контрагента.</w:t>
      </w:r>
    </w:p>
    <w:p w14:paraId="6DA5E246" w14:textId="77777777" w:rsidR="0081459A" w:rsidRDefault="00576869" w:rsidP="0081459A">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lastRenderedPageBreak/>
        <w:t>Валютный своп представляет комбинацию двух противоположных конверсионных сделок на одинаковую сумму с разными датами поставки валюты. Выделяют следующие виды свопов в зависимости от комбинации сделок:</w:t>
      </w:r>
    </w:p>
    <w:p w14:paraId="266814C8" w14:textId="77777777" w:rsidR="0081459A" w:rsidRDefault="0081459A" w:rsidP="008145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76869">
        <w:rPr>
          <w:rFonts w:ascii="Times New Roman" w:hAnsi="Times New Roman" w:cs="Times New Roman"/>
          <w:sz w:val="28"/>
          <w:szCs w:val="28"/>
        </w:rPr>
        <w:t xml:space="preserve"> </w:t>
      </w:r>
      <w:r w:rsidR="00576869" w:rsidRPr="00576869">
        <w:rPr>
          <w:rFonts w:ascii="Times New Roman" w:hAnsi="Times New Roman" w:cs="Times New Roman"/>
          <w:sz w:val="28"/>
          <w:szCs w:val="28"/>
        </w:rPr>
        <w:t>«купил/продал» (</w:t>
      </w:r>
      <w:r w:rsidR="00576869" w:rsidRPr="00576869">
        <w:rPr>
          <w:rFonts w:ascii="Times New Roman" w:hAnsi="Times New Roman" w:cs="Times New Roman"/>
          <w:sz w:val="28"/>
          <w:szCs w:val="28"/>
          <w:lang w:val="en-US"/>
        </w:rPr>
        <w:t>buy</w:t>
      </w:r>
      <w:r w:rsidR="00576869" w:rsidRPr="00576869">
        <w:rPr>
          <w:rFonts w:ascii="Times New Roman" w:hAnsi="Times New Roman" w:cs="Times New Roman"/>
          <w:sz w:val="28"/>
          <w:szCs w:val="28"/>
        </w:rPr>
        <w:t xml:space="preserve"> </w:t>
      </w:r>
      <w:r w:rsidR="00576869" w:rsidRPr="00576869">
        <w:rPr>
          <w:rFonts w:ascii="Times New Roman" w:hAnsi="Times New Roman" w:cs="Times New Roman"/>
          <w:sz w:val="28"/>
          <w:szCs w:val="28"/>
          <w:lang w:val="en-US"/>
        </w:rPr>
        <w:t>and</w:t>
      </w:r>
      <w:r w:rsidR="00576869" w:rsidRPr="00576869">
        <w:rPr>
          <w:rFonts w:ascii="Times New Roman" w:hAnsi="Times New Roman" w:cs="Times New Roman"/>
          <w:sz w:val="28"/>
          <w:szCs w:val="28"/>
        </w:rPr>
        <w:t xml:space="preserve"> </w:t>
      </w:r>
      <w:r w:rsidR="00576869" w:rsidRPr="00576869">
        <w:rPr>
          <w:rFonts w:ascii="Times New Roman" w:hAnsi="Times New Roman" w:cs="Times New Roman"/>
          <w:sz w:val="28"/>
          <w:szCs w:val="28"/>
          <w:lang w:val="en-US"/>
        </w:rPr>
        <w:t>sell</w:t>
      </w:r>
      <w:r w:rsidR="00576869" w:rsidRPr="00576869">
        <w:rPr>
          <w:rFonts w:ascii="Times New Roman" w:hAnsi="Times New Roman" w:cs="Times New Roman"/>
          <w:sz w:val="28"/>
          <w:szCs w:val="28"/>
        </w:rPr>
        <w:t xml:space="preserve"> </w:t>
      </w:r>
      <w:r w:rsidR="00576869" w:rsidRPr="00576869">
        <w:rPr>
          <w:rFonts w:ascii="Times New Roman" w:hAnsi="Times New Roman" w:cs="Times New Roman"/>
          <w:sz w:val="28"/>
          <w:szCs w:val="28"/>
          <w:lang w:val="en-US"/>
        </w:rPr>
        <w:t>swap</w:t>
      </w:r>
      <w:r w:rsidR="00576869" w:rsidRPr="00576869">
        <w:rPr>
          <w:rFonts w:ascii="Times New Roman" w:hAnsi="Times New Roman" w:cs="Times New Roman"/>
          <w:sz w:val="28"/>
          <w:szCs w:val="28"/>
        </w:rPr>
        <w:t xml:space="preserve">) </w:t>
      </w:r>
      <w:r>
        <w:rPr>
          <w:rFonts w:ascii="Times New Roman" w:hAnsi="Times New Roman" w:cs="Times New Roman"/>
          <w:sz w:val="28"/>
          <w:szCs w:val="28"/>
        </w:rPr>
        <w:t>–</w:t>
      </w:r>
      <w:r w:rsidR="00576869" w:rsidRPr="00576869">
        <w:rPr>
          <w:rFonts w:ascii="Times New Roman" w:hAnsi="Times New Roman" w:cs="Times New Roman"/>
          <w:sz w:val="28"/>
          <w:szCs w:val="28"/>
        </w:rPr>
        <w:t xml:space="preserve"> в этом случае первой сделкой является покупка валюты, а более отдаленной </w:t>
      </w:r>
      <w:r>
        <w:rPr>
          <w:rFonts w:ascii="Times New Roman" w:hAnsi="Times New Roman" w:cs="Times New Roman"/>
          <w:sz w:val="28"/>
          <w:szCs w:val="28"/>
        </w:rPr>
        <w:t>–</w:t>
      </w:r>
      <w:r w:rsidR="00576869" w:rsidRPr="00576869">
        <w:rPr>
          <w:rFonts w:ascii="Times New Roman" w:hAnsi="Times New Roman" w:cs="Times New Roman"/>
          <w:sz w:val="28"/>
          <w:szCs w:val="28"/>
        </w:rPr>
        <w:t xml:space="preserve"> продажа валюты;</w:t>
      </w:r>
    </w:p>
    <w:p w14:paraId="7FF12C23" w14:textId="53EC24DD" w:rsidR="00576869" w:rsidRPr="00576869" w:rsidRDefault="0081459A" w:rsidP="008145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76869">
        <w:rPr>
          <w:rFonts w:ascii="Times New Roman" w:hAnsi="Times New Roman" w:cs="Times New Roman"/>
          <w:sz w:val="28"/>
          <w:szCs w:val="28"/>
        </w:rPr>
        <w:t xml:space="preserve"> </w:t>
      </w:r>
      <w:r w:rsidR="00576869" w:rsidRPr="00576869">
        <w:rPr>
          <w:rFonts w:ascii="Times New Roman" w:hAnsi="Times New Roman" w:cs="Times New Roman"/>
          <w:sz w:val="28"/>
          <w:szCs w:val="28"/>
        </w:rPr>
        <w:t>«</w:t>
      </w:r>
      <w:r>
        <w:rPr>
          <w:rFonts w:ascii="Times New Roman" w:hAnsi="Times New Roman" w:cs="Times New Roman"/>
          <w:sz w:val="28"/>
          <w:szCs w:val="28"/>
        </w:rPr>
        <w:t>п</w:t>
      </w:r>
      <w:r w:rsidR="00576869" w:rsidRPr="00576869">
        <w:rPr>
          <w:rFonts w:ascii="Times New Roman" w:hAnsi="Times New Roman" w:cs="Times New Roman"/>
          <w:sz w:val="28"/>
          <w:szCs w:val="28"/>
        </w:rPr>
        <w:t xml:space="preserve">родал/купил» </w:t>
      </w:r>
      <w:r w:rsidRPr="0081459A">
        <w:rPr>
          <w:rFonts w:ascii="Times New Roman" w:hAnsi="Times New Roman" w:cs="Times New Roman"/>
          <w:sz w:val="28"/>
          <w:szCs w:val="28"/>
        </w:rPr>
        <w:t>(</w:t>
      </w:r>
      <w:r w:rsidR="00576869" w:rsidRPr="00576869">
        <w:rPr>
          <w:rFonts w:ascii="Times New Roman" w:hAnsi="Times New Roman" w:cs="Times New Roman"/>
          <w:sz w:val="28"/>
          <w:szCs w:val="28"/>
          <w:lang w:val="en-US"/>
        </w:rPr>
        <w:t>sell</w:t>
      </w:r>
      <w:r w:rsidR="00576869" w:rsidRPr="00576869">
        <w:rPr>
          <w:rFonts w:ascii="Times New Roman" w:hAnsi="Times New Roman" w:cs="Times New Roman"/>
          <w:sz w:val="28"/>
          <w:szCs w:val="28"/>
        </w:rPr>
        <w:t xml:space="preserve"> </w:t>
      </w:r>
      <w:r w:rsidR="00576869" w:rsidRPr="00576869">
        <w:rPr>
          <w:rFonts w:ascii="Times New Roman" w:hAnsi="Times New Roman" w:cs="Times New Roman"/>
          <w:sz w:val="28"/>
          <w:szCs w:val="28"/>
          <w:lang w:val="en-US"/>
        </w:rPr>
        <w:t>and</w:t>
      </w:r>
      <w:r w:rsidR="00576869" w:rsidRPr="00576869">
        <w:rPr>
          <w:rFonts w:ascii="Times New Roman" w:hAnsi="Times New Roman" w:cs="Times New Roman"/>
          <w:sz w:val="28"/>
          <w:szCs w:val="28"/>
        </w:rPr>
        <w:t xml:space="preserve"> </w:t>
      </w:r>
      <w:r w:rsidR="00576869" w:rsidRPr="00576869">
        <w:rPr>
          <w:rFonts w:ascii="Times New Roman" w:hAnsi="Times New Roman" w:cs="Times New Roman"/>
          <w:sz w:val="28"/>
          <w:szCs w:val="28"/>
          <w:lang w:val="en-US"/>
        </w:rPr>
        <w:t>buy</w:t>
      </w:r>
      <w:r w:rsidR="00576869" w:rsidRPr="00576869">
        <w:rPr>
          <w:rFonts w:ascii="Times New Roman" w:hAnsi="Times New Roman" w:cs="Times New Roman"/>
          <w:sz w:val="28"/>
          <w:szCs w:val="28"/>
        </w:rPr>
        <w:t xml:space="preserve"> </w:t>
      </w:r>
      <w:r w:rsidR="00576869" w:rsidRPr="00576869">
        <w:rPr>
          <w:rFonts w:ascii="Times New Roman" w:hAnsi="Times New Roman" w:cs="Times New Roman"/>
          <w:sz w:val="28"/>
          <w:szCs w:val="28"/>
          <w:lang w:val="en-US"/>
        </w:rPr>
        <w:t>swap</w:t>
      </w:r>
      <w:r w:rsidR="00576869" w:rsidRPr="00576869">
        <w:rPr>
          <w:rFonts w:ascii="Times New Roman" w:hAnsi="Times New Roman" w:cs="Times New Roman"/>
          <w:sz w:val="28"/>
          <w:szCs w:val="28"/>
        </w:rPr>
        <w:t xml:space="preserve">) </w:t>
      </w:r>
      <w:r>
        <w:rPr>
          <w:rFonts w:ascii="Times New Roman" w:hAnsi="Times New Roman" w:cs="Times New Roman"/>
          <w:sz w:val="28"/>
          <w:szCs w:val="28"/>
        </w:rPr>
        <w:t>–</w:t>
      </w:r>
      <w:r w:rsidR="00576869" w:rsidRPr="00576869">
        <w:rPr>
          <w:rFonts w:ascii="Times New Roman" w:hAnsi="Times New Roman" w:cs="Times New Roman"/>
          <w:sz w:val="28"/>
          <w:szCs w:val="28"/>
        </w:rPr>
        <w:t xml:space="preserve"> ближней сделкой является продажа валюты, а более отдаленной </w:t>
      </w:r>
      <w:r>
        <w:rPr>
          <w:rFonts w:ascii="Times New Roman" w:hAnsi="Times New Roman" w:cs="Times New Roman"/>
          <w:sz w:val="28"/>
          <w:szCs w:val="28"/>
        </w:rPr>
        <w:t>–</w:t>
      </w:r>
      <w:r w:rsidR="00576869" w:rsidRPr="00576869">
        <w:rPr>
          <w:rFonts w:ascii="Times New Roman" w:hAnsi="Times New Roman" w:cs="Times New Roman"/>
          <w:sz w:val="28"/>
          <w:szCs w:val="28"/>
        </w:rPr>
        <w:t xml:space="preserve"> покупка валюты.</w:t>
      </w:r>
    </w:p>
    <w:p w14:paraId="7BE1DADB" w14:textId="01A7198A" w:rsidR="00576869" w:rsidRPr="00576869" w:rsidRDefault="00576869" w:rsidP="0081459A">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 xml:space="preserve">Преимущественно валютные свопы осуществляются с одним и тем же контрагентом, т.е. и покупка, и обратная ей продажа валюты совершаются с одним банком. Такая операция называется чистый своп </w:t>
      </w:r>
      <w:r w:rsidR="0081459A" w:rsidRPr="0081459A">
        <w:rPr>
          <w:rFonts w:ascii="Times New Roman" w:hAnsi="Times New Roman" w:cs="Times New Roman"/>
          <w:sz w:val="28"/>
          <w:szCs w:val="28"/>
        </w:rPr>
        <w:t>(</w:t>
      </w:r>
      <w:r w:rsidRPr="00576869">
        <w:rPr>
          <w:rFonts w:ascii="Times New Roman" w:hAnsi="Times New Roman" w:cs="Times New Roman"/>
          <w:sz w:val="28"/>
          <w:szCs w:val="28"/>
          <w:lang w:val="en-US"/>
        </w:rPr>
        <w:t>pure</w:t>
      </w:r>
      <w:r w:rsidRPr="00576869">
        <w:rPr>
          <w:rFonts w:ascii="Times New Roman" w:hAnsi="Times New Roman" w:cs="Times New Roman"/>
          <w:sz w:val="28"/>
          <w:szCs w:val="28"/>
        </w:rPr>
        <w:t xml:space="preserve"> </w:t>
      </w:r>
      <w:r w:rsidRPr="00576869">
        <w:rPr>
          <w:rFonts w:ascii="Times New Roman" w:hAnsi="Times New Roman" w:cs="Times New Roman"/>
          <w:sz w:val="28"/>
          <w:szCs w:val="28"/>
          <w:lang w:val="en-US"/>
        </w:rPr>
        <w:t>swap</w:t>
      </w:r>
      <w:r w:rsidRPr="00576869">
        <w:rPr>
          <w:rFonts w:ascii="Times New Roman" w:hAnsi="Times New Roman" w:cs="Times New Roman"/>
          <w:sz w:val="28"/>
          <w:szCs w:val="28"/>
        </w:rPr>
        <w:t xml:space="preserve">). Также можно выделить сконструированный своп </w:t>
      </w:r>
      <w:r w:rsidR="0081459A" w:rsidRPr="0081459A">
        <w:rPr>
          <w:rFonts w:ascii="Times New Roman" w:hAnsi="Times New Roman" w:cs="Times New Roman"/>
          <w:sz w:val="28"/>
          <w:szCs w:val="28"/>
        </w:rPr>
        <w:t>(</w:t>
      </w:r>
      <w:r w:rsidRPr="00576869">
        <w:rPr>
          <w:rFonts w:ascii="Times New Roman" w:hAnsi="Times New Roman" w:cs="Times New Roman"/>
          <w:sz w:val="28"/>
          <w:szCs w:val="28"/>
          <w:lang w:val="en-US"/>
        </w:rPr>
        <w:t>engineered</w:t>
      </w:r>
      <w:r w:rsidRPr="00576869">
        <w:rPr>
          <w:rFonts w:ascii="Times New Roman" w:hAnsi="Times New Roman" w:cs="Times New Roman"/>
          <w:sz w:val="28"/>
          <w:szCs w:val="28"/>
        </w:rPr>
        <w:t xml:space="preserve"> </w:t>
      </w:r>
      <w:r w:rsidRPr="00576869">
        <w:rPr>
          <w:rFonts w:ascii="Times New Roman" w:hAnsi="Times New Roman" w:cs="Times New Roman"/>
          <w:sz w:val="28"/>
          <w:szCs w:val="28"/>
          <w:lang w:val="en-US"/>
        </w:rPr>
        <w:t>swap</w:t>
      </w:r>
      <w:r w:rsidRPr="00576869">
        <w:rPr>
          <w:rFonts w:ascii="Times New Roman" w:hAnsi="Times New Roman" w:cs="Times New Roman"/>
          <w:sz w:val="28"/>
          <w:szCs w:val="28"/>
        </w:rPr>
        <w:t xml:space="preserve">) </w:t>
      </w:r>
      <w:r w:rsidR="0081459A">
        <w:rPr>
          <w:rFonts w:ascii="Times New Roman" w:hAnsi="Times New Roman" w:cs="Times New Roman"/>
          <w:sz w:val="28"/>
          <w:szCs w:val="28"/>
        </w:rPr>
        <w:t>–</w:t>
      </w:r>
      <w:r w:rsidRPr="00576869">
        <w:rPr>
          <w:rFonts w:ascii="Times New Roman" w:hAnsi="Times New Roman" w:cs="Times New Roman"/>
          <w:sz w:val="28"/>
          <w:szCs w:val="28"/>
        </w:rPr>
        <w:t xml:space="preserve"> это своп, в котором две противоположные сделки на одинаковую сумму с разными датами валютирования заключаются не с одним банком, а с разными.</w:t>
      </w:r>
    </w:p>
    <w:p w14:paraId="41C33C3A" w14:textId="197C9656" w:rsidR="00576869" w:rsidRPr="00576869" w:rsidRDefault="00576869" w:rsidP="0081459A">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В зависимости от сроков выделяют три основных вида валютных свопов</w:t>
      </w:r>
      <w:r w:rsidR="0081459A" w:rsidRPr="0081459A">
        <w:rPr>
          <w:rFonts w:ascii="Times New Roman" w:hAnsi="Times New Roman" w:cs="Times New Roman"/>
          <w:sz w:val="28"/>
          <w:szCs w:val="28"/>
        </w:rPr>
        <w:t>:</w:t>
      </w:r>
    </w:p>
    <w:p w14:paraId="2DD89D09" w14:textId="2E564C34" w:rsidR="00576869" w:rsidRPr="00576869" w:rsidRDefault="00576869" w:rsidP="0081459A">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 xml:space="preserve">Стандартный своп </w:t>
      </w:r>
      <w:r w:rsidR="0081459A">
        <w:rPr>
          <w:rFonts w:ascii="Times New Roman" w:hAnsi="Times New Roman" w:cs="Times New Roman"/>
          <w:sz w:val="28"/>
          <w:szCs w:val="28"/>
        </w:rPr>
        <w:t>–</w:t>
      </w:r>
      <w:r w:rsidRPr="00576869">
        <w:rPr>
          <w:rFonts w:ascii="Times New Roman" w:hAnsi="Times New Roman" w:cs="Times New Roman"/>
          <w:sz w:val="28"/>
          <w:szCs w:val="28"/>
        </w:rPr>
        <w:t xml:space="preserve"> это своп, где первая сделка заключается на условиях спот, вторая </w:t>
      </w:r>
      <w:r w:rsidR="0081459A">
        <w:rPr>
          <w:rFonts w:ascii="Times New Roman" w:hAnsi="Times New Roman" w:cs="Times New Roman"/>
          <w:sz w:val="28"/>
          <w:szCs w:val="28"/>
        </w:rPr>
        <w:t>–</w:t>
      </w:r>
      <w:r w:rsidRPr="00576869">
        <w:rPr>
          <w:rFonts w:ascii="Times New Roman" w:hAnsi="Times New Roman" w:cs="Times New Roman"/>
          <w:sz w:val="28"/>
          <w:szCs w:val="28"/>
        </w:rPr>
        <w:t xml:space="preserve"> на условиях форвард.</w:t>
      </w:r>
    </w:p>
    <w:p w14:paraId="147241C4" w14:textId="501A3CD7" w:rsidR="00576869" w:rsidRPr="00576869" w:rsidRDefault="00576869" w:rsidP="0081459A">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 xml:space="preserve">Короткий однодневный своп </w:t>
      </w:r>
      <w:r w:rsidR="0081459A">
        <w:rPr>
          <w:rFonts w:ascii="Times New Roman" w:hAnsi="Times New Roman" w:cs="Times New Roman"/>
          <w:sz w:val="28"/>
          <w:szCs w:val="28"/>
        </w:rPr>
        <w:t>–</w:t>
      </w:r>
      <w:r w:rsidRPr="00576869">
        <w:rPr>
          <w:rFonts w:ascii="Times New Roman" w:hAnsi="Times New Roman" w:cs="Times New Roman"/>
          <w:sz w:val="28"/>
          <w:szCs w:val="28"/>
        </w:rPr>
        <w:t xml:space="preserve"> обе сделки заключаются на условиях спот (например, первая сделка заключается с поставкой сегодня, а вторая с поставкой на второй рабочий день после заключения сделки).</w:t>
      </w:r>
    </w:p>
    <w:p w14:paraId="216859E2" w14:textId="631C3E71" w:rsidR="00576869" w:rsidRPr="00576869" w:rsidRDefault="00576869" w:rsidP="0081459A">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 xml:space="preserve">Форвардный своп </w:t>
      </w:r>
      <w:r w:rsidR="0081459A">
        <w:rPr>
          <w:rFonts w:ascii="Times New Roman" w:hAnsi="Times New Roman" w:cs="Times New Roman"/>
          <w:sz w:val="28"/>
          <w:szCs w:val="28"/>
        </w:rPr>
        <w:t>–</w:t>
      </w:r>
      <w:r w:rsidRPr="00576869">
        <w:rPr>
          <w:rFonts w:ascii="Times New Roman" w:hAnsi="Times New Roman" w:cs="Times New Roman"/>
          <w:sz w:val="28"/>
          <w:szCs w:val="28"/>
        </w:rPr>
        <w:t xml:space="preserve"> своп, в состав которого входят две сделки аутрайт с разными датами поставки валюты.</w:t>
      </w:r>
    </w:p>
    <w:p w14:paraId="579ABC6D" w14:textId="663B89E5" w:rsidR="00722D00" w:rsidRPr="00576869" w:rsidRDefault="00576869" w:rsidP="00722D00">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Сделки своп заключаются как между коммерческими банками, так и между центральными и коммерческими банками и непосредственно между центральными банками разных стран. Операции своп могут быть использованы в целях страхования валютных рисков; для временного расширения оборотов твердых валют; для покрытия банковских дефицитов, в том числе и дефицитов центрального банка</w:t>
      </w:r>
      <w:r w:rsidR="00722D00">
        <w:rPr>
          <w:rFonts w:ascii="Times New Roman" w:hAnsi="Times New Roman" w:cs="Times New Roman"/>
          <w:sz w:val="28"/>
          <w:szCs w:val="28"/>
        </w:rPr>
        <w:t xml:space="preserve"> [9].</w:t>
      </w:r>
    </w:p>
    <w:p w14:paraId="0588A3CB" w14:textId="06D2C8BB" w:rsidR="00576869" w:rsidRPr="00576869" w:rsidRDefault="00576869" w:rsidP="0081459A">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 xml:space="preserve">Для банков данная операция имеет определенное преимущество, которое заключается в том, что при осуществлении сделок своп у банка не </w:t>
      </w:r>
      <w:r w:rsidRPr="00576869">
        <w:rPr>
          <w:rFonts w:ascii="Times New Roman" w:hAnsi="Times New Roman" w:cs="Times New Roman"/>
          <w:sz w:val="28"/>
          <w:szCs w:val="28"/>
        </w:rPr>
        <w:lastRenderedPageBreak/>
        <w:t>создается открытая валютная позиция. Свопы дают возможность временного обеспечения валютой без риска, связанного с изменением ее курса. Как правило, операции своп заключаются на срок до одного года. Банки широко используют сделки своп для того, чтобы обезопасить себя от валютного риска.</w:t>
      </w:r>
    </w:p>
    <w:p w14:paraId="37DB84A7" w14:textId="2C8F0C2C" w:rsidR="00576869" w:rsidRPr="00576869" w:rsidRDefault="00576869" w:rsidP="0081459A">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 xml:space="preserve">К биржевым валютным </w:t>
      </w:r>
      <w:proofErr w:type="spellStart"/>
      <w:r w:rsidRPr="00576869">
        <w:rPr>
          <w:rFonts w:ascii="Times New Roman" w:hAnsi="Times New Roman" w:cs="Times New Roman"/>
          <w:sz w:val="28"/>
          <w:szCs w:val="28"/>
        </w:rPr>
        <w:t>деривативам</w:t>
      </w:r>
      <w:proofErr w:type="spellEnd"/>
      <w:r w:rsidRPr="00576869">
        <w:rPr>
          <w:rFonts w:ascii="Times New Roman" w:hAnsi="Times New Roman" w:cs="Times New Roman"/>
          <w:sz w:val="28"/>
          <w:szCs w:val="28"/>
        </w:rPr>
        <w:t xml:space="preserve"> относятся опционы и фьючерсы, однако в настоящее время торговлей опционными контрактами стали заниматься и коммерческие банки.</w:t>
      </w:r>
    </w:p>
    <w:p w14:paraId="7E9B14C6" w14:textId="5C0F13BC" w:rsidR="00576869" w:rsidRPr="00576869" w:rsidRDefault="00576869" w:rsidP="0081459A">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 xml:space="preserve">Валютный фьючерс (от </w:t>
      </w:r>
      <w:proofErr w:type="spellStart"/>
      <w:r w:rsidRPr="00576869">
        <w:rPr>
          <w:rFonts w:ascii="Times New Roman" w:hAnsi="Times New Roman" w:cs="Times New Roman"/>
          <w:sz w:val="28"/>
          <w:szCs w:val="28"/>
        </w:rPr>
        <w:t>англ</w:t>
      </w:r>
      <w:proofErr w:type="spellEnd"/>
      <w:r w:rsidRPr="00576869">
        <w:rPr>
          <w:rFonts w:ascii="Times New Roman" w:hAnsi="Times New Roman" w:cs="Times New Roman"/>
          <w:sz w:val="28"/>
          <w:szCs w:val="28"/>
        </w:rPr>
        <w:t xml:space="preserve">, </w:t>
      </w:r>
      <w:r w:rsidRPr="00576869">
        <w:rPr>
          <w:rFonts w:ascii="Times New Roman" w:hAnsi="Times New Roman" w:cs="Times New Roman"/>
          <w:sz w:val="28"/>
          <w:szCs w:val="28"/>
          <w:lang w:val="en-US"/>
        </w:rPr>
        <w:t>future</w:t>
      </w:r>
      <w:r w:rsidRPr="00576869">
        <w:rPr>
          <w:rFonts w:ascii="Times New Roman" w:hAnsi="Times New Roman" w:cs="Times New Roman"/>
          <w:sz w:val="28"/>
          <w:szCs w:val="28"/>
        </w:rPr>
        <w:t xml:space="preserve"> </w:t>
      </w:r>
      <w:r w:rsidR="0081459A">
        <w:rPr>
          <w:rFonts w:ascii="Times New Roman" w:hAnsi="Times New Roman" w:cs="Times New Roman"/>
          <w:sz w:val="28"/>
          <w:szCs w:val="28"/>
        </w:rPr>
        <w:t>–</w:t>
      </w:r>
      <w:r w:rsidRPr="00576869">
        <w:rPr>
          <w:rFonts w:ascii="Times New Roman" w:hAnsi="Times New Roman" w:cs="Times New Roman"/>
          <w:sz w:val="28"/>
          <w:szCs w:val="28"/>
        </w:rPr>
        <w:t xml:space="preserve"> будущее) </w:t>
      </w:r>
      <w:r w:rsidR="0081459A">
        <w:rPr>
          <w:rFonts w:ascii="Times New Roman" w:hAnsi="Times New Roman" w:cs="Times New Roman"/>
          <w:sz w:val="28"/>
          <w:szCs w:val="28"/>
        </w:rPr>
        <w:t>–</w:t>
      </w:r>
      <w:r w:rsidRPr="00576869">
        <w:rPr>
          <w:rFonts w:ascii="Times New Roman" w:hAnsi="Times New Roman" w:cs="Times New Roman"/>
          <w:sz w:val="28"/>
          <w:szCs w:val="28"/>
        </w:rPr>
        <w:t xml:space="preserve"> это соглашение о покупке или продаже валюты на определенную дату в будущем по фиксированной цене. При этом сделки совершаются на бирже через расчетную палату. При совершении сделки, лицо, осуществляющее поставку валюты по контракту, занимает короткую позицию; лицо, принимающее валюту, занимает длинную позицию. Основная особенность фьючерсов заключается в том, что они представляют собой стандартные контракты, в которых детально регламентированы все условия (сумма, срок, метод расчета и т.д.). Единственной переменной в контракте является цена. Фьючерсные контракты на иностранную валюту были первыми финансовыми фьючерсами. Впервые валютные фьючерсные контракты появились на Чикагской товарной бирже в 1972 г</w:t>
      </w:r>
      <w:r w:rsidR="000E19DF">
        <w:rPr>
          <w:rFonts w:ascii="Times New Roman" w:hAnsi="Times New Roman" w:cs="Times New Roman"/>
          <w:sz w:val="28"/>
          <w:szCs w:val="28"/>
        </w:rPr>
        <w:t xml:space="preserve"> [17].</w:t>
      </w:r>
    </w:p>
    <w:p w14:paraId="21D78C22" w14:textId="6E3BEC51" w:rsidR="00576869" w:rsidRPr="00576869" w:rsidRDefault="00576869" w:rsidP="0081459A">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Содержание фьючерсных операций сходно с форвардными. Фьючерсные операции, как и форвардные, предполагают поставку определенной суммы иностранной валюты в будущем, и при этом цена исполнения контракта определяется в день заключения сделки. Однако между ними существуют и отличия:</w:t>
      </w:r>
    </w:p>
    <w:p w14:paraId="6527BDA1" w14:textId="4203E2FC" w:rsidR="00576869" w:rsidRPr="00576869" w:rsidRDefault="00576869" w:rsidP="00576869">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 xml:space="preserve">а) фьючерсные сделки </w:t>
      </w:r>
      <w:r w:rsidR="0081459A">
        <w:rPr>
          <w:rFonts w:ascii="Times New Roman" w:hAnsi="Times New Roman" w:cs="Times New Roman"/>
          <w:sz w:val="28"/>
          <w:szCs w:val="28"/>
        </w:rPr>
        <w:t>–</w:t>
      </w:r>
      <w:r w:rsidRPr="00576869">
        <w:rPr>
          <w:rFonts w:ascii="Times New Roman" w:hAnsi="Times New Roman" w:cs="Times New Roman"/>
          <w:sz w:val="28"/>
          <w:szCs w:val="28"/>
        </w:rPr>
        <w:t xml:space="preserve"> это биржевые сделки, они имеют стандартные сроки, объемы и условия поставки; форвардные сделки </w:t>
      </w:r>
      <w:r w:rsidR="0081459A">
        <w:rPr>
          <w:rFonts w:ascii="Times New Roman" w:hAnsi="Times New Roman" w:cs="Times New Roman"/>
          <w:sz w:val="28"/>
          <w:szCs w:val="28"/>
        </w:rPr>
        <w:t>–</w:t>
      </w:r>
      <w:r w:rsidRPr="00576869">
        <w:rPr>
          <w:rFonts w:ascii="Times New Roman" w:hAnsi="Times New Roman" w:cs="Times New Roman"/>
          <w:sz w:val="28"/>
          <w:szCs w:val="28"/>
        </w:rPr>
        <w:t xml:space="preserve"> внебиржевые сделки, поэтому сроки и объемы могут быть любыми и определяться по взаимному согласию сторон;</w:t>
      </w:r>
    </w:p>
    <w:p w14:paraId="40A2BC0E" w14:textId="77777777" w:rsidR="00576869" w:rsidRPr="00576869" w:rsidRDefault="00576869" w:rsidP="00576869">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 xml:space="preserve">б) при заключении фьючерсных операций используется ограниченный круг валют, в основном доллар, евро, швейцарский франк, японская иена и </w:t>
      </w:r>
      <w:r w:rsidRPr="00576869">
        <w:rPr>
          <w:rFonts w:ascii="Times New Roman" w:hAnsi="Times New Roman" w:cs="Times New Roman"/>
          <w:sz w:val="28"/>
          <w:szCs w:val="28"/>
        </w:rPr>
        <w:lastRenderedPageBreak/>
        <w:t>фунт стерлингов; по форвардным операциям могут использоваться любые валюты;</w:t>
      </w:r>
    </w:p>
    <w:p w14:paraId="3E153483" w14:textId="1EA9C0A5" w:rsidR="00576869" w:rsidRPr="00576869" w:rsidRDefault="00576869" w:rsidP="00576869">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 xml:space="preserve">в) фьючерсы могут покупать как крупные, так и мелкие и индивидуальные инвесторы; форварды </w:t>
      </w:r>
      <w:r w:rsidR="0081459A">
        <w:rPr>
          <w:rFonts w:ascii="Times New Roman" w:hAnsi="Times New Roman" w:cs="Times New Roman"/>
          <w:sz w:val="28"/>
          <w:szCs w:val="28"/>
        </w:rPr>
        <w:t>–</w:t>
      </w:r>
      <w:r w:rsidRPr="00576869">
        <w:rPr>
          <w:rFonts w:ascii="Times New Roman" w:hAnsi="Times New Roman" w:cs="Times New Roman"/>
          <w:sz w:val="28"/>
          <w:szCs w:val="28"/>
        </w:rPr>
        <w:t xml:space="preserve"> инструмент, недоступный для небольших фирм в связи с тем, что минимальная сумма для заключения форвардного контракта составляет в большинстве случаев 500 000 долл.;</w:t>
      </w:r>
    </w:p>
    <w:p w14:paraId="4E8C4DBF" w14:textId="77777777" w:rsidR="00576869" w:rsidRPr="00576869" w:rsidRDefault="00576869" w:rsidP="00576869">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г) по большинству фьючерсных сделок реальная поставка валюты не осуществляется, на 95% они заканчиваются заключением обратной сделки; по форвардам же до 95% всех сделок заканчивается реальной поставкой валюты;</w:t>
      </w:r>
    </w:p>
    <w:p w14:paraId="778F6F27" w14:textId="77777777" w:rsidR="00576869" w:rsidRPr="00576869" w:rsidRDefault="00576869" w:rsidP="00576869">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д) стандартизация контрактов позволяет осуществлять фьючерсные сделки более дешево, т.е. они сопровождаются меньшим спредом на покупку и продажу, чем форвардные сделки, которые заключаются на индивидуально разрабатываемых условиях.</w:t>
      </w:r>
    </w:p>
    <w:p w14:paraId="4EC918F8" w14:textId="0261C9B4" w:rsidR="00576869" w:rsidRPr="00576869" w:rsidRDefault="00576869" w:rsidP="0081459A">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Фьючерсные контракты стандартизированы и являются высоколиквидными активами. Для них существует широкий вторичный рынок, так как по своим условиям они одинаковы для всех контрагентов. Но не всегда стандартный характер условий контракта может оказаться удобным для контрагента. Например, если требуется поставка валюты в другом количестве, чем предусмотрено фьючерсным контрактом на данную валюту. Фьючерсный контракт заключается в целях хеджирования или игры на изменение курсов валют, лежащих в основе этих контрактов. Закрытие позиции по контракту осуществляется путем совершения офсетной сделки или поставки валюты</w:t>
      </w:r>
      <w:r w:rsidR="000E19DF">
        <w:rPr>
          <w:rFonts w:ascii="Times New Roman" w:hAnsi="Times New Roman" w:cs="Times New Roman"/>
          <w:sz w:val="28"/>
          <w:szCs w:val="28"/>
        </w:rPr>
        <w:t xml:space="preserve"> [17].</w:t>
      </w:r>
    </w:p>
    <w:p w14:paraId="2629D1D0" w14:textId="22EDC498" w:rsidR="00576869" w:rsidRPr="00576869" w:rsidRDefault="00576869" w:rsidP="0081459A">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 xml:space="preserve">Валютный опцион (опционный контракт) предоставляет его владельцу право купить или продать валюту по установленному курсу в течение определенного времени. Сделки с опционами имеют принципиальное отличие от форвардных и фьючерсных операций. Опцион — это более сложный инструмент, чем фьючерсный и форвардный контракт. Основной особенностью опционных сделок является то, что у держателя опциона есть выбор, исполнить опцион по заранее фиксированной цене либо же отказаться </w:t>
      </w:r>
      <w:r w:rsidRPr="00576869">
        <w:rPr>
          <w:rFonts w:ascii="Times New Roman" w:hAnsi="Times New Roman" w:cs="Times New Roman"/>
          <w:sz w:val="28"/>
          <w:szCs w:val="28"/>
        </w:rPr>
        <w:lastRenderedPageBreak/>
        <w:t>от его исполнения. Это означает, что у держателя опциона есть право, а не обязанность совершить определенное действие.</w:t>
      </w:r>
    </w:p>
    <w:p w14:paraId="4EF7611F" w14:textId="77777777" w:rsidR="0081459A" w:rsidRDefault="00576869" w:rsidP="0081459A">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В опционной сделке участвуют две стороны: продавец опциона (</w:t>
      </w:r>
      <w:proofErr w:type="spellStart"/>
      <w:r w:rsidRPr="00576869">
        <w:rPr>
          <w:rFonts w:ascii="Times New Roman" w:hAnsi="Times New Roman" w:cs="Times New Roman"/>
          <w:sz w:val="28"/>
          <w:szCs w:val="28"/>
        </w:rPr>
        <w:t>надпи</w:t>
      </w:r>
      <w:proofErr w:type="spellEnd"/>
      <w:r w:rsidRPr="00576869">
        <w:rPr>
          <w:rFonts w:ascii="Times New Roman" w:hAnsi="Times New Roman" w:cs="Times New Roman"/>
          <w:sz w:val="28"/>
          <w:szCs w:val="28"/>
        </w:rPr>
        <w:t xml:space="preserve">- </w:t>
      </w:r>
      <w:proofErr w:type="spellStart"/>
      <w:r w:rsidRPr="00576869">
        <w:rPr>
          <w:rFonts w:ascii="Times New Roman" w:hAnsi="Times New Roman" w:cs="Times New Roman"/>
          <w:sz w:val="28"/>
          <w:szCs w:val="28"/>
        </w:rPr>
        <w:t>сатель</w:t>
      </w:r>
      <w:proofErr w:type="spellEnd"/>
      <w:r w:rsidRPr="00576869">
        <w:rPr>
          <w:rFonts w:ascii="Times New Roman" w:hAnsi="Times New Roman" w:cs="Times New Roman"/>
          <w:sz w:val="28"/>
          <w:szCs w:val="28"/>
        </w:rPr>
        <w:t>) и покупатель опциона (держатель). Покупатель опциона приобретает право купить или продать определенную валюту в будущем по курсу, фиксированному в момент заключения сделки. Продавец опциона принимает на себя обязательство купить или продать валюту в будущем по оговоренному курсу. Продавцу опциона в момент заключения сделки покупателем выплачивается премия. Премия не возвращается покупателю опциона даже в том случае, если он отказывается от реализации прав по опциону.</w:t>
      </w:r>
    </w:p>
    <w:p w14:paraId="461460F2" w14:textId="44AC5961" w:rsidR="00576869" w:rsidRPr="0081459A" w:rsidRDefault="00576869" w:rsidP="0081459A">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Выделяют различные виды опционных контрактов</w:t>
      </w:r>
      <w:r w:rsidR="0081459A" w:rsidRPr="0081459A">
        <w:rPr>
          <w:rFonts w:ascii="Times New Roman" w:hAnsi="Times New Roman" w:cs="Times New Roman"/>
          <w:sz w:val="28"/>
          <w:szCs w:val="28"/>
        </w:rPr>
        <w:t>:</w:t>
      </w:r>
    </w:p>
    <w:p w14:paraId="62B416E0" w14:textId="77777777" w:rsidR="0081459A" w:rsidRDefault="00576869" w:rsidP="0081459A">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По характеру сделки:</w:t>
      </w:r>
    </w:p>
    <w:p w14:paraId="45D5786D" w14:textId="1027788C" w:rsidR="00576869" w:rsidRPr="00576869" w:rsidRDefault="0081459A" w:rsidP="008145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1459A">
        <w:rPr>
          <w:rFonts w:ascii="Times New Roman" w:hAnsi="Times New Roman" w:cs="Times New Roman"/>
          <w:sz w:val="28"/>
          <w:szCs w:val="28"/>
        </w:rPr>
        <w:t xml:space="preserve"> </w:t>
      </w:r>
      <w:r w:rsidR="00576869" w:rsidRPr="00576869">
        <w:rPr>
          <w:rFonts w:ascii="Times New Roman" w:hAnsi="Times New Roman" w:cs="Times New Roman"/>
          <w:sz w:val="28"/>
          <w:szCs w:val="28"/>
        </w:rPr>
        <w:t>опцион на покупку (</w:t>
      </w:r>
      <w:proofErr w:type="spellStart"/>
      <w:r w:rsidR="00576869" w:rsidRPr="00576869">
        <w:rPr>
          <w:rFonts w:ascii="Times New Roman" w:hAnsi="Times New Roman" w:cs="Times New Roman"/>
          <w:sz w:val="28"/>
          <w:szCs w:val="28"/>
        </w:rPr>
        <w:t>колл</w:t>
      </w:r>
      <w:proofErr w:type="spellEnd"/>
      <w:r w:rsidR="00576869" w:rsidRPr="00576869">
        <w:rPr>
          <w:rFonts w:ascii="Times New Roman" w:hAnsi="Times New Roman" w:cs="Times New Roman"/>
          <w:sz w:val="28"/>
          <w:szCs w:val="28"/>
        </w:rPr>
        <w:t xml:space="preserve">-опцион, </w:t>
      </w:r>
      <w:r w:rsidR="00576869" w:rsidRPr="00576869">
        <w:rPr>
          <w:rFonts w:ascii="Times New Roman" w:hAnsi="Times New Roman" w:cs="Times New Roman"/>
          <w:sz w:val="28"/>
          <w:szCs w:val="28"/>
          <w:lang w:val="en-US"/>
        </w:rPr>
        <w:t>call</w:t>
      </w:r>
      <w:r w:rsidR="00576869" w:rsidRPr="00576869">
        <w:rPr>
          <w:rFonts w:ascii="Times New Roman" w:hAnsi="Times New Roman" w:cs="Times New Roman"/>
          <w:sz w:val="28"/>
          <w:szCs w:val="28"/>
        </w:rPr>
        <w:t xml:space="preserve">). </w:t>
      </w:r>
      <w:proofErr w:type="spellStart"/>
      <w:r w:rsidR="00576869" w:rsidRPr="00576869">
        <w:rPr>
          <w:rFonts w:ascii="Times New Roman" w:hAnsi="Times New Roman" w:cs="Times New Roman"/>
          <w:sz w:val="28"/>
          <w:szCs w:val="28"/>
        </w:rPr>
        <w:t>Колл</w:t>
      </w:r>
      <w:proofErr w:type="spellEnd"/>
      <w:r w:rsidR="00576869" w:rsidRPr="00576869">
        <w:rPr>
          <w:rFonts w:ascii="Times New Roman" w:hAnsi="Times New Roman" w:cs="Times New Roman"/>
          <w:sz w:val="28"/>
          <w:szCs w:val="28"/>
        </w:rPr>
        <w:t>-опцион дает право его владельцу купить валюту в будущем по курсу, фиксированному в настоящий момент времени. Продавец обязан продать валюту, если держатель опциона этого потребует;</w:t>
      </w:r>
    </w:p>
    <w:p w14:paraId="2979D753" w14:textId="68E7DFFC" w:rsidR="00576869" w:rsidRPr="00576869" w:rsidRDefault="0081459A" w:rsidP="005768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1459A">
        <w:rPr>
          <w:rFonts w:ascii="Times New Roman" w:hAnsi="Times New Roman" w:cs="Times New Roman"/>
          <w:sz w:val="28"/>
          <w:szCs w:val="28"/>
        </w:rPr>
        <w:t xml:space="preserve"> </w:t>
      </w:r>
      <w:r w:rsidR="00576869" w:rsidRPr="00576869">
        <w:rPr>
          <w:rFonts w:ascii="Times New Roman" w:hAnsi="Times New Roman" w:cs="Times New Roman"/>
          <w:sz w:val="28"/>
          <w:szCs w:val="28"/>
        </w:rPr>
        <w:t xml:space="preserve">опцион на продажу (пут-опцион, </w:t>
      </w:r>
      <w:r w:rsidR="00576869" w:rsidRPr="00576869">
        <w:rPr>
          <w:rFonts w:ascii="Times New Roman" w:hAnsi="Times New Roman" w:cs="Times New Roman"/>
          <w:sz w:val="28"/>
          <w:szCs w:val="28"/>
          <w:lang w:val="en-US"/>
        </w:rPr>
        <w:t>put</w:t>
      </w:r>
      <w:r w:rsidR="00576869" w:rsidRPr="00576869">
        <w:rPr>
          <w:rFonts w:ascii="Times New Roman" w:hAnsi="Times New Roman" w:cs="Times New Roman"/>
          <w:sz w:val="28"/>
          <w:szCs w:val="28"/>
        </w:rPr>
        <w:t>). Владелец имеет право продать валюту в будущем по фиксированному курсу в оговоренный срок. Продавец опциона обязан купить валюту, если держатель опциона это потребует.</w:t>
      </w:r>
    </w:p>
    <w:p w14:paraId="424649F1" w14:textId="53820061" w:rsidR="00576869" w:rsidRPr="00576869" w:rsidRDefault="00576869" w:rsidP="00576869">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По сроку истечения контракта:</w:t>
      </w:r>
    </w:p>
    <w:p w14:paraId="1D8F84A2" w14:textId="68DCB71D" w:rsidR="00576869" w:rsidRPr="00576869" w:rsidRDefault="0081459A" w:rsidP="005768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1459A">
        <w:rPr>
          <w:rFonts w:ascii="Times New Roman" w:hAnsi="Times New Roman" w:cs="Times New Roman"/>
          <w:sz w:val="28"/>
          <w:szCs w:val="28"/>
        </w:rPr>
        <w:t xml:space="preserve"> </w:t>
      </w:r>
      <w:r w:rsidR="00576869" w:rsidRPr="00576869">
        <w:rPr>
          <w:rFonts w:ascii="Times New Roman" w:hAnsi="Times New Roman" w:cs="Times New Roman"/>
          <w:sz w:val="28"/>
          <w:szCs w:val="28"/>
        </w:rPr>
        <w:t>американский опцион</w:t>
      </w:r>
      <w:r w:rsidRPr="0081459A">
        <w:rPr>
          <w:rFonts w:ascii="Times New Roman" w:hAnsi="Times New Roman" w:cs="Times New Roman"/>
          <w:sz w:val="28"/>
          <w:szCs w:val="28"/>
        </w:rPr>
        <w:t xml:space="preserve"> </w:t>
      </w:r>
      <w:r>
        <w:rPr>
          <w:rFonts w:ascii="Times New Roman" w:hAnsi="Times New Roman" w:cs="Times New Roman"/>
          <w:sz w:val="28"/>
          <w:szCs w:val="28"/>
        </w:rPr>
        <w:t>–</w:t>
      </w:r>
      <w:r w:rsidR="00576869" w:rsidRPr="00576869">
        <w:rPr>
          <w:rFonts w:ascii="Times New Roman" w:hAnsi="Times New Roman" w:cs="Times New Roman"/>
          <w:sz w:val="28"/>
          <w:szCs w:val="28"/>
        </w:rPr>
        <w:t xml:space="preserve"> может быть исполнен в любой день дня до истечения контракта;</w:t>
      </w:r>
    </w:p>
    <w:p w14:paraId="25E00BC7" w14:textId="0B89F581" w:rsidR="00576869" w:rsidRPr="00576869" w:rsidRDefault="0081459A" w:rsidP="005768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1459A">
        <w:rPr>
          <w:rFonts w:ascii="Times New Roman" w:hAnsi="Times New Roman" w:cs="Times New Roman"/>
          <w:sz w:val="28"/>
          <w:szCs w:val="28"/>
        </w:rPr>
        <w:t xml:space="preserve"> </w:t>
      </w:r>
      <w:r w:rsidR="00576869" w:rsidRPr="00576869">
        <w:rPr>
          <w:rFonts w:ascii="Times New Roman" w:hAnsi="Times New Roman" w:cs="Times New Roman"/>
          <w:sz w:val="28"/>
          <w:szCs w:val="28"/>
        </w:rPr>
        <w:t xml:space="preserve">европейский опцион </w:t>
      </w:r>
      <w:r>
        <w:rPr>
          <w:rFonts w:ascii="Times New Roman" w:hAnsi="Times New Roman" w:cs="Times New Roman"/>
          <w:sz w:val="28"/>
          <w:szCs w:val="28"/>
        </w:rPr>
        <w:t>–</w:t>
      </w:r>
      <w:r w:rsidR="00576869" w:rsidRPr="00576869">
        <w:rPr>
          <w:rFonts w:ascii="Times New Roman" w:hAnsi="Times New Roman" w:cs="Times New Roman"/>
          <w:sz w:val="28"/>
          <w:szCs w:val="28"/>
        </w:rPr>
        <w:t xml:space="preserve"> может быть исполнен в день истечения срока действия </w:t>
      </w:r>
      <w:r w:rsidR="001F155C">
        <w:rPr>
          <w:rFonts w:ascii="Times New Roman" w:hAnsi="Times New Roman" w:cs="Times New Roman"/>
          <w:sz w:val="28"/>
          <w:szCs w:val="28"/>
        </w:rPr>
        <w:t>контракта [14].</w:t>
      </w:r>
    </w:p>
    <w:p w14:paraId="245F3FDC" w14:textId="0E7B59F8" w:rsidR="00576869" w:rsidRPr="00576869" w:rsidRDefault="00576869" w:rsidP="0081459A">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В отличие от форвардных и фьючерсных контрактов валютные опционы дают возможность ограничить риск, связанный с неблагоприятным изменением курсов валют. При заключении опционного контракта владелец занимает длинную позицию по опциону. Продавец опциона занимает короткую позицию. Риск при покупке опциона ограничен размерами выплаченной премии и в этом смысле является ограниченным, тогда как потенциальная прибыль остается неограниченной.</w:t>
      </w:r>
    </w:p>
    <w:p w14:paraId="26744D4B" w14:textId="5A7D23E2" w:rsidR="00576869" w:rsidRPr="00576869" w:rsidRDefault="00576869" w:rsidP="0081459A">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lastRenderedPageBreak/>
        <w:t xml:space="preserve">Биржевые опционы </w:t>
      </w:r>
      <w:r w:rsidR="0081459A">
        <w:rPr>
          <w:rFonts w:ascii="Times New Roman" w:hAnsi="Times New Roman" w:cs="Times New Roman"/>
          <w:sz w:val="28"/>
          <w:szCs w:val="28"/>
        </w:rPr>
        <w:t>–</w:t>
      </w:r>
      <w:r w:rsidRPr="00576869">
        <w:rPr>
          <w:rFonts w:ascii="Times New Roman" w:hAnsi="Times New Roman" w:cs="Times New Roman"/>
          <w:sz w:val="28"/>
          <w:szCs w:val="28"/>
        </w:rPr>
        <w:t xml:space="preserve"> это стандартные контракты, в которых детально регламентированы все условия. Внебиржевой рынок предлагает значительное разнообразие нестандартных инструментов, которые носят название экзотических опционов {</w:t>
      </w:r>
      <w:r w:rsidRPr="00576869">
        <w:rPr>
          <w:rFonts w:ascii="Times New Roman" w:hAnsi="Times New Roman" w:cs="Times New Roman"/>
          <w:sz w:val="28"/>
          <w:szCs w:val="28"/>
          <w:lang w:val="en-US"/>
        </w:rPr>
        <w:t>exotic</w:t>
      </w:r>
      <w:r w:rsidRPr="00576869">
        <w:rPr>
          <w:rFonts w:ascii="Times New Roman" w:hAnsi="Times New Roman" w:cs="Times New Roman"/>
          <w:sz w:val="28"/>
          <w:szCs w:val="28"/>
        </w:rPr>
        <w:t xml:space="preserve"> </w:t>
      </w:r>
      <w:r w:rsidRPr="00576869">
        <w:rPr>
          <w:rFonts w:ascii="Times New Roman" w:hAnsi="Times New Roman" w:cs="Times New Roman"/>
          <w:sz w:val="28"/>
          <w:szCs w:val="28"/>
          <w:lang w:val="en-US"/>
        </w:rPr>
        <w:t>options</w:t>
      </w:r>
      <w:r w:rsidRPr="00576869">
        <w:rPr>
          <w:rFonts w:ascii="Times New Roman" w:hAnsi="Times New Roman" w:cs="Times New Roman"/>
          <w:sz w:val="28"/>
          <w:szCs w:val="28"/>
        </w:rPr>
        <w:t xml:space="preserve">). Подобные виды </w:t>
      </w:r>
      <w:proofErr w:type="spellStart"/>
      <w:r w:rsidRPr="00576869">
        <w:rPr>
          <w:rFonts w:ascii="Times New Roman" w:hAnsi="Times New Roman" w:cs="Times New Roman"/>
          <w:sz w:val="28"/>
          <w:szCs w:val="28"/>
        </w:rPr>
        <w:t>деривативов</w:t>
      </w:r>
      <w:proofErr w:type="spellEnd"/>
      <w:r w:rsidRPr="00576869">
        <w:rPr>
          <w:rFonts w:ascii="Times New Roman" w:hAnsi="Times New Roman" w:cs="Times New Roman"/>
          <w:sz w:val="28"/>
          <w:szCs w:val="28"/>
        </w:rPr>
        <w:t xml:space="preserve"> намного прибыльнее обычных производных финансовых инструментов.</w:t>
      </w:r>
    </w:p>
    <w:p w14:paraId="04D48B27" w14:textId="59F6E6BB" w:rsidR="00576869" w:rsidRPr="00576869" w:rsidRDefault="00576869" w:rsidP="0081459A">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В стандартном американском опционе исполнение может быть осуществлено в течение всего срока действия опциона, в то время как цена исполнения остается прежней. На практике внебиржевые американские опционы могут иметь некоторые нестандартные характеристики. Так, например, цена исполнения может меняться в течение срока действия опциона, или исполнение опциона может быть запрещено до наступления определенной даты, такой инструмент называется бермудским опционом.</w:t>
      </w:r>
    </w:p>
    <w:p w14:paraId="1EC74DCD" w14:textId="6124550A" w:rsidR="00576869" w:rsidRPr="00576869" w:rsidRDefault="00576869" w:rsidP="0081459A">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К нестандартным относятся так называемые отложенные опционы (</w:t>
      </w:r>
      <w:r w:rsidRPr="00576869">
        <w:rPr>
          <w:rFonts w:ascii="Times New Roman" w:hAnsi="Times New Roman" w:cs="Times New Roman"/>
          <w:sz w:val="28"/>
          <w:szCs w:val="28"/>
          <w:lang w:val="en-US"/>
        </w:rPr>
        <w:t>forward</w:t>
      </w:r>
      <w:r w:rsidRPr="00576869">
        <w:rPr>
          <w:rFonts w:ascii="Times New Roman" w:hAnsi="Times New Roman" w:cs="Times New Roman"/>
          <w:sz w:val="28"/>
          <w:szCs w:val="28"/>
        </w:rPr>
        <w:t xml:space="preserve"> </w:t>
      </w:r>
      <w:r w:rsidRPr="00576869">
        <w:rPr>
          <w:rFonts w:ascii="Times New Roman" w:hAnsi="Times New Roman" w:cs="Times New Roman"/>
          <w:sz w:val="28"/>
          <w:szCs w:val="28"/>
          <w:lang w:val="en-US"/>
        </w:rPr>
        <w:t>start</w:t>
      </w:r>
      <w:r w:rsidRPr="00576869">
        <w:rPr>
          <w:rFonts w:ascii="Times New Roman" w:hAnsi="Times New Roman" w:cs="Times New Roman"/>
          <w:sz w:val="28"/>
          <w:szCs w:val="28"/>
        </w:rPr>
        <w:t xml:space="preserve"> </w:t>
      </w:r>
      <w:r w:rsidRPr="00576869">
        <w:rPr>
          <w:rFonts w:ascii="Times New Roman" w:hAnsi="Times New Roman" w:cs="Times New Roman"/>
          <w:sz w:val="28"/>
          <w:szCs w:val="28"/>
          <w:lang w:val="en-US"/>
        </w:rPr>
        <w:t>options</w:t>
      </w:r>
      <w:r w:rsidRPr="00576869">
        <w:rPr>
          <w:rFonts w:ascii="Times New Roman" w:hAnsi="Times New Roman" w:cs="Times New Roman"/>
          <w:sz w:val="28"/>
          <w:szCs w:val="28"/>
        </w:rPr>
        <w:t>), которые начинают действовать через определенное время в будущем, т.е. сочетают в себе характеристики форварда и опциона.</w:t>
      </w:r>
    </w:p>
    <w:p w14:paraId="30696AB4" w14:textId="6F951CB1" w:rsidR="00576869" w:rsidRPr="00576869" w:rsidRDefault="00576869" w:rsidP="0081459A">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 xml:space="preserve">Сложные опционы </w:t>
      </w:r>
      <w:r w:rsidR="0081459A" w:rsidRPr="0081459A">
        <w:rPr>
          <w:rFonts w:ascii="Times New Roman" w:hAnsi="Times New Roman" w:cs="Times New Roman"/>
          <w:sz w:val="28"/>
          <w:szCs w:val="28"/>
        </w:rPr>
        <w:t>(</w:t>
      </w:r>
      <w:r w:rsidRPr="00576869">
        <w:rPr>
          <w:rFonts w:ascii="Times New Roman" w:hAnsi="Times New Roman" w:cs="Times New Roman"/>
          <w:sz w:val="28"/>
          <w:szCs w:val="28"/>
          <w:lang w:val="en-US"/>
        </w:rPr>
        <w:t>compound</w:t>
      </w:r>
      <w:r w:rsidRPr="00576869">
        <w:rPr>
          <w:rFonts w:ascii="Times New Roman" w:hAnsi="Times New Roman" w:cs="Times New Roman"/>
          <w:sz w:val="28"/>
          <w:szCs w:val="28"/>
        </w:rPr>
        <w:t xml:space="preserve"> </w:t>
      </w:r>
      <w:r w:rsidRPr="00576869">
        <w:rPr>
          <w:rFonts w:ascii="Times New Roman" w:hAnsi="Times New Roman" w:cs="Times New Roman"/>
          <w:sz w:val="28"/>
          <w:szCs w:val="28"/>
          <w:lang w:val="en-US"/>
        </w:rPr>
        <w:t>options</w:t>
      </w:r>
      <w:r w:rsidR="0081459A" w:rsidRPr="0081459A">
        <w:rPr>
          <w:rFonts w:ascii="Times New Roman" w:hAnsi="Times New Roman" w:cs="Times New Roman"/>
          <w:sz w:val="28"/>
          <w:szCs w:val="28"/>
        </w:rPr>
        <w:t xml:space="preserve">) </w:t>
      </w:r>
      <w:r w:rsidRPr="00576869">
        <w:rPr>
          <w:rFonts w:ascii="Times New Roman" w:hAnsi="Times New Roman" w:cs="Times New Roman"/>
          <w:sz w:val="28"/>
          <w:szCs w:val="28"/>
        </w:rPr>
        <w:t xml:space="preserve">представляют собой опцион на опцион, и, соответственно, существует четыре вида сложных опционов: </w:t>
      </w:r>
      <w:proofErr w:type="spellStart"/>
      <w:r w:rsidRPr="00576869">
        <w:rPr>
          <w:rFonts w:ascii="Times New Roman" w:hAnsi="Times New Roman" w:cs="Times New Roman"/>
          <w:sz w:val="28"/>
          <w:szCs w:val="28"/>
        </w:rPr>
        <w:t>колл</w:t>
      </w:r>
      <w:proofErr w:type="spellEnd"/>
      <w:r w:rsidRPr="00576869">
        <w:rPr>
          <w:rFonts w:ascii="Times New Roman" w:hAnsi="Times New Roman" w:cs="Times New Roman"/>
          <w:sz w:val="28"/>
          <w:szCs w:val="28"/>
        </w:rPr>
        <w:t xml:space="preserve"> на </w:t>
      </w:r>
      <w:proofErr w:type="spellStart"/>
      <w:r w:rsidRPr="00576869">
        <w:rPr>
          <w:rFonts w:ascii="Times New Roman" w:hAnsi="Times New Roman" w:cs="Times New Roman"/>
          <w:sz w:val="28"/>
          <w:szCs w:val="28"/>
        </w:rPr>
        <w:t>колл</w:t>
      </w:r>
      <w:proofErr w:type="spellEnd"/>
      <w:r w:rsidRPr="00576869">
        <w:rPr>
          <w:rFonts w:ascii="Times New Roman" w:hAnsi="Times New Roman" w:cs="Times New Roman"/>
          <w:sz w:val="28"/>
          <w:szCs w:val="28"/>
        </w:rPr>
        <w:t xml:space="preserve">, пут на </w:t>
      </w:r>
      <w:proofErr w:type="spellStart"/>
      <w:r w:rsidRPr="00576869">
        <w:rPr>
          <w:rFonts w:ascii="Times New Roman" w:hAnsi="Times New Roman" w:cs="Times New Roman"/>
          <w:sz w:val="28"/>
          <w:szCs w:val="28"/>
        </w:rPr>
        <w:t>колл</w:t>
      </w:r>
      <w:proofErr w:type="spellEnd"/>
      <w:r w:rsidRPr="00576869">
        <w:rPr>
          <w:rFonts w:ascii="Times New Roman" w:hAnsi="Times New Roman" w:cs="Times New Roman"/>
          <w:sz w:val="28"/>
          <w:szCs w:val="28"/>
        </w:rPr>
        <w:t xml:space="preserve">, </w:t>
      </w:r>
      <w:proofErr w:type="spellStart"/>
      <w:r w:rsidRPr="00576869">
        <w:rPr>
          <w:rFonts w:ascii="Times New Roman" w:hAnsi="Times New Roman" w:cs="Times New Roman"/>
          <w:sz w:val="28"/>
          <w:szCs w:val="28"/>
        </w:rPr>
        <w:t>колл</w:t>
      </w:r>
      <w:proofErr w:type="spellEnd"/>
      <w:r w:rsidRPr="00576869">
        <w:rPr>
          <w:rFonts w:ascii="Times New Roman" w:hAnsi="Times New Roman" w:cs="Times New Roman"/>
          <w:sz w:val="28"/>
          <w:szCs w:val="28"/>
        </w:rPr>
        <w:t xml:space="preserve"> на пут, пут на пут.</w:t>
      </w:r>
    </w:p>
    <w:p w14:paraId="3DC71706" w14:textId="77777777" w:rsidR="0081459A" w:rsidRDefault="00576869" w:rsidP="0081459A">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К наиболее часто используемым экзотическим опционам относят:</w:t>
      </w:r>
    </w:p>
    <w:p w14:paraId="2D276106" w14:textId="6A1C47AF" w:rsidR="0081459A" w:rsidRDefault="0081459A" w:rsidP="008145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1459A">
        <w:rPr>
          <w:rFonts w:ascii="Times New Roman" w:hAnsi="Times New Roman" w:cs="Times New Roman"/>
          <w:sz w:val="28"/>
          <w:szCs w:val="28"/>
        </w:rPr>
        <w:t xml:space="preserve"> </w:t>
      </w:r>
      <w:r w:rsidR="00576869" w:rsidRPr="00576869">
        <w:rPr>
          <w:rFonts w:ascii="Times New Roman" w:hAnsi="Times New Roman" w:cs="Times New Roman"/>
          <w:sz w:val="28"/>
          <w:szCs w:val="28"/>
        </w:rPr>
        <w:t xml:space="preserve">опцион выбора </w:t>
      </w:r>
      <w:r w:rsidRPr="0081459A">
        <w:rPr>
          <w:rFonts w:ascii="Times New Roman" w:hAnsi="Times New Roman" w:cs="Times New Roman"/>
          <w:sz w:val="28"/>
          <w:szCs w:val="28"/>
        </w:rPr>
        <w:t>(</w:t>
      </w:r>
      <w:r w:rsidR="00576869" w:rsidRPr="00576869">
        <w:rPr>
          <w:rFonts w:ascii="Times New Roman" w:hAnsi="Times New Roman" w:cs="Times New Roman"/>
          <w:sz w:val="28"/>
          <w:szCs w:val="28"/>
          <w:lang w:val="en-US"/>
        </w:rPr>
        <w:t>chooser</w:t>
      </w:r>
      <w:r w:rsidR="00576869" w:rsidRPr="00576869">
        <w:rPr>
          <w:rFonts w:ascii="Times New Roman" w:hAnsi="Times New Roman" w:cs="Times New Roman"/>
          <w:sz w:val="28"/>
          <w:szCs w:val="28"/>
        </w:rPr>
        <w:t xml:space="preserve"> </w:t>
      </w:r>
      <w:r w:rsidR="00576869" w:rsidRPr="00576869">
        <w:rPr>
          <w:rFonts w:ascii="Times New Roman" w:hAnsi="Times New Roman" w:cs="Times New Roman"/>
          <w:sz w:val="28"/>
          <w:szCs w:val="28"/>
          <w:lang w:val="en-US"/>
        </w:rPr>
        <w:t>option</w:t>
      </w:r>
      <w:r w:rsidR="00576869" w:rsidRPr="00576869">
        <w:rPr>
          <w:rFonts w:ascii="Times New Roman" w:hAnsi="Times New Roman" w:cs="Times New Roman"/>
          <w:sz w:val="28"/>
          <w:szCs w:val="28"/>
        </w:rPr>
        <w:t xml:space="preserve">), особенность которого заключается в том, что по истечению установленного периода времени держатель опциона может решить, является ли он опционом </w:t>
      </w:r>
      <w:proofErr w:type="spellStart"/>
      <w:r w:rsidR="00576869" w:rsidRPr="00576869">
        <w:rPr>
          <w:rFonts w:ascii="Times New Roman" w:hAnsi="Times New Roman" w:cs="Times New Roman"/>
          <w:sz w:val="28"/>
          <w:szCs w:val="28"/>
        </w:rPr>
        <w:t>колл</w:t>
      </w:r>
      <w:proofErr w:type="spellEnd"/>
      <w:r w:rsidR="00576869" w:rsidRPr="00576869">
        <w:rPr>
          <w:rFonts w:ascii="Times New Roman" w:hAnsi="Times New Roman" w:cs="Times New Roman"/>
          <w:sz w:val="28"/>
          <w:szCs w:val="28"/>
        </w:rPr>
        <w:t xml:space="preserve"> или пут;</w:t>
      </w:r>
    </w:p>
    <w:p w14:paraId="2B93E9A4" w14:textId="680F8930" w:rsidR="0081459A" w:rsidRDefault="0081459A" w:rsidP="008145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1459A">
        <w:rPr>
          <w:rFonts w:ascii="Times New Roman" w:hAnsi="Times New Roman" w:cs="Times New Roman"/>
          <w:sz w:val="28"/>
          <w:szCs w:val="28"/>
        </w:rPr>
        <w:t xml:space="preserve"> </w:t>
      </w:r>
      <w:r w:rsidR="00576869" w:rsidRPr="00576869">
        <w:rPr>
          <w:rFonts w:ascii="Times New Roman" w:hAnsi="Times New Roman" w:cs="Times New Roman"/>
          <w:sz w:val="28"/>
          <w:szCs w:val="28"/>
        </w:rPr>
        <w:t>барьерный опцион (</w:t>
      </w:r>
      <w:r w:rsidR="00576869" w:rsidRPr="00576869">
        <w:rPr>
          <w:rFonts w:ascii="Times New Roman" w:hAnsi="Times New Roman" w:cs="Times New Roman"/>
          <w:sz w:val="28"/>
          <w:szCs w:val="28"/>
          <w:lang w:val="en-US"/>
        </w:rPr>
        <w:t>barrier</w:t>
      </w:r>
      <w:r w:rsidR="00576869" w:rsidRPr="00576869">
        <w:rPr>
          <w:rFonts w:ascii="Times New Roman" w:hAnsi="Times New Roman" w:cs="Times New Roman"/>
          <w:sz w:val="28"/>
          <w:szCs w:val="28"/>
        </w:rPr>
        <w:t xml:space="preserve"> </w:t>
      </w:r>
      <w:r w:rsidR="00576869" w:rsidRPr="00576869">
        <w:rPr>
          <w:rFonts w:ascii="Times New Roman" w:hAnsi="Times New Roman" w:cs="Times New Roman"/>
          <w:sz w:val="28"/>
          <w:szCs w:val="28"/>
          <w:lang w:val="en-US"/>
        </w:rPr>
        <w:t>option</w:t>
      </w:r>
      <w:r w:rsidR="00576869" w:rsidRPr="00576869">
        <w:rPr>
          <w:rFonts w:ascii="Times New Roman" w:hAnsi="Times New Roman" w:cs="Times New Roman"/>
          <w:sz w:val="28"/>
          <w:szCs w:val="28"/>
        </w:rPr>
        <w:t>), действие которого начинается либо прекращается тогда, когда текущая цена базового актива преодолевает определенный в контракте уровень (барьер);</w:t>
      </w:r>
    </w:p>
    <w:p w14:paraId="25252361" w14:textId="46A4CF07" w:rsidR="0081459A" w:rsidRDefault="0081459A" w:rsidP="008145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1459A">
        <w:rPr>
          <w:rFonts w:ascii="Times New Roman" w:hAnsi="Times New Roman" w:cs="Times New Roman"/>
          <w:sz w:val="28"/>
          <w:szCs w:val="28"/>
        </w:rPr>
        <w:t xml:space="preserve"> </w:t>
      </w:r>
      <w:r w:rsidR="00576869" w:rsidRPr="00576869">
        <w:rPr>
          <w:rFonts w:ascii="Times New Roman" w:hAnsi="Times New Roman" w:cs="Times New Roman"/>
          <w:sz w:val="28"/>
          <w:szCs w:val="28"/>
        </w:rPr>
        <w:t>опцион с возвратом (</w:t>
      </w:r>
      <w:r w:rsidR="00576869" w:rsidRPr="00576869">
        <w:rPr>
          <w:rFonts w:ascii="Times New Roman" w:hAnsi="Times New Roman" w:cs="Times New Roman"/>
          <w:sz w:val="28"/>
          <w:szCs w:val="28"/>
          <w:lang w:val="en-US"/>
        </w:rPr>
        <w:t>lookback</w:t>
      </w:r>
      <w:r w:rsidR="00576869" w:rsidRPr="00576869">
        <w:rPr>
          <w:rFonts w:ascii="Times New Roman" w:hAnsi="Times New Roman" w:cs="Times New Roman"/>
          <w:sz w:val="28"/>
          <w:szCs w:val="28"/>
        </w:rPr>
        <w:t xml:space="preserve"> </w:t>
      </w:r>
      <w:r w:rsidR="00576869" w:rsidRPr="00576869">
        <w:rPr>
          <w:rFonts w:ascii="Times New Roman" w:hAnsi="Times New Roman" w:cs="Times New Roman"/>
          <w:sz w:val="28"/>
          <w:szCs w:val="28"/>
          <w:lang w:val="en-US"/>
        </w:rPr>
        <w:t>option</w:t>
      </w:r>
      <w:r w:rsidR="00576869" w:rsidRPr="00576869">
        <w:rPr>
          <w:rFonts w:ascii="Times New Roman" w:hAnsi="Times New Roman" w:cs="Times New Roman"/>
          <w:sz w:val="28"/>
          <w:szCs w:val="28"/>
        </w:rPr>
        <w:t>), особенность которого заключается в том, что покупатель опциона может выбрать ценой исполнения любую цену базисного актива, действовавшую в течение всего периода существования опциона;</w:t>
      </w:r>
    </w:p>
    <w:p w14:paraId="075C9B83" w14:textId="26762A95" w:rsidR="0081459A" w:rsidRDefault="0081459A" w:rsidP="008145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1459A">
        <w:rPr>
          <w:rFonts w:ascii="Times New Roman" w:hAnsi="Times New Roman" w:cs="Times New Roman"/>
          <w:sz w:val="28"/>
          <w:szCs w:val="28"/>
        </w:rPr>
        <w:t xml:space="preserve"> </w:t>
      </w:r>
      <w:r w:rsidR="00576869" w:rsidRPr="00576869">
        <w:rPr>
          <w:rFonts w:ascii="Times New Roman" w:hAnsi="Times New Roman" w:cs="Times New Roman"/>
          <w:sz w:val="28"/>
          <w:szCs w:val="28"/>
        </w:rPr>
        <w:t>опцион с предупреждением (</w:t>
      </w:r>
      <w:r w:rsidR="00576869" w:rsidRPr="00576869">
        <w:rPr>
          <w:rFonts w:ascii="Times New Roman" w:hAnsi="Times New Roman" w:cs="Times New Roman"/>
          <w:sz w:val="28"/>
          <w:szCs w:val="28"/>
          <w:lang w:val="en-US"/>
        </w:rPr>
        <w:t>shout</w:t>
      </w:r>
      <w:r w:rsidR="00576869" w:rsidRPr="00576869">
        <w:rPr>
          <w:rFonts w:ascii="Times New Roman" w:hAnsi="Times New Roman" w:cs="Times New Roman"/>
          <w:sz w:val="28"/>
          <w:szCs w:val="28"/>
        </w:rPr>
        <w:t xml:space="preserve"> </w:t>
      </w:r>
      <w:r w:rsidR="00576869" w:rsidRPr="00576869">
        <w:rPr>
          <w:rFonts w:ascii="Times New Roman" w:hAnsi="Times New Roman" w:cs="Times New Roman"/>
          <w:sz w:val="28"/>
          <w:szCs w:val="28"/>
          <w:lang w:val="en-US"/>
        </w:rPr>
        <w:t>option</w:t>
      </w:r>
      <w:r w:rsidR="00576869" w:rsidRPr="00576869">
        <w:rPr>
          <w:rFonts w:ascii="Times New Roman" w:hAnsi="Times New Roman" w:cs="Times New Roman"/>
          <w:sz w:val="28"/>
          <w:szCs w:val="28"/>
        </w:rPr>
        <w:t xml:space="preserve">) — европейский опцион, который позволяет держателю «выкрикнуть» в любой момент в течение срока </w:t>
      </w:r>
      <w:r w:rsidR="00576869" w:rsidRPr="00576869">
        <w:rPr>
          <w:rFonts w:ascii="Times New Roman" w:hAnsi="Times New Roman" w:cs="Times New Roman"/>
          <w:sz w:val="28"/>
          <w:szCs w:val="28"/>
        </w:rPr>
        <w:lastRenderedPageBreak/>
        <w:t>действия опциона, а уже по истечении срока выбрать, по какой цене будет исполнен опцион (по цене во время «предупреждения» или по цене исполнения, указанной в опционе);</w:t>
      </w:r>
    </w:p>
    <w:p w14:paraId="74868C09" w14:textId="3B37D890" w:rsidR="0081459A" w:rsidRDefault="0081459A" w:rsidP="008145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1459A">
        <w:rPr>
          <w:rFonts w:ascii="Times New Roman" w:hAnsi="Times New Roman" w:cs="Times New Roman"/>
          <w:sz w:val="28"/>
          <w:szCs w:val="28"/>
        </w:rPr>
        <w:t xml:space="preserve"> </w:t>
      </w:r>
      <w:r w:rsidR="00576869" w:rsidRPr="00576869">
        <w:rPr>
          <w:rFonts w:ascii="Times New Roman" w:hAnsi="Times New Roman" w:cs="Times New Roman"/>
          <w:sz w:val="28"/>
          <w:szCs w:val="28"/>
        </w:rPr>
        <w:t>обменный опцион (</w:t>
      </w:r>
      <w:r w:rsidR="00576869" w:rsidRPr="00576869">
        <w:rPr>
          <w:rFonts w:ascii="Times New Roman" w:hAnsi="Times New Roman" w:cs="Times New Roman"/>
          <w:sz w:val="28"/>
          <w:szCs w:val="28"/>
          <w:lang w:val="en-US"/>
        </w:rPr>
        <w:t>exchange</w:t>
      </w:r>
      <w:r w:rsidR="00576869" w:rsidRPr="00576869">
        <w:rPr>
          <w:rFonts w:ascii="Times New Roman" w:hAnsi="Times New Roman" w:cs="Times New Roman"/>
          <w:sz w:val="28"/>
          <w:szCs w:val="28"/>
        </w:rPr>
        <w:t xml:space="preserve"> </w:t>
      </w:r>
      <w:r w:rsidR="00576869" w:rsidRPr="00576869">
        <w:rPr>
          <w:rFonts w:ascii="Times New Roman" w:hAnsi="Times New Roman" w:cs="Times New Roman"/>
          <w:sz w:val="28"/>
          <w:szCs w:val="28"/>
          <w:lang w:val="en-US"/>
        </w:rPr>
        <w:t>option</w:t>
      </w:r>
      <w:r w:rsidR="00576869" w:rsidRPr="00576869">
        <w:rPr>
          <w:rFonts w:ascii="Times New Roman" w:hAnsi="Times New Roman" w:cs="Times New Roman"/>
          <w:sz w:val="28"/>
          <w:szCs w:val="28"/>
        </w:rPr>
        <w:t>) позволяет обменять один актив на другой;</w:t>
      </w:r>
    </w:p>
    <w:p w14:paraId="72AB7D6C" w14:textId="6F1765E4" w:rsidR="00576869" w:rsidRPr="00576869" w:rsidRDefault="0081459A" w:rsidP="008145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1459A">
        <w:rPr>
          <w:rFonts w:ascii="Times New Roman" w:hAnsi="Times New Roman" w:cs="Times New Roman"/>
          <w:sz w:val="28"/>
          <w:szCs w:val="28"/>
        </w:rPr>
        <w:t xml:space="preserve"> </w:t>
      </w:r>
      <w:r w:rsidR="00576869" w:rsidRPr="00576869">
        <w:rPr>
          <w:rFonts w:ascii="Times New Roman" w:hAnsi="Times New Roman" w:cs="Times New Roman"/>
          <w:sz w:val="28"/>
          <w:szCs w:val="28"/>
        </w:rPr>
        <w:t>радужный опцион (</w:t>
      </w:r>
      <w:r w:rsidR="00576869" w:rsidRPr="00576869">
        <w:rPr>
          <w:rFonts w:ascii="Times New Roman" w:hAnsi="Times New Roman" w:cs="Times New Roman"/>
          <w:sz w:val="28"/>
          <w:szCs w:val="28"/>
          <w:lang w:val="en-US"/>
        </w:rPr>
        <w:t>rainbow</w:t>
      </w:r>
      <w:r w:rsidR="00576869" w:rsidRPr="00576869">
        <w:rPr>
          <w:rFonts w:ascii="Times New Roman" w:hAnsi="Times New Roman" w:cs="Times New Roman"/>
          <w:sz w:val="28"/>
          <w:szCs w:val="28"/>
        </w:rPr>
        <w:t xml:space="preserve"> </w:t>
      </w:r>
      <w:r w:rsidR="00576869" w:rsidRPr="00576869">
        <w:rPr>
          <w:rFonts w:ascii="Times New Roman" w:hAnsi="Times New Roman" w:cs="Times New Roman"/>
          <w:sz w:val="28"/>
          <w:szCs w:val="28"/>
          <w:lang w:val="en-US"/>
        </w:rPr>
        <w:t>option</w:t>
      </w:r>
      <w:r w:rsidR="00576869" w:rsidRPr="00576869">
        <w:rPr>
          <w:rFonts w:ascii="Times New Roman" w:hAnsi="Times New Roman" w:cs="Times New Roman"/>
          <w:sz w:val="28"/>
          <w:szCs w:val="28"/>
        </w:rPr>
        <w:t xml:space="preserve">), базисный актив которого может быть выбран покупателем опциона из списка возможных активов и </w:t>
      </w:r>
      <w:proofErr w:type="spellStart"/>
      <w:r w:rsidR="00576869" w:rsidRPr="00576869">
        <w:rPr>
          <w:rFonts w:ascii="Times New Roman" w:hAnsi="Times New Roman" w:cs="Times New Roman"/>
          <w:sz w:val="28"/>
          <w:szCs w:val="28"/>
        </w:rPr>
        <w:t>др</w:t>
      </w:r>
      <w:proofErr w:type="spellEnd"/>
      <w:r w:rsidR="006A79A8">
        <w:rPr>
          <w:rFonts w:ascii="Times New Roman" w:hAnsi="Times New Roman" w:cs="Times New Roman"/>
          <w:sz w:val="28"/>
          <w:szCs w:val="28"/>
        </w:rPr>
        <w:t xml:space="preserve"> [6].</w:t>
      </w:r>
    </w:p>
    <w:p w14:paraId="73F03035" w14:textId="37F77E96" w:rsidR="00702358" w:rsidRPr="00576869" w:rsidRDefault="00576869" w:rsidP="00576869">
      <w:pPr>
        <w:spacing w:after="0" w:line="360" w:lineRule="auto"/>
        <w:ind w:firstLine="709"/>
        <w:jc w:val="both"/>
        <w:rPr>
          <w:rFonts w:ascii="Times New Roman" w:hAnsi="Times New Roman" w:cs="Times New Roman"/>
          <w:sz w:val="28"/>
          <w:szCs w:val="28"/>
        </w:rPr>
      </w:pPr>
      <w:r w:rsidRPr="00576869">
        <w:rPr>
          <w:rFonts w:ascii="Times New Roman" w:hAnsi="Times New Roman" w:cs="Times New Roman"/>
          <w:sz w:val="28"/>
          <w:szCs w:val="28"/>
        </w:rPr>
        <w:t xml:space="preserve">На рынке производных финансовых инструментов постоянно появляются новые виды </w:t>
      </w:r>
      <w:proofErr w:type="spellStart"/>
      <w:r w:rsidRPr="00576869">
        <w:rPr>
          <w:rFonts w:ascii="Times New Roman" w:hAnsi="Times New Roman" w:cs="Times New Roman"/>
          <w:sz w:val="28"/>
          <w:szCs w:val="28"/>
        </w:rPr>
        <w:t>деривативов</w:t>
      </w:r>
      <w:proofErr w:type="spellEnd"/>
      <w:r w:rsidRPr="00576869">
        <w:rPr>
          <w:rFonts w:ascii="Times New Roman" w:hAnsi="Times New Roman" w:cs="Times New Roman"/>
          <w:sz w:val="28"/>
          <w:szCs w:val="28"/>
        </w:rPr>
        <w:t>, адаптированных к индивидуальным потребностям участников рынка и позволяющие осуществлять более полное покрытие риска.</w:t>
      </w:r>
    </w:p>
    <w:p w14:paraId="35F91489" w14:textId="77777777" w:rsidR="00702358" w:rsidRPr="00702358" w:rsidRDefault="00702358" w:rsidP="00702358">
      <w:pPr>
        <w:spacing w:after="0" w:line="360" w:lineRule="auto"/>
        <w:ind w:firstLine="709"/>
        <w:jc w:val="both"/>
        <w:rPr>
          <w:rFonts w:ascii="Times New Roman" w:hAnsi="Times New Roman" w:cs="Times New Roman"/>
          <w:sz w:val="28"/>
          <w:szCs w:val="28"/>
        </w:rPr>
      </w:pPr>
    </w:p>
    <w:p w14:paraId="0F6C6285" w14:textId="2F958D8F" w:rsidR="00702358" w:rsidRPr="00576869" w:rsidRDefault="00702358" w:rsidP="00702358">
      <w:pPr>
        <w:spacing w:after="0" w:line="360" w:lineRule="auto"/>
        <w:ind w:firstLine="709"/>
        <w:jc w:val="both"/>
        <w:rPr>
          <w:rFonts w:ascii="Times New Roman" w:hAnsi="Times New Roman" w:cs="Times New Roman"/>
          <w:b/>
          <w:bCs/>
          <w:sz w:val="28"/>
          <w:szCs w:val="28"/>
        </w:rPr>
      </w:pPr>
      <w:r w:rsidRPr="00576869">
        <w:rPr>
          <w:rFonts w:ascii="Times New Roman" w:hAnsi="Times New Roman" w:cs="Times New Roman"/>
          <w:b/>
          <w:bCs/>
          <w:sz w:val="28"/>
          <w:szCs w:val="28"/>
        </w:rPr>
        <w:t xml:space="preserve">1.3 Методические подходы к применению валютных </w:t>
      </w:r>
      <w:proofErr w:type="spellStart"/>
      <w:r w:rsidRPr="00576869">
        <w:rPr>
          <w:rFonts w:ascii="Times New Roman" w:hAnsi="Times New Roman" w:cs="Times New Roman"/>
          <w:b/>
          <w:bCs/>
          <w:sz w:val="28"/>
          <w:szCs w:val="28"/>
        </w:rPr>
        <w:t>деривативов</w:t>
      </w:r>
      <w:proofErr w:type="spellEnd"/>
      <w:r w:rsidRPr="00576869">
        <w:rPr>
          <w:rFonts w:ascii="Times New Roman" w:hAnsi="Times New Roman" w:cs="Times New Roman"/>
          <w:b/>
          <w:bCs/>
          <w:sz w:val="28"/>
          <w:szCs w:val="28"/>
        </w:rPr>
        <w:t xml:space="preserve"> при осуществлении международных сделок</w:t>
      </w:r>
    </w:p>
    <w:p w14:paraId="17646CDC" w14:textId="02B0F976" w:rsidR="00702358" w:rsidRDefault="00702358" w:rsidP="00702358">
      <w:pPr>
        <w:spacing w:after="0" w:line="360" w:lineRule="auto"/>
        <w:ind w:firstLine="709"/>
        <w:jc w:val="both"/>
        <w:rPr>
          <w:rFonts w:ascii="Times New Roman" w:hAnsi="Times New Roman" w:cs="Times New Roman"/>
          <w:sz w:val="28"/>
          <w:szCs w:val="28"/>
        </w:rPr>
      </w:pPr>
    </w:p>
    <w:p w14:paraId="28A38DA6" w14:textId="37445471" w:rsidR="0081459A" w:rsidRPr="0081459A"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Производный финансовый инструмент или </w:t>
      </w:r>
      <w:proofErr w:type="spellStart"/>
      <w:r w:rsidRPr="00FA0BAC">
        <w:rPr>
          <w:rFonts w:ascii="Times New Roman" w:hAnsi="Times New Roman" w:cs="Times New Roman"/>
          <w:sz w:val="28"/>
          <w:szCs w:val="28"/>
        </w:rPr>
        <w:t>дериватив</w:t>
      </w:r>
      <w:proofErr w:type="spellEnd"/>
      <w:r w:rsidRPr="00FA0BAC">
        <w:rPr>
          <w:rFonts w:ascii="Times New Roman" w:hAnsi="Times New Roman" w:cs="Times New Roman"/>
          <w:sz w:val="28"/>
          <w:szCs w:val="28"/>
        </w:rPr>
        <w:t xml:space="preserve"> представляет собой контракт, в соответствии с которым заключившие его стороны имеют обязательство или право осуществить оговоренные в контракте действия по отношению к базовому активу. В основном </w:t>
      </w:r>
      <w:proofErr w:type="spellStart"/>
      <w:r w:rsidRPr="00FA0BAC">
        <w:rPr>
          <w:rFonts w:ascii="Times New Roman" w:hAnsi="Times New Roman" w:cs="Times New Roman"/>
          <w:sz w:val="28"/>
          <w:szCs w:val="28"/>
        </w:rPr>
        <w:t>дериватив</w:t>
      </w:r>
      <w:proofErr w:type="spellEnd"/>
      <w:r w:rsidRPr="00FA0BAC">
        <w:rPr>
          <w:rFonts w:ascii="Times New Roman" w:hAnsi="Times New Roman" w:cs="Times New Roman"/>
          <w:sz w:val="28"/>
          <w:szCs w:val="28"/>
        </w:rPr>
        <w:t xml:space="preserve"> дает возможность покупки, продажи, предоставления, получения некоторых товаров или ценных бумаг. Отличительная особенность </w:t>
      </w:r>
      <w:proofErr w:type="spellStart"/>
      <w:r w:rsidRPr="00FA0BAC">
        <w:rPr>
          <w:rFonts w:ascii="Times New Roman" w:hAnsi="Times New Roman" w:cs="Times New Roman"/>
          <w:sz w:val="28"/>
          <w:szCs w:val="28"/>
        </w:rPr>
        <w:t>дериватива</w:t>
      </w:r>
      <w:proofErr w:type="spellEnd"/>
      <w:r w:rsidRPr="00FA0BAC">
        <w:rPr>
          <w:rFonts w:ascii="Times New Roman" w:hAnsi="Times New Roman" w:cs="Times New Roman"/>
          <w:sz w:val="28"/>
          <w:szCs w:val="28"/>
        </w:rPr>
        <w:t xml:space="preserve"> состоит в его </w:t>
      </w:r>
      <w:proofErr w:type="spellStart"/>
      <w:r w:rsidRPr="00FA0BAC">
        <w:rPr>
          <w:rFonts w:ascii="Times New Roman" w:hAnsi="Times New Roman" w:cs="Times New Roman"/>
          <w:sz w:val="28"/>
          <w:szCs w:val="28"/>
        </w:rPr>
        <w:t>стандартизированности</w:t>
      </w:r>
      <w:proofErr w:type="spellEnd"/>
      <w:r w:rsidRPr="00FA0BAC">
        <w:rPr>
          <w:rFonts w:ascii="Times New Roman" w:hAnsi="Times New Roman" w:cs="Times New Roman"/>
          <w:sz w:val="28"/>
          <w:szCs w:val="28"/>
        </w:rPr>
        <w:t xml:space="preserve"> и том, что изменение его цены связано с изменением цены базового актива [8]</w:t>
      </w:r>
      <w:r w:rsidR="0081459A" w:rsidRPr="0081459A">
        <w:rPr>
          <w:rFonts w:ascii="Times New Roman" w:hAnsi="Times New Roman" w:cs="Times New Roman"/>
          <w:sz w:val="28"/>
          <w:szCs w:val="28"/>
        </w:rPr>
        <w:t>.</w:t>
      </w:r>
    </w:p>
    <w:p w14:paraId="07359DFC" w14:textId="0F4D6EE2" w:rsidR="0081459A" w:rsidRPr="0081459A" w:rsidRDefault="00FA0BAC" w:rsidP="00A50C39">
      <w:pPr>
        <w:spacing w:after="0" w:line="360" w:lineRule="auto"/>
        <w:ind w:firstLine="709"/>
        <w:jc w:val="both"/>
        <w:rPr>
          <w:rFonts w:ascii="Times New Roman" w:hAnsi="Times New Roman" w:cs="Times New Roman"/>
          <w:sz w:val="28"/>
          <w:szCs w:val="28"/>
        </w:rPr>
      </w:pPr>
      <w:proofErr w:type="spellStart"/>
      <w:r w:rsidRPr="00FA0BAC">
        <w:rPr>
          <w:rFonts w:ascii="Times New Roman" w:hAnsi="Times New Roman" w:cs="Times New Roman"/>
          <w:sz w:val="28"/>
          <w:szCs w:val="28"/>
        </w:rPr>
        <w:t>Деривативы</w:t>
      </w:r>
      <w:proofErr w:type="spellEnd"/>
      <w:r w:rsidRPr="00FA0BAC">
        <w:rPr>
          <w:rFonts w:ascii="Times New Roman" w:hAnsi="Times New Roman" w:cs="Times New Roman"/>
          <w:sz w:val="28"/>
          <w:szCs w:val="28"/>
        </w:rPr>
        <w:t xml:space="preserve"> широко классифицируются по взаимосвязи между базовым активом и производным, типом базового актива, рынком, на котором они торгуют, и их профилем выплат. Наиболее распространенными типами производных инструментов являются форварды, фьючерсы, опционы и свопы. Наиболее распространенные базовые активы включают товары, акции, облигации, процентные ставки и валюты [22]</w:t>
      </w:r>
      <w:r w:rsidR="0081459A" w:rsidRPr="0081459A">
        <w:rPr>
          <w:rFonts w:ascii="Times New Roman" w:hAnsi="Times New Roman" w:cs="Times New Roman"/>
          <w:sz w:val="28"/>
          <w:szCs w:val="28"/>
        </w:rPr>
        <w:t>.</w:t>
      </w:r>
    </w:p>
    <w:p w14:paraId="73739D1F" w14:textId="7C05D7D2" w:rsidR="00A50C39" w:rsidRPr="0081459A"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Подавляющую долю операций по приобретению и реализации валюты занимают такие, при которых на сделку уходит больше чем 2 рабочих дня. Их </w:t>
      </w:r>
      <w:r w:rsidRPr="00FA0BAC">
        <w:rPr>
          <w:rFonts w:ascii="Times New Roman" w:hAnsi="Times New Roman" w:cs="Times New Roman"/>
          <w:sz w:val="28"/>
          <w:szCs w:val="28"/>
        </w:rPr>
        <w:lastRenderedPageBreak/>
        <w:t>тогда называют срочными операциями, и при совершении сделки валюта поставляется с отсрочкой на период, превышающий 2-дневные рамки [</w:t>
      </w:r>
      <w:r w:rsidR="0081459A">
        <w:rPr>
          <w:rFonts w:ascii="Times New Roman" w:hAnsi="Times New Roman" w:cs="Times New Roman"/>
          <w:sz w:val="28"/>
          <w:szCs w:val="28"/>
        </w:rPr>
        <w:t>4</w:t>
      </w:r>
      <w:r w:rsidR="0081459A" w:rsidRPr="0081459A">
        <w:rPr>
          <w:rFonts w:ascii="Times New Roman" w:hAnsi="Times New Roman" w:cs="Times New Roman"/>
          <w:sz w:val="28"/>
          <w:szCs w:val="28"/>
        </w:rPr>
        <w:t>].</w:t>
      </w:r>
    </w:p>
    <w:p w14:paraId="2B62A2E5" w14:textId="1D7CEF6F" w:rsidR="00A50C39"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Существует две группы производных контрактов, которые отличаются тем, как они торгуются на рынке.</w:t>
      </w:r>
    </w:p>
    <w:p w14:paraId="426124EF" w14:textId="10D4F110" w:rsidR="00A50C39"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1. Внебиржевые </w:t>
      </w:r>
      <w:r w:rsidR="00B847BA">
        <w:rPr>
          <w:rFonts w:ascii="Times New Roman" w:hAnsi="Times New Roman" w:cs="Times New Roman"/>
          <w:sz w:val="28"/>
          <w:szCs w:val="28"/>
        </w:rPr>
        <w:t>–</w:t>
      </w:r>
      <w:r w:rsidRPr="00FA0BAC">
        <w:rPr>
          <w:rFonts w:ascii="Times New Roman" w:hAnsi="Times New Roman" w:cs="Times New Roman"/>
          <w:sz w:val="28"/>
          <w:szCs w:val="28"/>
        </w:rPr>
        <w:t xml:space="preserve"> форвардные контракты, внебиржевые опционы и свопы.</w:t>
      </w:r>
    </w:p>
    <w:p w14:paraId="0D04F5D5" w14:textId="066AFFF2" w:rsidR="00FA0BAC" w:rsidRPr="00FA0BAC"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2. Биржевые </w:t>
      </w:r>
      <w:r w:rsidR="00B847BA">
        <w:rPr>
          <w:rFonts w:ascii="Times New Roman" w:hAnsi="Times New Roman" w:cs="Times New Roman"/>
          <w:sz w:val="28"/>
          <w:szCs w:val="28"/>
        </w:rPr>
        <w:t>–</w:t>
      </w:r>
      <w:r w:rsidRPr="00FA0BAC">
        <w:rPr>
          <w:rFonts w:ascii="Times New Roman" w:hAnsi="Times New Roman" w:cs="Times New Roman"/>
          <w:sz w:val="28"/>
          <w:szCs w:val="28"/>
        </w:rPr>
        <w:t xml:space="preserve"> фьючерсы, биржевые опционы и свопы.</w:t>
      </w:r>
    </w:p>
    <w:p w14:paraId="0D55BB57" w14:textId="1EDE3F08" w:rsidR="00A50C39" w:rsidRDefault="00FA0BAC" w:rsidP="00FA0BAC">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Форвардные контракты или форварды представляют собой тип производного инструмента, что означает, что они представляют собой соглашения о покупке или продаже актива с фиксированной ценой и датой. Форварды </w:t>
      </w:r>
      <w:r w:rsidR="00B847BA">
        <w:rPr>
          <w:rFonts w:ascii="Times New Roman" w:hAnsi="Times New Roman" w:cs="Times New Roman"/>
          <w:sz w:val="28"/>
          <w:szCs w:val="28"/>
        </w:rPr>
        <w:t>–</w:t>
      </w:r>
      <w:r w:rsidRPr="00FA0BAC">
        <w:rPr>
          <w:rFonts w:ascii="Times New Roman" w:hAnsi="Times New Roman" w:cs="Times New Roman"/>
          <w:sz w:val="28"/>
          <w:szCs w:val="28"/>
        </w:rPr>
        <w:t xml:space="preserve"> это контракты, в которых указываются сумма, дата и курс для будущего обмена валюты между двумя сторонами</w:t>
      </w:r>
      <w:r w:rsidR="00B847BA">
        <w:rPr>
          <w:rFonts w:ascii="Times New Roman" w:hAnsi="Times New Roman" w:cs="Times New Roman"/>
          <w:sz w:val="28"/>
          <w:szCs w:val="28"/>
        </w:rPr>
        <w:t xml:space="preserve"> </w:t>
      </w:r>
      <w:r w:rsidRPr="00FA0BAC">
        <w:rPr>
          <w:rFonts w:ascii="Times New Roman" w:hAnsi="Times New Roman" w:cs="Times New Roman"/>
          <w:sz w:val="28"/>
          <w:szCs w:val="28"/>
        </w:rPr>
        <w:t>[25]</w:t>
      </w:r>
      <w:r w:rsidR="00A50C39">
        <w:rPr>
          <w:rFonts w:ascii="Times New Roman" w:hAnsi="Times New Roman" w:cs="Times New Roman"/>
          <w:sz w:val="28"/>
          <w:szCs w:val="28"/>
        </w:rPr>
        <w:t>.</w:t>
      </w:r>
    </w:p>
    <w:p w14:paraId="327C461C" w14:textId="0623252C" w:rsidR="00A50C39" w:rsidRDefault="00FA0BAC" w:rsidP="00FA0BAC">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Вовлеченные стороны обычно являются предприятиями с международными операциями и банками. Форварды позволяют компаниям закрывать сделки и планировать будущие транзакции по текущим обменным курсам.</w:t>
      </w:r>
    </w:p>
    <w:p w14:paraId="52E3C046" w14:textId="77311EEC" w:rsidR="00FA0BAC" w:rsidRPr="00FA0BAC" w:rsidRDefault="00FA0BAC" w:rsidP="00FA0BAC">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Благодаря форвардному контракту предприятия знают точный курс обмена, который они получат в будущем, поэтому им больше не нужно гадать или делать прогнозы.</w:t>
      </w:r>
    </w:p>
    <w:p w14:paraId="1CDDF06F" w14:textId="0A7EE1EB" w:rsidR="00A50C39"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Валютные форварды обычно следуют простой модели для определения обменного курса (или цены). Он состоит из текущей ставки и разницы процентных ставок: одна единица валюты A плюс проценты от страны A (заработанные в течение срока действия договора) будут равны текущей стоимости в валюте B плюс проценты от страны B</w:t>
      </w:r>
      <w:r w:rsidR="00A50C39">
        <w:rPr>
          <w:rFonts w:ascii="Times New Roman" w:hAnsi="Times New Roman" w:cs="Times New Roman"/>
          <w:sz w:val="28"/>
          <w:szCs w:val="28"/>
        </w:rPr>
        <w:t xml:space="preserve"> </w:t>
      </w:r>
      <w:r w:rsidRPr="00FA0BAC">
        <w:rPr>
          <w:rFonts w:ascii="Times New Roman" w:hAnsi="Times New Roman" w:cs="Times New Roman"/>
          <w:sz w:val="28"/>
          <w:szCs w:val="28"/>
        </w:rPr>
        <w:t>[25]</w:t>
      </w:r>
      <w:r w:rsidR="00A50C39">
        <w:rPr>
          <w:rFonts w:ascii="Times New Roman" w:hAnsi="Times New Roman" w:cs="Times New Roman"/>
          <w:sz w:val="28"/>
          <w:szCs w:val="28"/>
        </w:rPr>
        <w:t>.</w:t>
      </w:r>
    </w:p>
    <w:p w14:paraId="28171AA5" w14:textId="5BDF3415" w:rsidR="00A50C39"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Риски хеджирования с форвардными контрактами</w:t>
      </w:r>
      <w:r w:rsidR="00A50C39">
        <w:rPr>
          <w:rFonts w:ascii="Times New Roman" w:hAnsi="Times New Roman" w:cs="Times New Roman"/>
          <w:sz w:val="28"/>
          <w:szCs w:val="28"/>
        </w:rPr>
        <w:t>.</w:t>
      </w:r>
    </w:p>
    <w:p w14:paraId="07BFD280" w14:textId="532E08DE" w:rsidR="00A50C39"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Форвардные контракты устраняют неопределенность в отношении будущих изменений обменного курса. Компании могут планировать заранее, зная, что независимо от рыночных изменений они смогут обменивать валюты по фиксированному курсу.</w:t>
      </w:r>
    </w:p>
    <w:p w14:paraId="03D9F074" w14:textId="235ED28B" w:rsidR="00A50C39"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lastRenderedPageBreak/>
        <w:t>Экспортеры могут знать точную стоимость будущих платежей, а импортеры могут прогнозировать точную стоимость продуктов. Поэтому форварды хеджируют риск колебаний обменного курса</w:t>
      </w:r>
      <w:r w:rsidR="00A50C39">
        <w:rPr>
          <w:rFonts w:ascii="Times New Roman" w:hAnsi="Times New Roman" w:cs="Times New Roman"/>
          <w:sz w:val="28"/>
          <w:szCs w:val="28"/>
        </w:rPr>
        <w:t>.</w:t>
      </w:r>
    </w:p>
    <w:p w14:paraId="737720D1" w14:textId="6D9EE591" w:rsidR="00A50C39"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Форварды эффективно устраняют риск потенциальных потерь от неблагоприятных движений рынка. Однако они также исключают возможность получения дополнительной прибыли в случае благоприятных движений. Если иностранная валюта, которую вы будете обменивать, обесценивается, договор гарантирует, что вы по-прежнему будете получать ту же сумму в местной валюте, чтобы не было риска убытков. Однако, если курс иностранной валюты повысится, дополнительных доходов не будет, потому что вы все равно получите ту же сумму [25]</w:t>
      </w:r>
      <w:r w:rsidR="00A50C39">
        <w:rPr>
          <w:rFonts w:ascii="Times New Roman" w:hAnsi="Times New Roman" w:cs="Times New Roman"/>
          <w:sz w:val="28"/>
          <w:szCs w:val="28"/>
        </w:rPr>
        <w:t>.</w:t>
      </w:r>
    </w:p>
    <w:p w14:paraId="700DBAFD" w14:textId="7C12ACAB" w:rsidR="00A50C39"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Следующим </w:t>
      </w:r>
      <w:proofErr w:type="spellStart"/>
      <w:r w:rsidRPr="00FA0BAC">
        <w:rPr>
          <w:rFonts w:ascii="Times New Roman" w:hAnsi="Times New Roman" w:cs="Times New Roman"/>
          <w:sz w:val="28"/>
          <w:szCs w:val="28"/>
        </w:rPr>
        <w:t>деривативом</w:t>
      </w:r>
      <w:proofErr w:type="spellEnd"/>
      <w:r w:rsidRPr="00FA0BAC">
        <w:rPr>
          <w:rFonts w:ascii="Times New Roman" w:hAnsi="Times New Roman" w:cs="Times New Roman"/>
          <w:sz w:val="28"/>
          <w:szCs w:val="28"/>
        </w:rPr>
        <w:t xml:space="preserve"> является фьючерсный контракт, который по своему функционалу очень сильно похож на форвардный контракт. Однако, у них присутствуют определённые различия. Стоит отметить, что фьючерсный контракт отличается от форвардного контракта тем, что фьючерсный контракт представляет собой стандартизированный контракт, подписанный клиринговой палатой, которая управляет биржей, где контракт может быть куплен и продан. С другой стороны, форвардный контракт - это </w:t>
      </w:r>
      <w:proofErr w:type="spellStart"/>
      <w:r w:rsidRPr="00FA0BAC">
        <w:rPr>
          <w:rFonts w:ascii="Times New Roman" w:hAnsi="Times New Roman" w:cs="Times New Roman"/>
          <w:sz w:val="28"/>
          <w:szCs w:val="28"/>
        </w:rPr>
        <w:t>нестандартизированный</w:t>
      </w:r>
      <w:proofErr w:type="spellEnd"/>
      <w:r w:rsidRPr="00FA0BAC">
        <w:rPr>
          <w:rFonts w:ascii="Times New Roman" w:hAnsi="Times New Roman" w:cs="Times New Roman"/>
          <w:sz w:val="28"/>
          <w:szCs w:val="28"/>
        </w:rPr>
        <w:t xml:space="preserve"> контракт, написанный самими сторонами.</w:t>
      </w:r>
    </w:p>
    <w:p w14:paraId="4A768A20" w14:textId="720CCC7D" w:rsidR="00A50C39"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Форвардные контракты также обычно не имеют промежуточных частичных расчетов - или «проверок» - в маржинальных требованиях, таких как фьючерсы, так что стороны не обмениваются дополнительным имуществом, гарантируя выгоду стороне, и вся нереализованная прибыль или убыток накапливаются, пока контракт открыто.</w:t>
      </w:r>
    </w:p>
    <w:p w14:paraId="290239F5" w14:textId="5D1A0674" w:rsidR="00A50C39"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Хорошей альтернативой форварду может быть опцион. Их бесспорный плюс по сравнению с форвардами в том, что, если рынок оказывается благоприятным для клиента (например, крепкий рубль вместо ожидаемой девальвации для импортера), опцион можно не исполнять и купить валюту по рынку. Также клиенту не придется отвлекать средства на обеспечение и вариационную маржу.</w:t>
      </w:r>
    </w:p>
    <w:p w14:paraId="0323FA87" w14:textId="373FE35D" w:rsidR="00A50C39"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Рассмотрим следующий пример:</w:t>
      </w:r>
      <w:r w:rsidR="00A50C39">
        <w:rPr>
          <w:rFonts w:ascii="Times New Roman" w:hAnsi="Times New Roman" w:cs="Times New Roman"/>
          <w:sz w:val="28"/>
          <w:szCs w:val="28"/>
        </w:rPr>
        <w:t xml:space="preserve"> </w:t>
      </w:r>
    </w:p>
    <w:p w14:paraId="746DCCAE" w14:textId="33634A3E" w:rsidR="00A50C39"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lastRenderedPageBreak/>
        <w:t>Компания-импортёр хеджирует покупку на 1 млн долларов через шесть месяцев при помощи опциона. Существуют следующие варианты развития событий :</w:t>
      </w:r>
    </w:p>
    <w:p w14:paraId="3F470B40" w14:textId="4F24CA95" w:rsidR="00A50C39"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1. Если через шесть месяцев рубль продолжит укрепляться, то можно отказаться от права воспользоваться опционом и купить доллары по рыночному курсу.</w:t>
      </w:r>
    </w:p>
    <w:p w14:paraId="4AECB2E4" w14:textId="56DEE013" w:rsidR="00A50C39"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2. Если курс рубля начнёт падать, то клиент купит доллары по курсу, зафиксированному в опционном контракте, то клиент сэкономит на разнице в стоимостях, так как приобретёт валюту по более дешёвому курсу.</w:t>
      </w:r>
    </w:p>
    <w:p w14:paraId="68FF7EC7" w14:textId="30E8A312" w:rsidR="00A50C39"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Как итог, деятельность компании становится прогнозируемой и не зависит от потрясений на валютных рынках [13]</w:t>
      </w:r>
      <w:r w:rsidR="00B847BA">
        <w:rPr>
          <w:rFonts w:ascii="Times New Roman" w:hAnsi="Times New Roman" w:cs="Times New Roman"/>
          <w:sz w:val="28"/>
          <w:szCs w:val="28"/>
        </w:rPr>
        <w:t>.</w:t>
      </w:r>
    </w:p>
    <w:p w14:paraId="46AC46F9" w14:textId="6363068F" w:rsidR="00A50C39"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Также хеджировать риски можно при помощи свопов.</w:t>
      </w:r>
    </w:p>
    <w:p w14:paraId="4CD5BF7B" w14:textId="4E810511" w:rsidR="00A50C39"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Своп – это проведение двух сделок с валютой на одну и ту же сумму, но имеющих противоположный характер и разные даты валютирования. В одном случае валюта продается, в другом — покупается, и наоборот. Первый своп называется «купил/продал» , а второй соответственно «продал/купил» . Свопы чаще всего используются банками, в том числе и национальными, для обмена рисками, в результате чего обе стороны ничего не теряют.</w:t>
      </w:r>
    </w:p>
    <w:p w14:paraId="5A5EC68F" w14:textId="6304DE6C" w:rsidR="00702358"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Таким образом, можно сделать вывод, что </w:t>
      </w:r>
      <w:proofErr w:type="spellStart"/>
      <w:r w:rsidRPr="00FA0BAC">
        <w:rPr>
          <w:rFonts w:ascii="Times New Roman" w:hAnsi="Times New Roman" w:cs="Times New Roman"/>
          <w:sz w:val="28"/>
          <w:szCs w:val="28"/>
        </w:rPr>
        <w:t>деривативы</w:t>
      </w:r>
      <w:proofErr w:type="spellEnd"/>
      <w:r w:rsidRPr="00FA0BAC">
        <w:rPr>
          <w:rFonts w:ascii="Times New Roman" w:hAnsi="Times New Roman" w:cs="Times New Roman"/>
          <w:sz w:val="28"/>
          <w:szCs w:val="28"/>
        </w:rPr>
        <w:t xml:space="preserve"> являются дополнительным эффективным инструментов минимизации валютных рисков. Данные инструменты могут быть подобраны компанией исходя из её определённых целей. Однако, стоит отметить, что у компании не всегда есть возможность воспользоваться </w:t>
      </w:r>
      <w:proofErr w:type="spellStart"/>
      <w:r w:rsidRPr="00FA0BAC">
        <w:rPr>
          <w:rFonts w:ascii="Times New Roman" w:hAnsi="Times New Roman" w:cs="Times New Roman"/>
          <w:sz w:val="28"/>
          <w:szCs w:val="28"/>
        </w:rPr>
        <w:t>деривативом</w:t>
      </w:r>
      <w:proofErr w:type="spellEnd"/>
      <w:r w:rsidRPr="00FA0BAC">
        <w:rPr>
          <w:rFonts w:ascii="Times New Roman" w:hAnsi="Times New Roman" w:cs="Times New Roman"/>
          <w:sz w:val="28"/>
          <w:szCs w:val="28"/>
        </w:rPr>
        <w:t>, так как на рынке не всегда присутствуют приемлемые для неё предложения.</w:t>
      </w:r>
    </w:p>
    <w:p w14:paraId="23EBAC35" w14:textId="233A44FF" w:rsidR="00702358" w:rsidRPr="00702358" w:rsidRDefault="00702358" w:rsidP="00FA0BAC">
      <w:pPr>
        <w:spacing w:after="0" w:line="360" w:lineRule="auto"/>
        <w:jc w:val="both"/>
        <w:rPr>
          <w:rFonts w:ascii="Times New Roman" w:hAnsi="Times New Roman" w:cs="Times New Roman"/>
          <w:sz w:val="28"/>
          <w:szCs w:val="28"/>
        </w:rPr>
      </w:pPr>
    </w:p>
    <w:p w14:paraId="5F26ADDD" w14:textId="69E8DD69" w:rsidR="00702358" w:rsidRPr="00702358" w:rsidRDefault="00702358" w:rsidP="00702358">
      <w:pPr>
        <w:rPr>
          <w:rFonts w:ascii="Times New Roman" w:hAnsi="Times New Roman" w:cs="Times New Roman"/>
          <w:sz w:val="28"/>
          <w:szCs w:val="28"/>
        </w:rPr>
      </w:pPr>
      <w:r>
        <w:rPr>
          <w:rFonts w:ascii="Times New Roman" w:hAnsi="Times New Roman" w:cs="Times New Roman"/>
          <w:sz w:val="28"/>
          <w:szCs w:val="28"/>
        </w:rPr>
        <w:br w:type="page"/>
      </w:r>
    </w:p>
    <w:p w14:paraId="4C0C46BB" w14:textId="0E266F46" w:rsidR="00702358" w:rsidRPr="00A20917" w:rsidRDefault="00702358" w:rsidP="00702358">
      <w:pPr>
        <w:spacing w:after="0" w:line="360" w:lineRule="auto"/>
        <w:ind w:firstLine="709"/>
        <w:jc w:val="both"/>
        <w:rPr>
          <w:rFonts w:ascii="Times New Roman" w:hAnsi="Times New Roman" w:cs="Times New Roman"/>
          <w:b/>
          <w:bCs/>
          <w:sz w:val="28"/>
          <w:szCs w:val="28"/>
        </w:rPr>
      </w:pPr>
      <w:r w:rsidRPr="00A20917">
        <w:rPr>
          <w:rFonts w:ascii="Times New Roman" w:hAnsi="Times New Roman" w:cs="Times New Roman"/>
          <w:b/>
          <w:bCs/>
          <w:sz w:val="28"/>
          <w:szCs w:val="28"/>
        </w:rPr>
        <w:lastRenderedPageBreak/>
        <w:t xml:space="preserve">2 Анализ использования сделок с </w:t>
      </w:r>
      <w:proofErr w:type="spellStart"/>
      <w:r w:rsidRPr="00A20917">
        <w:rPr>
          <w:rFonts w:ascii="Times New Roman" w:hAnsi="Times New Roman" w:cs="Times New Roman"/>
          <w:b/>
          <w:bCs/>
          <w:sz w:val="28"/>
          <w:szCs w:val="28"/>
        </w:rPr>
        <w:t>деривативами</w:t>
      </w:r>
      <w:proofErr w:type="spellEnd"/>
    </w:p>
    <w:p w14:paraId="738775F7" w14:textId="77777777" w:rsidR="00702358" w:rsidRPr="00702358" w:rsidRDefault="00702358" w:rsidP="00702358">
      <w:pPr>
        <w:spacing w:after="0" w:line="360" w:lineRule="auto"/>
        <w:ind w:firstLine="709"/>
        <w:jc w:val="both"/>
        <w:rPr>
          <w:rFonts w:ascii="Times New Roman" w:hAnsi="Times New Roman" w:cs="Times New Roman"/>
          <w:sz w:val="28"/>
          <w:szCs w:val="28"/>
        </w:rPr>
      </w:pPr>
    </w:p>
    <w:p w14:paraId="0E02598A" w14:textId="455DB27B" w:rsidR="00702358" w:rsidRPr="00A20917" w:rsidRDefault="00702358" w:rsidP="00702358">
      <w:pPr>
        <w:spacing w:after="0" w:line="360" w:lineRule="auto"/>
        <w:ind w:firstLine="709"/>
        <w:jc w:val="both"/>
        <w:rPr>
          <w:rFonts w:ascii="Times New Roman" w:hAnsi="Times New Roman" w:cs="Times New Roman"/>
          <w:b/>
          <w:bCs/>
          <w:sz w:val="28"/>
          <w:szCs w:val="28"/>
        </w:rPr>
      </w:pPr>
      <w:r w:rsidRPr="00A20917">
        <w:rPr>
          <w:rFonts w:ascii="Times New Roman" w:hAnsi="Times New Roman" w:cs="Times New Roman"/>
          <w:b/>
          <w:bCs/>
          <w:sz w:val="28"/>
          <w:szCs w:val="28"/>
        </w:rPr>
        <w:t xml:space="preserve">2.1 Анализ мировой практики использования сделок с </w:t>
      </w:r>
      <w:proofErr w:type="spellStart"/>
      <w:r w:rsidRPr="00A20917">
        <w:rPr>
          <w:rFonts w:ascii="Times New Roman" w:hAnsi="Times New Roman" w:cs="Times New Roman"/>
          <w:b/>
          <w:bCs/>
          <w:sz w:val="28"/>
          <w:szCs w:val="28"/>
        </w:rPr>
        <w:t>деривативами</w:t>
      </w:r>
      <w:proofErr w:type="spellEnd"/>
    </w:p>
    <w:p w14:paraId="3694E257" w14:textId="08BBEC4A" w:rsidR="00702358" w:rsidRDefault="00702358" w:rsidP="00702358">
      <w:pPr>
        <w:spacing w:after="0" w:line="360" w:lineRule="auto"/>
        <w:ind w:firstLine="709"/>
        <w:jc w:val="both"/>
        <w:rPr>
          <w:rFonts w:ascii="Times New Roman" w:hAnsi="Times New Roman" w:cs="Times New Roman"/>
          <w:sz w:val="28"/>
          <w:szCs w:val="28"/>
        </w:rPr>
      </w:pPr>
    </w:p>
    <w:p w14:paraId="44BF07A8" w14:textId="663E721A" w:rsidR="00FA0BAC" w:rsidRPr="00FA0BAC"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Международные финансовые рынки претерпели важные изменения за последние пятьдесят лет в попытке приспособиться к изменениям, которые произошли в модели капиталистического развития и, в частности, в международных финансах. Хотя изменения произошли во всех сегментах финансового рынка, есть один, который особенно выделяется тем, что претерпел их очень резко: рынок </w:t>
      </w:r>
      <w:proofErr w:type="spellStart"/>
      <w:r w:rsidRPr="00FA0BAC">
        <w:rPr>
          <w:rFonts w:ascii="Times New Roman" w:hAnsi="Times New Roman" w:cs="Times New Roman"/>
          <w:sz w:val="28"/>
          <w:szCs w:val="28"/>
        </w:rPr>
        <w:t>деривативов</w:t>
      </w:r>
      <w:proofErr w:type="spellEnd"/>
      <w:r w:rsidRPr="00FA0BAC">
        <w:rPr>
          <w:rFonts w:ascii="Times New Roman" w:hAnsi="Times New Roman" w:cs="Times New Roman"/>
          <w:sz w:val="28"/>
          <w:szCs w:val="28"/>
        </w:rPr>
        <w:t>. Эти преобразования в основном связаны с ее ростом, ее инновационной природой, увеличением ее сложности и характера ее операций.</w:t>
      </w:r>
    </w:p>
    <w:p w14:paraId="5AB04B29" w14:textId="7FE3FAB9" w:rsidR="00FA0BAC" w:rsidRPr="00FA0BAC"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Эволюция рынка производных финансовых инструментов тесно связана с поведением остальных сегментов, составляющих финансовые рынки, таких как кредит, акции и валютные рынки, а также основных продуктов, поскольку они являются базовыми активами таких контрактов. . Являясь частью финансовых рынков, рынок </w:t>
      </w:r>
      <w:proofErr w:type="spellStart"/>
      <w:r w:rsidRPr="00FA0BAC">
        <w:rPr>
          <w:rFonts w:ascii="Times New Roman" w:hAnsi="Times New Roman" w:cs="Times New Roman"/>
          <w:sz w:val="28"/>
          <w:szCs w:val="28"/>
        </w:rPr>
        <w:t>деривативов</w:t>
      </w:r>
      <w:proofErr w:type="spellEnd"/>
      <w:r w:rsidRPr="00FA0BAC">
        <w:rPr>
          <w:rFonts w:ascii="Times New Roman" w:hAnsi="Times New Roman" w:cs="Times New Roman"/>
          <w:sz w:val="28"/>
          <w:szCs w:val="28"/>
        </w:rPr>
        <w:t xml:space="preserve"> не чужд ни господствующим тенденциям в международных финансах, среди которых выделяются финансовая либерализация, </w:t>
      </w:r>
      <w:proofErr w:type="spellStart"/>
      <w:r w:rsidRPr="00FA0BAC">
        <w:rPr>
          <w:rFonts w:ascii="Times New Roman" w:hAnsi="Times New Roman" w:cs="Times New Roman"/>
          <w:sz w:val="28"/>
          <w:szCs w:val="28"/>
        </w:rPr>
        <w:t>дерегулирование</w:t>
      </w:r>
      <w:proofErr w:type="spellEnd"/>
      <w:r w:rsidRPr="00FA0BAC">
        <w:rPr>
          <w:rFonts w:ascii="Times New Roman" w:hAnsi="Times New Roman" w:cs="Times New Roman"/>
          <w:sz w:val="28"/>
          <w:szCs w:val="28"/>
        </w:rPr>
        <w:t xml:space="preserve"> и </w:t>
      </w:r>
      <w:proofErr w:type="spellStart"/>
      <w:r w:rsidRPr="00FA0BAC">
        <w:rPr>
          <w:rFonts w:ascii="Times New Roman" w:hAnsi="Times New Roman" w:cs="Times New Roman"/>
          <w:sz w:val="28"/>
          <w:szCs w:val="28"/>
        </w:rPr>
        <w:t>дезинтермедиация</w:t>
      </w:r>
      <w:proofErr w:type="spellEnd"/>
      <w:r w:rsidRPr="00FA0BAC">
        <w:rPr>
          <w:rFonts w:ascii="Times New Roman" w:hAnsi="Times New Roman" w:cs="Times New Roman"/>
          <w:sz w:val="28"/>
          <w:szCs w:val="28"/>
        </w:rPr>
        <w:t>, ни общему контексту глобализации и интернационализации в этой сфере.</w:t>
      </w:r>
    </w:p>
    <w:p w14:paraId="2C648DB4" w14:textId="443CA979" w:rsidR="00702358" w:rsidRDefault="00FA0BAC" w:rsidP="00FA0BAC">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Кроме того, значительное влияние на его деятельность оказали конъюнктурные события, такие как финансовый кризис и, в частности, кризис 2008 г. </w:t>
      </w:r>
      <w:r w:rsidR="00A50C39">
        <w:rPr>
          <w:rFonts w:ascii="Times New Roman" w:hAnsi="Times New Roman" w:cs="Times New Roman"/>
          <w:sz w:val="28"/>
          <w:szCs w:val="28"/>
        </w:rPr>
        <w:t>–</w:t>
      </w:r>
      <w:r w:rsidRPr="00FA0BAC">
        <w:rPr>
          <w:rFonts w:ascii="Times New Roman" w:hAnsi="Times New Roman" w:cs="Times New Roman"/>
          <w:sz w:val="28"/>
          <w:szCs w:val="28"/>
        </w:rPr>
        <w:t xml:space="preserve"> самого глубокого за период, охватываемый данной работой. В частности, этот кризис стал решающим для недавней эволюции этого сегмента финансового рынка, вплоть до того, что в последние годы стали очевидны некоторые изменения в его поведении. Однако, по сути, основная мотивация продолжает присутствовать, а именно потребность в том, чтобы капитал продолжал получать максимально возможную отдачу.</w:t>
      </w:r>
    </w:p>
    <w:p w14:paraId="6097EE5F" w14:textId="50A3D19A" w:rsidR="00FA0BAC" w:rsidRPr="00FA0BAC"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lastRenderedPageBreak/>
        <w:t xml:space="preserve">В 1970-х годах рынок </w:t>
      </w:r>
      <w:proofErr w:type="spellStart"/>
      <w:r w:rsidRPr="00FA0BAC">
        <w:rPr>
          <w:rFonts w:ascii="Times New Roman" w:hAnsi="Times New Roman" w:cs="Times New Roman"/>
          <w:sz w:val="28"/>
          <w:szCs w:val="28"/>
        </w:rPr>
        <w:t>деривативов</w:t>
      </w:r>
      <w:proofErr w:type="spellEnd"/>
      <w:r w:rsidRPr="00FA0BAC">
        <w:rPr>
          <w:rFonts w:ascii="Times New Roman" w:hAnsi="Times New Roman" w:cs="Times New Roman"/>
          <w:sz w:val="28"/>
          <w:szCs w:val="28"/>
        </w:rPr>
        <w:t xml:space="preserve"> получил сильное развитие и стал хорошо структурированным и организованным сегментом финансового рынка. Этому способствовали три фактора:</w:t>
      </w:r>
    </w:p>
    <w:p w14:paraId="0ED037E0" w14:textId="3017BB92" w:rsidR="00FA0BAC" w:rsidRPr="00FA0BAC" w:rsidRDefault="00A50C39" w:rsidP="00A50C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э</w:t>
      </w:r>
      <w:r w:rsidR="00FA0BAC" w:rsidRPr="00FA0BAC">
        <w:rPr>
          <w:rFonts w:ascii="Times New Roman" w:hAnsi="Times New Roman" w:cs="Times New Roman"/>
          <w:sz w:val="28"/>
          <w:szCs w:val="28"/>
        </w:rPr>
        <w:t xml:space="preserve">кономические: банкротство </w:t>
      </w:r>
      <w:proofErr w:type="spellStart"/>
      <w:r w:rsidR="00FA0BAC" w:rsidRPr="00FA0BAC">
        <w:rPr>
          <w:rFonts w:ascii="Times New Roman" w:hAnsi="Times New Roman" w:cs="Times New Roman"/>
          <w:sz w:val="28"/>
          <w:szCs w:val="28"/>
        </w:rPr>
        <w:t>Бреттон-Вудской</w:t>
      </w:r>
      <w:proofErr w:type="spellEnd"/>
      <w:r w:rsidR="00FA0BAC" w:rsidRPr="00FA0BAC">
        <w:rPr>
          <w:rFonts w:ascii="Times New Roman" w:hAnsi="Times New Roman" w:cs="Times New Roman"/>
          <w:sz w:val="28"/>
          <w:szCs w:val="28"/>
        </w:rPr>
        <w:t xml:space="preserve"> системы уступило место системе переменных валютных и процентных ставок, что увеличило связанные с ними риски. Конечно, были и другие рыночные риски (связанные с колебаниями цен на товары, ценные бумаги и валюты) и кредит или неплатеж, но это событие накладывает новую уязвимость на финансовые рынки.</w:t>
      </w:r>
    </w:p>
    <w:p w14:paraId="3FC5165B" w14:textId="39EEBEAB" w:rsidR="00FA0BAC" w:rsidRPr="00FA0BAC" w:rsidRDefault="00A50C39" w:rsidP="00A50C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w:t>
      </w:r>
      <w:r w:rsidR="00FA0BAC" w:rsidRPr="00FA0BAC">
        <w:rPr>
          <w:rFonts w:ascii="Times New Roman" w:hAnsi="Times New Roman" w:cs="Times New Roman"/>
          <w:sz w:val="28"/>
          <w:szCs w:val="28"/>
        </w:rPr>
        <w:t>еоретическ</w:t>
      </w:r>
      <w:r>
        <w:rPr>
          <w:rFonts w:ascii="Times New Roman" w:hAnsi="Times New Roman" w:cs="Times New Roman"/>
          <w:sz w:val="28"/>
          <w:szCs w:val="28"/>
        </w:rPr>
        <w:t>ие</w:t>
      </w:r>
      <w:r w:rsidR="00FA0BAC" w:rsidRPr="00FA0BAC">
        <w:rPr>
          <w:rFonts w:ascii="Times New Roman" w:hAnsi="Times New Roman" w:cs="Times New Roman"/>
          <w:sz w:val="28"/>
          <w:szCs w:val="28"/>
        </w:rPr>
        <w:t xml:space="preserve">: </w:t>
      </w:r>
      <w:r>
        <w:rPr>
          <w:rFonts w:ascii="Times New Roman" w:hAnsi="Times New Roman" w:cs="Times New Roman"/>
          <w:sz w:val="28"/>
          <w:szCs w:val="28"/>
        </w:rPr>
        <w:t>п</w:t>
      </w:r>
      <w:r w:rsidR="00FA0BAC" w:rsidRPr="00FA0BAC">
        <w:rPr>
          <w:rFonts w:ascii="Times New Roman" w:hAnsi="Times New Roman" w:cs="Times New Roman"/>
          <w:sz w:val="28"/>
          <w:szCs w:val="28"/>
        </w:rPr>
        <w:t xml:space="preserve">убликация модели ценообразования опционов </w:t>
      </w:r>
      <w:proofErr w:type="spellStart"/>
      <w:r w:rsidR="00FA0BAC" w:rsidRPr="00FA0BAC">
        <w:rPr>
          <w:rFonts w:ascii="Times New Roman" w:hAnsi="Times New Roman" w:cs="Times New Roman"/>
          <w:sz w:val="28"/>
          <w:szCs w:val="28"/>
        </w:rPr>
        <w:t>Блэка</w:t>
      </w:r>
      <w:proofErr w:type="spellEnd"/>
      <w:r w:rsidR="00FA0BAC" w:rsidRPr="00FA0BAC">
        <w:rPr>
          <w:rFonts w:ascii="Times New Roman" w:hAnsi="Times New Roman" w:cs="Times New Roman"/>
          <w:sz w:val="28"/>
          <w:szCs w:val="28"/>
        </w:rPr>
        <w:t xml:space="preserve"> и </w:t>
      </w:r>
      <w:proofErr w:type="spellStart"/>
      <w:r w:rsidR="00FA0BAC" w:rsidRPr="00FA0BAC">
        <w:rPr>
          <w:rFonts w:ascii="Times New Roman" w:hAnsi="Times New Roman" w:cs="Times New Roman"/>
          <w:sz w:val="28"/>
          <w:szCs w:val="28"/>
        </w:rPr>
        <w:t>Шоулза</w:t>
      </w:r>
      <w:proofErr w:type="spellEnd"/>
      <w:r w:rsidR="00FA0BAC" w:rsidRPr="00FA0BAC">
        <w:rPr>
          <w:rFonts w:ascii="Times New Roman" w:hAnsi="Times New Roman" w:cs="Times New Roman"/>
          <w:sz w:val="28"/>
          <w:szCs w:val="28"/>
        </w:rPr>
        <w:t>, разработанной для оценки других финансовых активов, которая обеспечивает достаточно надежную оценку теоретической стоимости опционов. Это способствовало взрывному росту торговли этими инструментами, потому что, позволяя узнать, как формировалась их цена, и предлагая меру риска для инвесторов, это в определенной степени уменьшало неопределенность;</w:t>
      </w:r>
    </w:p>
    <w:p w14:paraId="73547D9E" w14:textId="51F0FEDF" w:rsidR="00FA0BAC" w:rsidRDefault="00A50C39" w:rsidP="00FA0B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w:t>
      </w:r>
      <w:r w:rsidR="00FA0BAC" w:rsidRPr="00FA0BAC">
        <w:rPr>
          <w:rFonts w:ascii="Times New Roman" w:hAnsi="Times New Roman" w:cs="Times New Roman"/>
          <w:sz w:val="28"/>
          <w:szCs w:val="28"/>
        </w:rPr>
        <w:t xml:space="preserve">ехнологические: достижения в этой области упростили получение, анализ и передачу данных, а вместе с этим расширились возможности использования </w:t>
      </w:r>
      <w:proofErr w:type="spellStart"/>
      <w:r w:rsidR="00FA0BAC" w:rsidRPr="00FA0BAC">
        <w:rPr>
          <w:rFonts w:ascii="Times New Roman" w:hAnsi="Times New Roman" w:cs="Times New Roman"/>
          <w:sz w:val="28"/>
          <w:szCs w:val="28"/>
        </w:rPr>
        <w:t>деривативов</w:t>
      </w:r>
      <w:proofErr w:type="spellEnd"/>
      <w:r w:rsidR="00FA0BAC" w:rsidRPr="00FA0BAC">
        <w:rPr>
          <w:rFonts w:ascii="Times New Roman" w:hAnsi="Times New Roman" w:cs="Times New Roman"/>
          <w:sz w:val="28"/>
          <w:szCs w:val="28"/>
        </w:rPr>
        <w:t>. Также в те годы появились свопы , широко используемые инструменты, поскольку они облегчают заключение форвардных или срочных контрактов (наиболее распространенных до того времени), когда они осуществляются через посредников.</w:t>
      </w:r>
    </w:p>
    <w:p w14:paraId="6C00A3EB" w14:textId="5D2EB2E6" w:rsidR="00FA0BAC" w:rsidRPr="00FA0BAC"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Кризис 2007-2008 годов затронул все сегменты финансового рынка, перерос в кризис экономический и затронул как биржевые, так и внебиржевые </w:t>
      </w:r>
      <w:proofErr w:type="spellStart"/>
      <w:r w:rsidRPr="00FA0BAC">
        <w:rPr>
          <w:rFonts w:ascii="Times New Roman" w:hAnsi="Times New Roman" w:cs="Times New Roman"/>
          <w:sz w:val="28"/>
          <w:szCs w:val="28"/>
        </w:rPr>
        <w:t>деривативы</w:t>
      </w:r>
      <w:proofErr w:type="spellEnd"/>
      <w:r w:rsidRPr="00FA0BAC">
        <w:rPr>
          <w:rFonts w:ascii="Times New Roman" w:hAnsi="Times New Roman" w:cs="Times New Roman"/>
          <w:sz w:val="28"/>
          <w:szCs w:val="28"/>
        </w:rPr>
        <w:t xml:space="preserve">. Торги на биржах упали на 26,8% с декабря 2007 г. по декабрь 2009 г., а на внебиржевых рынках – на 13,4% с июня по декабрь 2008 г. </w:t>
      </w:r>
    </w:p>
    <w:p w14:paraId="02DC0F6E" w14:textId="083C28AA" w:rsidR="00FA0BAC" w:rsidRPr="00FA0BAC"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Сокращение кредита после кризиса из-за влияния банковских учреждений или из-за их нежелания предоставлять его из-за преобладающей неопределенности повлияло на сокращение производных контрактов на процентные ставки. С другой стороны, разразившийся экономический кризис </w:t>
      </w:r>
      <w:r w:rsidRPr="00FA0BAC">
        <w:rPr>
          <w:rFonts w:ascii="Times New Roman" w:hAnsi="Times New Roman" w:cs="Times New Roman"/>
          <w:sz w:val="28"/>
          <w:szCs w:val="28"/>
        </w:rPr>
        <w:lastRenderedPageBreak/>
        <w:t xml:space="preserve">повлиял на сокращение контрактов на товары, акции и валюту, но в первую очередь это сказалось на сегменте кредитных </w:t>
      </w:r>
      <w:proofErr w:type="spellStart"/>
      <w:r w:rsidRPr="00FA0BAC">
        <w:rPr>
          <w:rFonts w:ascii="Times New Roman" w:hAnsi="Times New Roman" w:cs="Times New Roman"/>
          <w:sz w:val="28"/>
          <w:szCs w:val="28"/>
        </w:rPr>
        <w:t>деривативов</w:t>
      </w:r>
      <w:proofErr w:type="spellEnd"/>
      <w:r w:rsidRPr="00FA0BAC">
        <w:rPr>
          <w:rFonts w:ascii="Times New Roman" w:hAnsi="Times New Roman" w:cs="Times New Roman"/>
          <w:sz w:val="28"/>
          <w:szCs w:val="28"/>
        </w:rPr>
        <w:t>.</w:t>
      </w:r>
    </w:p>
    <w:p w14:paraId="3121EDA3" w14:textId="01CBF329" w:rsidR="00FA0BAC" w:rsidRPr="00FA0BAC"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С 2009 года рынок начал восстанавливаться, хотя и с некоторыми особенностями. Во-первых, восстановление было достаточно неустойчивым, что было обусловлено рядом факторов: с одной стороны, многие участники опасались распространенности памяти о кризисе и его последствиях; помимо других объективных факторов, таких как слабое восстановление экономики США и Европы, снижение темпов роста развивающихся экономик после их хороших показателей в годы, непосредственно следующие за кризисом, и появление других сложностей, связанных с ситуацией их финансовые рынки, к увеличению его внутреннего и внешнего долга, среди прочего. Все это означало, что некоторые инвесторы были более чувствительны, чем обычно, к любому событию. В противоположном направлении,</w:t>
      </w:r>
    </w:p>
    <w:p w14:paraId="72C2AAA0" w14:textId="521B7107" w:rsidR="00FA0BAC" w:rsidRPr="00FA0BAC"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Во-вторых, кризис вызвал другие изменения, связанные не только с немедленным спадом и неуверенным и неустойчивым восстановлением в первые годы, но и с тем, что его последствия повлияли на потребность в регулировании с целью повышения прозрачности и устойчивости рынка, с целью избежать подобных ситуаций в будущем.</w:t>
      </w:r>
    </w:p>
    <w:p w14:paraId="1C513C06" w14:textId="4A08E3E4" w:rsidR="00FA0BAC" w:rsidRPr="00FA0BAC"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В этом смысле был достигнут прогресс в части стандартизации контрактов, расширения требований к информации (например, требований к отчетности), пополнения маржи для широкого спектра </w:t>
      </w:r>
      <w:proofErr w:type="spellStart"/>
      <w:r w:rsidRPr="00FA0BAC">
        <w:rPr>
          <w:rFonts w:ascii="Times New Roman" w:hAnsi="Times New Roman" w:cs="Times New Roman"/>
          <w:sz w:val="28"/>
          <w:szCs w:val="28"/>
        </w:rPr>
        <w:t>деривативов</w:t>
      </w:r>
      <w:proofErr w:type="spellEnd"/>
      <w:r w:rsidRPr="00FA0BAC">
        <w:rPr>
          <w:rFonts w:ascii="Times New Roman" w:hAnsi="Times New Roman" w:cs="Times New Roman"/>
          <w:sz w:val="28"/>
          <w:szCs w:val="28"/>
        </w:rPr>
        <w:t>, введения требований по взносам (капитала, залога и т. д.). Последний сократил количество открытых контрактов в результате сжатия (это происходит через центральные органы, но также может происходить между независимыми агентами) и компенсации ( клиринга ) путем устранения избыточных позиций между участвующими сторонами, в дополнение к обеспечению большего контроля. над операциями.</w:t>
      </w:r>
    </w:p>
    <w:p w14:paraId="706A26F6" w14:textId="47CF1417" w:rsidR="00FA0BAC" w:rsidRPr="00FA0BAC"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По состоянию на 2015 год рынок </w:t>
      </w:r>
      <w:proofErr w:type="spellStart"/>
      <w:r w:rsidRPr="00FA0BAC">
        <w:rPr>
          <w:rFonts w:ascii="Times New Roman" w:hAnsi="Times New Roman" w:cs="Times New Roman"/>
          <w:sz w:val="28"/>
          <w:szCs w:val="28"/>
        </w:rPr>
        <w:t>деривативов</w:t>
      </w:r>
      <w:proofErr w:type="spellEnd"/>
      <w:r w:rsidRPr="00FA0BAC">
        <w:rPr>
          <w:rFonts w:ascii="Times New Roman" w:hAnsi="Times New Roman" w:cs="Times New Roman"/>
          <w:sz w:val="28"/>
          <w:szCs w:val="28"/>
        </w:rPr>
        <w:t xml:space="preserve"> восстановил тенденцию к устойчивому росту, отражая эволюцию его базовых рынков и восстановление доверия инвесторов в целом в период, когда мировая экономика, хотя и не росла высокими темпами, делал это достаточно стабильно.</w:t>
      </w:r>
    </w:p>
    <w:p w14:paraId="37E3331F" w14:textId="5636A5A7" w:rsidR="00FA0BAC" w:rsidRDefault="00FA0BAC" w:rsidP="00FA0BAC">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lastRenderedPageBreak/>
        <w:t>Очевидно, биржи, на которых торгуются эти инструменты, были более динамичными, чем внебиржевые рынки, хотя на практике это было не так. Кроме того, внебиржевые рынки продолжали опережать их по объемам торгов. Далее выясняются причины обоих поведений.</w:t>
      </w:r>
    </w:p>
    <w:p w14:paraId="35B82FDA" w14:textId="4EC7D53C" w:rsidR="00FA0BAC" w:rsidRDefault="00FA0BAC" w:rsidP="00FA0BAC">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На фондовых рынках, как видно на рисунке выше, по-прежнему торгуется больше опционов, чем фьючерсов, учитывая большую гибкость первых, хотя стратегии с опционами, как правило, более сложны и </w:t>
      </w:r>
      <w:proofErr w:type="spellStart"/>
      <w:r w:rsidRPr="00FA0BAC">
        <w:rPr>
          <w:rFonts w:ascii="Times New Roman" w:hAnsi="Times New Roman" w:cs="Times New Roman"/>
          <w:sz w:val="28"/>
          <w:szCs w:val="28"/>
        </w:rPr>
        <w:t>затратны</w:t>
      </w:r>
      <w:proofErr w:type="spellEnd"/>
      <w:r w:rsidRPr="00FA0BAC">
        <w:rPr>
          <w:rFonts w:ascii="Times New Roman" w:hAnsi="Times New Roman" w:cs="Times New Roman"/>
          <w:sz w:val="28"/>
          <w:szCs w:val="28"/>
        </w:rPr>
        <w:t>. Внебиржевой рынок, со своей стороны, также демонстрирует преемственность в своем росте при соблюдении номинальных объемов открытых контрактов, но менее выраженную, чем на докризисных стадиях, и более низкими темпами по сравнению с фондовыми рынками.</w:t>
      </w:r>
    </w:p>
    <w:p w14:paraId="634C3C01" w14:textId="10973DE5" w:rsidR="00FA0BAC" w:rsidRDefault="00FA0BAC" w:rsidP="00FA0BAC">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Вышеизложенное может навести на мысль, что торговля </w:t>
      </w:r>
      <w:proofErr w:type="spellStart"/>
      <w:r w:rsidRPr="00FA0BAC">
        <w:rPr>
          <w:rFonts w:ascii="Times New Roman" w:hAnsi="Times New Roman" w:cs="Times New Roman"/>
          <w:sz w:val="28"/>
          <w:szCs w:val="28"/>
        </w:rPr>
        <w:t>деривативами</w:t>
      </w:r>
      <w:proofErr w:type="spellEnd"/>
      <w:r w:rsidRPr="00FA0BAC">
        <w:rPr>
          <w:rFonts w:ascii="Times New Roman" w:hAnsi="Times New Roman" w:cs="Times New Roman"/>
          <w:sz w:val="28"/>
          <w:szCs w:val="28"/>
        </w:rPr>
        <w:t xml:space="preserve"> на этих рынках сократилась. Реальность такова, что использование этих инструментов увеличилось, но непогашенная сумма открытых контрактов сократилась в результате сжатия, которое постоянно росло в последние годы,</w:t>
      </w:r>
    </w:p>
    <w:p w14:paraId="3B9A4ED3" w14:textId="287C68D9" w:rsidR="00FA0BAC" w:rsidRPr="00FA0BAC"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Эта практика распространилась до того, что почти все сделки CDS и форвардов и процентных свопов (для которых это обязательно), но и другие </w:t>
      </w:r>
      <w:proofErr w:type="spellStart"/>
      <w:r w:rsidRPr="00FA0BAC">
        <w:rPr>
          <w:rFonts w:ascii="Times New Roman" w:hAnsi="Times New Roman" w:cs="Times New Roman"/>
          <w:sz w:val="28"/>
          <w:szCs w:val="28"/>
        </w:rPr>
        <w:t>деривативы</w:t>
      </w:r>
      <w:proofErr w:type="spellEnd"/>
      <w:r w:rsidRPr="00FA0BAC">
        <w:rPr>
          <w:rFonts w:ascii="Times New Roman" w:hAnsi="Times New Roman" w:cs="Times New Roman"/>
          <w:sz w:val="28"/>
          <w:szCs w:val="28"/>
        </w:rPr>
        <w:t xml:space="preserve"> тоже добровольно мигрировали на центральный клиринг</w:t>
      </w:r>
    </w:p>
    <w:p w14:paraId="7A50D1EC" w14:textId="6934C527" w:rsidR="00FA0BAC" w:rsidRPr="00FA0BAC"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Однако, несмотря на сжатие, с 2015 года по настоящее время наблюдается рост в абсолютном выражении объемов торгов, обусловленный различными факторами. Одним из них является рост сегментов процентных </w:t>
      </w:r>
      <w:proofErr w:type="spellStart"/>
      <w:r w:rsidRPr="00FA0BAC">
        <w:rPr>
          <w:rFonts w:ascii="Times New Roman" w:hAnsi="Times New Roman" w:cs="Times New Roman"/>
          <w:sz w:val="28"/>
          <w:szCs w:val="28"/>
        </w:rPr>
        <w:t>деривативов</w:t>
      </w:r>
      <w:proofErr w:type="spellEnd"/>
      <w:r w:rsidRPr="00FA0BAC">
        <w:rPr>
          <w:rFonts w:ascii="Times New Roman" w:hAnsi="Times New Roman" w:cs="Times New Roman"/>
          <w:sz w:val="28"/>
          <w:szCs w:val="28"/>
        </w:rPr>
        <w:t xml:space="preserve"> (он продолжает оставаться самым крупным и динамичным и представляет более 80% всего внебиржевого рынка) и, в меньшей степени, иностранной валюты.</w:t>
      </w:r>
    </w:p>
    <w:p w14:paraId="4A15A498" w14:textId="5A4020BC" w:rsidR="00FA0BAC" w:rsidRPr="00FA0BAC"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Среднедневной объем торгов внебиржевыми процентными </w:t>
      </w:r>
      <w:proofErr w:type="spellStart"/>
      <w:r w:rsidRPr="00FA0BAC">
        <w:rPr>
          <w:rFonts w:ascii="Times New Roman" w:hAnsi="Times New Roman" w:cs="Times New Roman"/>
          <w:sz w:val="28"/>
          <w:szCs w:val="28"/>
        </w:rPr>
        <w:t>деривативами</w:t>
      </w:r>
      <w:proofErr w:type="spellEnd"/>
      <w:r w:rsidRPr="00FA0BAC">
        <w:rPr>
          <w:rFonts w:ascii="Times New Roman" w:hAnsi="Times New Roman" w:cs="Times New Roman"/>
          <w:sz w:val="28"/>
          <w:szCs w:val="28"/>
        </w:rPr>
        <w:t xml:space="preserve"> вырос более чем в два раза в период с 2016 по 2019 год, увеличившись на 143% (с 2007 по 2016 год он составлял примерно 17%), опережая средний дневной рост объемов торгов пакетами, который составлял 53%</w:t>
      </w:r>
      <w:r w:rsidR="00A50C39">
        <w:rPr>
          <w:rFonts w:ascii="Times New Roman" w:hAnsi="Times New Roman" w:cs="Times New Roman"/>
          <w:sz w:val="28"/>
          <w:szCs w:val="28"/>
        </w:rPr>
        <w:t xml:space="preserve">. </w:t>
      </w:r>
      <w:r w:rsidRPr="00FA0BAC">
        <w:rPr>
          <w:rFonts w:ascii="Times New Roman" w:hAnsi="Times New Roman" w:cs="Times New Roman"/>
          <w:sz w:val="28"/>
          <w:szCs w:val="28"/>
        </w:rPr>
        <w:t xml:space="preserve">Этот рост во многом был обусловлен большей неопределенностью в отношении краткосрочных процентных ставок в США, что стимулировало </w:t>
      </w:r>
      <w:r w:rsidRPr="00FA0BAC">
        <w:rPr>
          <w:rFonts w:ascii="Times New Roman" w:hAnsi="Times New Roman" w:cs="Times New Roman"/>
          <w:sz w:val="28"/>
          <w:szCs w:val="28"/>
        </w:rPr>
        <w:lastRenderedPageBreak/>
        <w:t>использование этих инструментов как в хеджировании, так и в спекулятивной деятельности.</w:t>
      </w:r>
    </w:p>
    <w:p w14:paraId="4411D9F0" w14:textId="67CBC1A6" w:rsidR="00FA0BAC" w:rsidRPr="00FA0BAC"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В случае валютных </w:t>
      </w:r>
      <w:proofErr w:type="spellStart"/>
      <w:r w:rsidRPr="00FA0BAC">
        <w:rPr>
          <w:rFonts w:ascii="Times New Roman" w:hAnsi="Times New Roman" w:cs="Times New Roman"/>
          <w:sz w:val="28"/>
          <w:szCs w:val="28"/>
        </w:rPr>
        <w:t>деривативов</w:t>
      </w:r>
      <w:proofErr w:type="spellEnd"/>
      <w:r w:rsidRPr="00FA0BAC">
        <w:rPr>
          <w:rFonts w:ascii="Times New Roman" w:hAnsi="Times New Roman" w:cs="Times New Roman"/>
          <w:sz w:val="28"/>
          <w:szCs w:val="28"/>
        </w:rPr>
        <w:t xml:space="preserve"> их рост связан с ростом рынка этих базовых активов, в основном за счет их использования в спекулятивных целях. Производные являются основными инструментами, используемыми в торговле валютой. В 2019 году текущие сделки (спот) составляли примерно лишь 1/3 от общего объема сделок, а остальная часть приходилась на различные </w:t>
      </w:r>
      <w:proofErr w:type="spellStart"/>
      <w:r w:rsidRPr="00FA0BAC">
        <w:rPr>
          <w:rFonts w:ascii="Times New Roman" w:hAnsi="Times New Roman" w:cs="Times New Roman"/>
          <w:sz w:val="28"/>
          <w:szCs w:val="28"/>
        </w:rPr>
        <w:t>деривативы</w:t>
      </w:r>
      <w:proofErr w:type="spellEnd"/>
      <w:r w:rsidRPr="00FA0BAC">
        <w:rPr>
          <w:rFonts w:ascii="Times New Roman" w:hAnsi="Times New Roman" w:cs="Times New Roman"/>
          <w:sz w:val="28"/>
          <w:szCs w:val="28"/>
        </w:rPr>
        <w:t>, в основном валютные своп</w:t>
      </w:r>
      <w:r w:rsidR="00A50C39">
        <w:rPr>
          <w:rFonts w:ascii="Times New Roman" w:hAnsi="Times New Roman" w:cs="Times New Roman"/>
          <w:sz w:val="28"/>
          <w:szCs w:val="28"/>
        </w:rPr>
        <w:t>ы</w:t>
      </w:r>
      <w:r w:rsidRPr="00FA0BAC">
        <w:rPr>
          <w:rFonts w:ascii="Times New Roman" w:hAnsi="Times New Roman" w:cs="Times New Roman"/>
          <w:sz w:val="28"/>
          <w:szCs w:val="28"/>
        </w:rPr>
        <w:t>.</w:t>
      </w:r>
    </w:p>
    <w:p w14:paraId="407592D0" w14:textId="3317BFB2" w:rsidR="00FA0BAC" w:rsidRPr="00FA0BAC"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Другим фактором, повлиявшим на рост рынка </w:t>
      </w:r>
      <w:proofErr w:type="spellStart"/>
      <w:r w:rsidRPr="00FA0BAC">
        <w:rPr>
          <w:rFonts w:ascii="Times New Roman" w:hAnsi="Times New Roman" w:cs="Times New Roman"/>
          <w:sz w:val="28"/>
          <w:szCs w:val="28"/>
        </w:rPr>
        <w:t>деривативов</w:t>
      </w:r>
      <w:proofErr w:type="spellEnd"/>
      <w:r w:rsidRPr="00FA0BAC">
        <w:rPr>
          <w:rFonts w:ascii="Times New Roman" w:hAnsi="Times New Roman" w:cs="Times New Roman"/>
          <w:sz w:val="28"/>
          <w:szCs w:val="28"/>
        </w:rPr>
        <w:t>, общим для всех сегментов, являются технологии. Увеличение автоматизации, использование электронных платформ для торговли и применение новых инвестиционных стратегий, в частности, за счет использования торговых алгоритмов, приводит к снижению транзакционных издержек как на фондовых биржах, так и на внебиржевых рынках; в дополнение к другим преимуществам, таким как расширение объемов, которые могут быть согласованы, объем и скорость информации, которая может быть обработана, что повышает точность; а также более широкие возможности для предоставления ликвидности и передачи рисков, среди прочего.</w:t>
      </w:r>
    </w:p>
    <w:p w14:paraId="56E3D744" w14:textId="34E49CF9" w:rsidR="00FA0BAC" w:rsidRPr="00FA0BAC"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Все вышеперечисленное привело к тому, что внебиржевые рынки предлагают некоторые из привлекательных особенностей бирж, сохраняя при этом их преимущества, такие как широкий спектр продуктов и контрактов, а также гибкость для удовлетворения потребностей клиентов. Таким образом, они превосходят биржи в дневной торговле </w:t>
      </w:r>
      <w:proofErr w:type="spellStart"/>
      <w:r w:rsidRPr="00FA0BAC">
        <w:rPr>
          <w:rFonts w:ascii="Times New Roman" w:hAnsi="Times New Roman" w:cs="Times New Roman"/>
          <w:sz w:val="28"/>
          <w:szCs w:val="28"/>
        </w:rPr>
        <w:t>деривативами</w:t>
      </w:r>
      <w:proofErr w:type="spellEnd"/>
      <w:r w:rsidRPr="00FA0BAC">
        <w:rPr>
          <w:rFonts w:ascii="Times New Roman" w:hAnsi="Times New Roman" w:cs="Times New Roman"/>
          <w:sz w:val="28"/>
          <w:szCs w:val="28"/>
        </w:rPr>
        <w:t>.</w:t>
      </w:r>
    </w:p>
    <w:p w14:paraId="36D18934" w14:textId="2BCB64BE" w:rsidR="00FA0BAC" w:rsidRPr="00FA0BAC"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Внедрение технологий также привело к заметному росту и расширению разнообразия агентов, участвующих на рынке. После финансового кризиса активы, которыми управляют инвестиционные фонды и другие небанковские инвесторы, существенно расширились, равно как и использование производных финансовых инструментов для такого управления. Это не означает, что традиционные финансовые учреждения, такие как банки, не используют эти инструменты в значительной степени; например, они внесли свой вклад в рост этих рынков, торгуя валютными свопами для управления </w:t>
      </w:r>
      <w:r w:rsidRPr="00FA0BAC">
        <w:rPr>
          <w:rFonts w:ascii="Times New Roman" w:hAnsi="Times New Roman" w:cs="Times New Roman"/>
          <w:sz w:val="28"/>
          <w:szCs w:val="28"/>
        </w:rPr>
        <w:lastRenderedPageBreak/>
        <w:t>своей ликвидностью, свопами</w:t>
      </w:r>
      <w:r w:rsidR="00A50C39">
        <w:rPr>
          <w:rFonts w:ascii="Times New Roman" w:hAnsi="Times New Roman" w:cs="Times New Roman"/>
          <w:sz w:val="28"/>
          <w:szCs w:val="28"/>
        </w:rPr>
        <w:t>-</w:t>
      </w:r>
      <w:r w:rsidRPr="00FA0BAC">
        <w:rPr>
          <w:rFonts w:ascii="Times New Roman" w:hAnsi="Times New Roman" w:cs="Times New Roman"/>
          <w:sz w:val="28"/>
          <w:szCs w:val="28"/>
        </w:rPr>
        <w:t>процентных ставок для арбитражных фондовых спредов в различных валютах и CDS для управления своими кредитными рисками, но наиболее динамичными по-прежнему остаются первые.</w:t>
      </w:r>
    </w:p>
    <w:p w14:paraId="722924F4" w14:textId="23808B03" w:rsidR="00FA0BAC" w:rsidRPr="00FA0BAC"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Что касается недавней эволюции других сегментов внебиржевого рынка по категориям риска, наиболее важным было то, что </w:t>
      </w:r>
      <w:proofErr w:type="spellStart"/>
      <w:r w:rsidRPr="00FA0BAC">
        <w:rPr>
          <w:rFonts w:ascii="Times New Roman" w:hAnsi="Times New Roman" w:cs="Times New Roman"/>
          <w:sz w:val="28"/>
          <w:szCs w:val="28"/>
        </w:rPr>
        <w:t>деривативы</w:t>
      </w:r>
      <w:proofErr w:type="spellEnd"/>
      <w:r w:rsidRPr="00FA0BAC">
        <w:rPr>
          <w:rFonts w:ascii="Times New Roman" w:hAnsi="Times New Roman" w:cs="Times New Roman"/>
          <w:sz w:val="28"/>
          <w:szCs w:val="28"/>
        </w:rPr>
        <w:t xml:space="preserve"> на основные продукты и кредиты сохранили наихудшие показатели после кризиса. Низкие цены на сырье и энергию продолжают давить на эти </w:t>
      </w:r>
      <w:proofErr w:type="spellStart"/>
      <w:r w:rsidRPr="00FA0BAC">
        <w:rPr>
          <w:rFonts w:ascii="Times New Roman" w:hAnsi="Times New Roman" w:cs="Times New Roman"/>
          <w:sz w:val="28"/>
          <w:szCs w:val="28"/>
        </w:rPr>
        <w:t>деривативы</w:t>
      </w:r>
      <w:proofErr w:type="spellEnd"/>
      <w:r w:rsidRPr="00FA0BAC">
        <w:rPr>
          <w:rFonts w:ascii="Times New Roman" w:hAnsi="Times New Roman" w:cs="Times New Roman"/>
          <w:sz w:val="28"/>
          <w:szCs w:val="28"/>
        </w:rPr>
        <w:t xml:space="preserve">, что привело к сокращению использования </w:t>
      </w:r>
      <w:proofErr w:type="spellStart"/>
      <w:r w:rsidRPr="00FA0BAC">
        <w:rPr>
          <w:rFonts w:ascii="Times New Roman" w:hAnsi="Times New Roman" w:cs="Times New Roman"/>
          <w:sz w:val="28"/>
          <w:szCs w:val="28"/>
        </w:rPr>
        <w:t>деривативов</w:t>
      </w:r>
      <w:proofErr w:type="spellEnd"/>
      <w:r w:rsidRPr="00FA0BAC">
        <w:rPr>
          <w:rFonts w:ascii="Times New Roman" w:hAnsi="Times New Roman" w:cs="Times New Roman"/>
          <w:sz w:val="28"/>
          <w:szCs w:val="28"/>
        </w:rPr>
        <w:t xml:space="preserve"> по финансовым причинам.</w:t>
      </w:r>
    </w:p>
    <w:p w14:paraId="3295A511" w14:textId="5D766EAB" w:rsidR="00FA0BAC" w:rsidRPr="00FA0BAC"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Кредитные </w:t>
      </w:r>
      <w:proofErr w:type="spellStart"/>
      <w:r w:rsidRPr="00FA0BAC">
        <w:rPr>
          <w:rFonts w:ascii="Times New Roman" w:hAnsi="Times New Roman" w:cs="Times New Roman"/>
          <w:sz w:val="28"/>
          <w:szCs w:val="28"/>
        </w:rPr>
        <w:t>деривативы</w:t>
      </w:r>
      <w:proofErr w:type="spellEnd"/>
      <w:r w:rsidRPr="00FA0BAC">
        <w:rPr>
          <w:rFonts w:ascii="Times New Roman" w:hAnsi="Times New Roman" w:cs="Times New Roman"/>
          <w:sz w:val="28"/>
          <w:szCs w:val="28"/>
        </w:rPr>
        <w:t>, особенно CDS, восстановились в последние годы из-за увеличения рискованных инвестиций, чтобы компенсировать длительный период низких процентных ставок. Однако номинальные суммы непогашенных контрактов были уменьшены за счет сжатия, поскольку это был один из инструментов, на который было наложено наиболее сильное регулирование из-за его высокого спекулятивного потенциала.</w:t>
      </w:r>
    </w:p>
    <w:p w14:paraId="02F70A36" w14:textId="4DDAC9A4" w:rsidR="00FA0BAC" w:rsidRPr="00FA0BAC"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С другой стороны, рынок </w:t>
      </w:r>
      <w:proofErr w:type="spellStart"/>
      <w:r w:rsidRPr="00FA0BAC">
        <w:rPr>
          <w:rFonts w:ascii="Times New Roman" w:hAnsi="Times New Roman" w:cs="Times New Roman"/>
          <w:sz w:val="28"/>
          <w:szCs w:val="28"/>
        </w:rPr>
        <w:t>деривативов</w:t>
      </w:r>
      <w:proofErr w:type="spellEnd"/>
      <w:r w:rsidRPr="00FA0BAC">
        <w:rPr>
          <w:rFonts w:ascii="Times New Roman" w:hAnsi="Times New Roman" w:cs="Times New Roman"/>
          <w:sz w:val="28"/>
          <w:szCs w:val="28"/>
        </w:rPr>
        <w:t xml:space="preserve"> традиционно был рынком для развитых стран. Это по-прежнему имеет место, но еще одной особенностью последних лет является рост участия менее развитых стран, особенно развивающихся, хотя это все еще недостаточно развитая деятельность по сравнению с развитыми экономиками: переговоры ограничиваются небольшим числом инструментов; стратегии менее сложны, чем стратегии, применяемые в странах с развитой экономикой; Важная часть переговоров проходит на зарубежных рынках.</w:t>
      </w:r>
    </w:p>
    <w:p w14:paraId="33DCA61C" w14:textId="1CE5DFD3" w:rsidR="00FA0BAC" w:rsidRPr="00FA0BAC"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Технологический прогресс также способствовал более широкому участию стран с формирующейся рыночной экономикой в ​​глобальных рынках </w:t>
      </w:r>
      <w:proofErr w:type="spellStart"/>
      <w:r w:rsidRPr="00FA0BAC">
        <w:rPr>
          <w:rFonts w:ascii="Times New Roman" w:hAnsi="Times New Roman" w:cs="Times New Roman"/>
          <w:sz w:val="28"/>
          <w:szCs w:val="28"/>
        </w:rPr>
        <w:t>деривативов</w:t>
      </w:r>
      <w:proofErr w:type="spellEnd"/>
      <w:r w:rsidRPr="00FA0BAC">
        <w:rPr>
          <w:rFonts w:ascii="Times New Roman" w:hAnsi="Times New Roman" w:cs="Times New Roman"/>
          <w:sz w:val="28"/>
          <w:szCs w:val="28"/>
        </w:rPr>
        <w:t xml:space="preserve">, но это усилило тенденцию к усилению концентрации в географических районах и в определенных финансовых центрах торговли </w:t>
      </w:r>
      <w:proofErr w:type="spellStart"/>
      <w:r w:rsidRPr="00FA0BAC">
        <w:rPr>
          <w:rFonts w:ascii="Times New Roman" w:hAnsi="Times New Roman" w:cs="Times New Roman"/>
          <w:sz w:val="28"/>
          <w:szCs w:val="28"/>
        </w:rPr>
        <w:t>деривативами</w:t>
      </w:r>
      <w:proofErr w:type="spellEnd"/>
      <w:r w:rsidRPr="00FA0BAC">
        <w:rPr>
          <w:rFonts w:ascii="Times New Roman" w:hAnsi="Times New Roman" w:cs="Times New Roman"/>
          <w:sz w:val="28"/>
          <w:szCs w:val="28"/>
        </w:rPr>
        <w:t xml:space="preserve">. Например, Лондон, Нью-Йорк, Сингапур и Гонконг увеличили свою долю в мировых </w:t>
      </w:r>
      <w:r w:rsidRPr="00E658DC">
        <w:rPr>
          <w:rFonts w:ascii="Times New Roman" w:hAnsi="Times New Roman" w:cs="Times New Roman"/>
          <w:sz w:val="28"/>
          <w:szCs w:val="28"/>
        </w:rPr>
        <w:t>операциях с иностранной валютой с 65% в 2010 г. до 71% в 2016 г. и 75% в апреле 201</w:t>
      </w:r>
      <w:r w:rsidRPr="00FA0BAC">
        <w:rPr>
          <w:rFonts w:ascii="Times New Roman" w:hAnsi="Times New Roman" w:cs="Times New Roman"/>
          <w:sz w:val="28"/>
          <w:szCs w:val="28"/>
        </w:rPr>
        <w:t>9 г.</w:t>
      </w:r>
      <w:r w:rsidR="009C3741" w:rsidRPr="009C3741">
        <w:rPr>
          <w:rFonts w:ascii="Times New Roman" w:hAnsi="Times New Roman" w:cs="Times New Roman"/>
          <w:color w:val="C00000"/>
          <w:sz w:val="28"/>
          <w:szCs w:val="28"/>
        </w:rPr>
        <w:t xml:space="preserve"> </w:t>
      </w:r>
      <w:r w:rsidRPr="00FA0BAC">
        <w:rPr>
          <w:rFonts w:ascii="Times New Roman" w:hAnsi="Times New Roman" w:cs="Times New Roman"/>
          <w:sz w:val="28"/>
          <w:szCs w:val="28"/>
        </w:rPr>
        <w:t xml:space="preserve">Аналогичным образом торговля процентными </w:t>
      </w:r>
      <w:proofErr w:type="spellStart"/>
      <w:r w:rsidRPr="00FA0BAC">
        <w:rPr>
          <w:rFonts w:ascii="Times New Roman" w:hAnsi="Times New Roman" w:cs="Times New Roman"/>
          <w:sz w:val="28"/>
          <w:szCs w:val="28"/>
        </w:rPr>
        <w:t>деривативами</w:t>
      </w:r>
      <w:proofErr w:type="spellEnd"/>
      <w:r w:rsidRPr="00FA0BAC">
        <w:rPr>
          <w:rFonts w:ascii="Times New Roman" w:hAnsi="Times New Roman" w:cs="Times New Roman"/>
          <w:sz w:val="28"/>
          <w:szCs w:val="28"/>
        </w:rPr>
        <w:t xml:space="preserve"> отличается высокой концентрацией, особенно в Лондоне.</w:t>
      </w:r>
    </w:p>
    <w:p w14:paraId="6FED011B" w14:textId="7BA657E4" w:rsidR="00FA0BAC" w:rsidRPr="00FA0BAC"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lastRenderedPageBreak/>
        <w:t xml:space="preserve">Такая концентрация объясняется преимуществами, предлагаемыми этими центрами с точки зрения возможностей и затрат на доступ к центральным контрагентам, на кредитные отношения, а также на имеющуюся у них правовую и техническую инфраструктуру. ( </w:t>
      </w:r>
      <w:proofErr w:type="spellStart"/>
      <w:r w:rsidRPr="00FA0BAC">
        <w:rPr>
          <w:rFonts w:ascii="Times New Roman" w:hAnsi="Times New Roman" w:cs="Times New Roman"/>
          <w:sz w:val="28"/>
          <w:szCs w:val="28"/>
        </w:rPr>
        <w:t>Шримпф</w:t>
      </w:r>
      <w:proofErr w:type="spellEnd"/>
      <w:r w:rsidRPr="00FA0BAC">
        <w:rPr>
          <w:rFonts w:ascii="Times New Roman" w:hAnsi="Times New Roman" w:cs="Times New Roman"/>
          <w:sz w:val="28"/>
          <w:szCs w:val="28"/>
        </w:rPr>
        <w:t xml:space="preserve"> и Сушко, 2019 )</w:t>
      </w:r>
    </w:p>
    <w:p w14:paraId="0F724584" w14:textId="6979AB1D" w:rsidR="00FA0BAC" w:rsidRPr="00FA0BAC"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Наконец, с начала 2020 года пандемия COVID-19 вызвала беспрецедентную динамику во всех сферах общества, влияние, продолжительность и взаимодействие которой еще предстоит определить. В экономике до сих пор это имело серьезные последствия в виде падения производства, роста безработицы, банкротства предприятий, сокращения мировой торговли и ее аналога в финансовом секторе, фондовых рынках и фондовых рынках </w:t>
      </w:r>
      <w:proofErr w:type="spellStart"/>
      <w:r w:rsidRPr="00FA0BAC">
        <w:rPr>
          <w:rFonts w:ascii="Times New Roman" w:hAnsi="Times New Roman" w:cs="Times New Roman"/>
          <w:sz w:val="28"/>
          <w:szCs w:val="28"/>
        </w:rPr>
        <w:t>деривативов</w:t>
      </w:r>
      <w:proofErr w:type="spellEnd"/>
      <w:r w:rsidRPr="00FA0BAC">
        <w:rPr>
          <w:rFonts w:ascii="Times New Roman" w:hAnsi="Times New Roman" w:cs="Times New Roman"/>
          <w:sz w:val="28"/>
          <w:szCs w:val="28"/>
        </w:rPr>
        <w:t>.</w:t>
      </w:r>
    </w:p>
    <w:p w14:paraId="41C0DF07" w14:textId="0B702CF7" w:rsidR="00FA0BAC" w:rsidRPr="00FA0BAC" w:rsidRDefault="00FA0BAC" w:rsidP="00A50C39">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Что касается рынка </w:t>
      </w:r>
      <w:proofErr w:type="spellStart"/>
      <w:r w:rsidRPr="00FA0BAC">
        <w:rPr>
          <w:rFonts w:ascii="Times New Roman" w:hAnsi="Times New Roman" w:cs="Times New Roman"/>
          <w:sz w:val="28"/>
          <w:szCs w:val="28"/>
        </w:rPr>
        <w:t>деривативов</w:t>
      </w:r>
      <w:proofErr w:type="spellEnd"/>
      <w:r w:rsidRPr="00FA0BAC">
        <w:rPr>
          <w:rFonts w:ascii="Times New Roman" w:hAnsi="Times New Roman" w:cs="Times New Roman"/>
          <w:sz w:val="28"/>
          <w:szCs w:val="28"/>
        </w:rPr>
        <w:t xml:space="preserve">, окончательное влияние все еще неясно, но последствия указывают как на его поведение, так и на его работу. С точки зрения поведения можно было бы предположить расширение использования этих инструментов в целях защиты от повышенных рисков, но скорее потому, что значительная часть сделок с </w:t>
      </w:r>
      <w:proofErr w:type="spellStart"/>
      <w:r w:rsidRPr="00FA0BAC">
        <w:rPr>
          <w:rFonts w:ascii="Times New Roman" w:hAnsi="Times New Roman" w:cs="Times New Roman"/>
          <w:sz w:val="28"/>
          <w:szCs w:val="28"/>
        </w:rPr>
        <w:t>деривативами</w:t>
      </w:r>
      <w:proofErr w:type="spellEnd"/>
      <w:r w:rsidRPr="00FA0BAC">
        <w:rPr>
          <w:rFonts w:ascii="Times New Roman" w:hAnsi="Times New Roman" w:cs="Times New Roman"/>
          <w:sz w:val="28"/>
          <w:szCs w:val="28"/>
        </w:rPr>
        <w:t xml:space="preserve"> носит спекулятивный характер и рост неопределенности и волатильности приведет к поощрять его использование инвесторами, которые фактически продолжали увеличивать свои финансовые вложения в условиях сокращения производства и торговли.</w:t>
      </w:r>
    </w:p>
    <w:p w14:paraId="66669A60" w14:textId="0AE66671" w:rsidR="00FA0BAC" w:rsidRPr="00FA0BAC" w:rsidRDefault="00FA0BAC" w:rsidP="00846471">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Однако сокращение объемов транзакций также вероятно, поскольку повышенные риски заставят продавцов страховки поднять цену контрактов в то время, когда доходы большинства покупателей сократились. Кроме того, убытки и банкротства компаний могут скомпрометировать субъектов, которые продают этот вид защиты. С другой стороны, воспоминания о кризисе 2008 года могут сделать некоторых экономических субъектов более осторожными, прежде всего, учитывая неопределенность в отношении влияния действий правительства на базовые рынки и решений властей, в частности, в отношении рынков </w:t>
      </w:r>
      <w:proofErr w:type="spellStart"/>
      <w:r w:rsidRPr="00FA0BAC">
        <w:rPr>
          <w:rFonts w:ascii="Times New Roman" w:hAnsi="Times New Roman" w:cs="Times New Roman"/>
          <w:sz w:val="28"/>
          <w:szCs w:val="28"/>
        </w:rPr>
        <w:t>деривативов</w:t>
      </w:r>
      <w:proofErr w:type="spellEnd"/>
      <w:r w:rsidRPr="00FA0BAC">
        <w:rPr>
          <w:rFonts w:ascii="Times New Roman" w:hAnsi="Times New Roman" w:cs="Times New Roman"/>
          <w:sz w:val="28"/>
          <w:szCs w:val="28"/>
        </w:rPr>
        <w:t>. Нам придется подождать, чтобы увидеть, какой будет преобладающая тенденция, которая, конечно,</w:t>
      </w:r>
    </w:p>
    <w:p w14:paraId="152E22A8" w14:textId="2B5E5FF3" w:rsidR="00FA0BAC" w:rsidRDefault="00FA0BAC" w:rsidP="00FA0BAC">
      <w:pPr>
        <w:spacing w:after="0" w:line="360" w:lineRule="auto"/>
        <w:ind w:firstLine="709"/>
        <w:jc w:val="both"/>
        <w:rPr>
          <w:rFonts w:ascii="Times New Roman" w:hAnsi="Times New Roman" w:cs="Times New Roman"/>
          <w:sz w:val="28"/>
          <w:szCs w:val="28"/>
        </w:rPr>
      </w:pPr>
      <w:r w:rsidRPr="00FA0BAC">
        <w:rPr>
          <w:rFonts w:ascii="Times New Roman" w:hAnsi="Times New Roman" w:cs="Times New Roman"/>
          <w:sz w:val="28"/>
          <w:szCs w:val="28"/>
        </w:rPr>
        <w:t xml:space="preserve">С точки зрения работы, новый контекст вынуждает рассматривать адаптацию и смягчение правил, чтобы способствовать более эффективному </w:t>
      </w:r>
      <w:r w:rsidRPr="00FA0BAC">
        <w:rPr>
          <w:rFonts w:ascii="Times New Roman" w:hAnsi="Times New Roman" w:cs="Times New Roman"/>
          <w:sz w:val="28"/>
          <w:szCs w:val="28"/>
        </w:rPr>
        <w:lastRenderedPageBreak/>
        <w:t xml:space="preserve">управлению рисками в попытке смягчить воздействие пандемии на участников. Например, оцениваются возможности сделать сроки осуществления и получения платежей и поставок, связанных с этими контрактами, более гибкими; Другое предложение состоит в том, чтобы пересмотреть понятие «форс-мажор», чтобы рассматривать его как одну из причин дефолта по платежам, которая может быть покрыта кредитными </w:t>
      </w:r>
      <w:proofErr w:type="spellStart"/>
      <w:r w:rsidRPr="00FA0BAC">
        <w:rPr>
          <w:rFonts w:ascii="Times New Roman" w:hAnsi="Times New Roman" w:cs="Times New Roman"/>
          <w:sz w:val="28"/>
          <w:szCs w:val="28"/>
        </w:rPr>
        <w:t>деривативами</w:t>
      </w:r>
      <w:proofErr w:type="spellEnd"/>
      <w:r w:rsidRPr="00FA0BAC">
        <w:rPr>
          <w:rFonts w:ascii="Times New Roman" w:hAnsi="Times New Roman" w:cs="Times New Roman"/>
          <w:sz w:val="28"/>
          <w:szCs w:val="28"/>
        </w:rPr>
        <w:t>, хотя еще рано говорить об изменениях, которые произойдут. на этом рынке.</w:t>
      </w:r>
    </w:p>
    <w:p w14:paraId="298C8065" w14:textId="6E74D310" w:rsidR="00702358" w:rsidRPr="00034B10" w:rsidRDefault="00702358" w:rsidP="00702358">
      <w:pPr>
        <w:spacing w:after="0" w:line="360" w:lineRule="auto"/>
        <w:ind w:firstLine="709"/>
        <w:jc w:val="both"/>
        <w:rPr>
          <w:rFonts w:ascii="Times New Roman" w:hAnsi="Times New Roman" w:cs="Times New Roman"/>
          <w:b/>
          <w:bCs/>
          <w:color w:val="C00000"/>
          <w:sz w:val="28"/>
          <w:szCs w:val="28"/>
        </w:rPr>
      </w:pPr>
    </w:p>
    <w:p w14:paraId="0B31C24D" w14:textId="2B99B6BE" w:rsidR="00702358" w:rsidRPr="00FA0BAC" w:rsidRDefault="00702358" w:rsidP="00702358">
      <w:pPr>
        <w:spacing w:after="0" w:line="360" w:lineRule="auto"/>
        <w:ind w:firstLine="709"/>
        <w:jc w:val="both"/>
        <w:rPr>
          <w:rFonts w:ascii="Times New Roman" w:hAnsi="Times New Roman" w:cs="Times New Roman"/>
          <w:b/>
          <w:bCs/>
          <w:sz w:val="28"/>
          <w:szCs w:val="28"/>
        </w:rPr>
      </w:pPr>
      <w:r w:rsidRPr="00FA0BAC">
        <w:rPr>
          <w:rFonts w:ascii="Times New Roman" w:hAnsi="Times New Roman" w:cs="Times New Roman"/>
          <w:b/>
          <w:bCs/>
          <w:sz w:val="28"/>
          <w:szCs w:val="28"/>
        </w:rPr>
        <w:t xml:space="preserve">2.2 Анализ рынка валютных </w:t>
      </w:r>
      <w:proofErr w:type="spellStart"/>
      <w:r w:rsidRPr="00FA0BAC">
        <w:rPr>
          <w:rFonts w:ascii="Times New Roman" w:hAnsi="Times New Roman" w:cs="Times New Roman"/>
          <w:b/>
          <w:bCs/>
          <w:sz w:val="28"/>
          <w:szCs w:val="28"/>
        </w:rPr>
        <w:t>деривативов</w:t>
      </w:r>
      <w:proofErr w:type="spellEnd"/>
      <w:r w:rsidRPr="00FA0BAC">
        <w:rPr>
          <w:rFonts w:ascii="Times New Roman" w:hAnsi="Times New Roman" w:cs="Times New Roman"/>
          <w:b/>
          <w:bCs/>
          <w:sz w:val="28"/>
          <w:szCs w:val="28"/>
        </w:rPr>
        <w:t xml:space="preserve"> в России</w:t>
      </w:r>
    </w:p>
    <w:p w14:paraId="6A4A9964" w14:textId="4AEB72F6" w:rsidR="00702358" w:rsidRPr="00702358" w:rsidRDefault="00702358" w:rsidP="00702358">
      <w:pPr>
        <w:spacing w:after="0" w:line="360" w:lineRule="auto"/>
        <w:ind w:firstLine="709"/>
        <w:jc w:val="both"/>
        <w:rPr>
          <w:rFonts w:ascii="Times New Roman" w:hAnsi="Times New Roman" w:cs="Times New Roman"/>
          <w:sz w:val="28"/>
          <w:szCs w:val="28"/>
        </w:rPr>
      </w:pPr>
    </w:p>
    <w:p w14:paraId="0F4BBCC3" w14:textId="2AC34F75" w:rsidR="00725C7A" w:rsidRPr="00725C7A" w:rsidRDefault="00725C7A" w:rsidP="006F5F5F">
      <w:pPr>
        <w:spacing w:after="0" w:line="360" w:lineRule="auto"/>
        <w:ind w:firstLine="709"/>
        <w:jc w:val="both"/>
        <w:rPr>
          <w:rFonts w:ascii="Times New Roman" w:hAnsi="Times New Roman" w:cs="Times New Roman"/>
          <w:sz w:val="28"/>
          <w:szCs w:val="28"/>
        </w:rPr>
      </w:pPr>
      <w:r w:rsidRPr="00725C7A">
        <w:rPr>
          <w:rFonts w:ascii="Times New Roman" w:hAnsi="Times New Roman" w:cs="Times New Roman"/>
          <w:sz w:val="28"/>
          <w:szCs w:val="28"/>
        </w:rPr>
        <w:t>Российский деривативный рынок гораздо более молодой по сравнению с рынками других</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стран и не обладает масштабными накопленными проблемами, с которыми пришлось столкнуться регуляторам в мире. Это позволяло учитывать сложившуюся мировую практику при</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развитии рынка ПФИ, а также принимать решения по регулированию с учетом особенностей</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развития российского рынка.</w:t>
      </w:r>
    </w:p>
    <w:p w14:paraId="256DF4B4" w14:textId="4614D638" w:rsidR="00725C7A" w:rsidRPr="00725C7A" w:rsidRDefault="00725C7A" w:rsidP="006F5F5F">
      <w:pPr>
        <w:spacing w:after="0" w:line="360" w:lineRule="auto"/>
        <w:ind w:firstLine="709"/>
        <w:jc w:val="both"/>
        <w:rPr>
          <w:rFonts w:ascii="Times New Roman" w:hAnsi="Times New Roman" w:cs="Times New Roman"/>
          <w:sz w:val="28"/>
          <w:szCs w:val="28"/>
        </w:rPr>
      </w:pPr>
      <w:r w:rsidRPr="00725C7A">
        <w:rPr>
          <w:rFonts w:ascii="Times New Roman" w:hAnsi="Times New Roman" w:cs="Times New Roman"/>
          <w:sz w:val="28"/>
          <w:szCs w:val="28"/>
        </w:rPr>
        <w:t>В 2011 году Национальная ассоциация участников фондового рынка (НАУФОР), Ассоциация</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российских банков (АРБ) и Национальная валютная ассоциация (НВА) разработали и согласовали с Федеральной службой по финансовым рынкам (ФСФР России) «Стандартную</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документацию для срочных сделок на финансовых рынках», содержащую описание срочных</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сделок и информацию о стандартных условиях по внебиржевым контрактам.</w:t>
      </w:r>
    </w:p>
    <w:p w14:paraId="065176A2" w14:textId="31076FE0" w:rsidR="00725C7A" w:rsidRPr="00725C7A" w:rsidRDefault="00725C7A" w:rsidP="00725C7A">
      <w:pPr>
        <w:spacing w:after="0" w:line="360" w:lineRule="auto"/>
        <w:ind w:firstLine="709"/>
        <w:jc w:val="both"/>
        <w:rPr>
          <w:rFonts w:ascii="Times New Roman" w:hAnsi="Times New Roman" w:cs="Times New Roman"/>
          <w:sz w:val="28"/>
          <w:szCs w:val="28"/>
        </w:rPr>
      </w:pPr>
      <w:r w:rsidRPr="00725C7A">
        <w:rPr>
          <w:rFonts w:ascii="Times New Roman" w:hAnsi="Times New Roman" w:cs="Times New Roman"/>
          <w:sz w:val="28"/>
          <w:szCs w:val="28"/>
        </w:rPr>
        <w:t xml:space="preserve">В России были сформированы торговые </w:t>
      </w:r>
      <w:proofErr w:type="spellStart"/>
      <w:r w:rsidRPr="00725C7A">
        <w:rPr>
          <w:rFonts w:ascii="Times New Roman" w:hAnsi="Times New Roman" w:cs="Times New Roman"/>
          <w:sz w:val="28"/>
          <w:szCs w:val="28"/>
        </w:rPr>
        <w:t>репозитарии</w:t>
      </w:r>
      <w:proofErr w:type="spellEnd"/>
      <w:r w:rsidRPr="00725C7A">
        <w:rPr>
          <w:rFonts w:ascii="Times New Roman" w:hAnsi="Times New Roman" w:cs="Times New Roman"/>
          <w:sz w:val="28"/>
          <w:szCs w:val="28"/>
        </w:rPr>
        <w:t xml:space="preserve"> и введено регулирование относительно передачи участниками рынка информации о сделках в торговые </w:t>
      </w:r>
      <w:proofErr w:type="spellStart"/>
      <w:r w:rsidRPr="00725C7A">
        <w:rPr>
          <w:rFonts w:ascii="Times New Roman" w:hAnsi="Times New Roman" w:cs="Times New Roman"/>
          <w:sz w:val="28"/>
          <w:szCs w:val="28"/>
        </w:rPr>
        <w:t>репозитарии</w:t>
      </w:r>
      <w:proofErr w:type="spellEnd"/>
      <w:r w:rsidRPr="00725C7A">
        <w:rPr>
          <w:rFonts w:ascii="Times New Roman" w:hAnsi="Times New Roman" w:cs="Times New Roman"/>
          <w:sz w:val="28"/>
          <w:szCs w:val="28"/>
        </w:rPr>
        <w:t>.</w:t>
      </w:r>
    </w:p>
    <w:p w14:paraId="0A292635" w14:textId="0A7727AE" w:rsidR="00725C7A" w:rsidRPr="00725C7A" w:rsidRDefault="00725C7A" w:rsidP="006F5F5F">
      <w:pPr>
        <w:spacing w:after="0" w:line="360" w:lineRule="auto"/>
        <w:ind w:firstLine="709"/>
        <w:jc w:val="both"/>
        <w:rPr>
          <w:rFonts w:ascii="Times New Roman" w:hAnsi="Times New Roman" w:cs="Times New Roman"/>
          <w:sz w:val="28"/>
          <w:szCs w:val="28"/>
        </w:rPr>
      </w:pPr>
      <w:r w:rsidRPr="00725C7A">
        <w:rPr>
          <w:rFonts w:ascii="Times New Roman" w:hAnsi="Times New Roman" w:cs="Times New Roman"/>
          <w:sz w:val="28"/>
          <w:szCs w:val="28"/>
        </w:rPr>
        <w:t xml:space="preserve">На сегодняшний день в России действуют два торговых </w:t>
      </w:r>
      <w:proofErr w:type="spellStart"/>
      <w:r w:rsidRPr="00725C7A">
        <w:rPr>
          <w:rFonts w:ascii="Times New Roman" w:hAnsi="Times New Roman" w:cs="Times New Roman"/>
          <w:sz w:val="28"/>
          <w:szCs w:val="28"/>
        </w:rPr>
        <w:t>репозитария</w:t>
      </w:r>
      <w:proofErr w:type="spellEnd"/>
      <w:r w:rsidRPr="00725C7A">
        <w:rPr>
          <w:rFonts w:ascii="Times New Roman" w:hAnsi="Times New Roman" w:cs="Times New Roman"/>
          <w:sz w:val="28"/>
          <w:szCs w:val="28"/>
        </w:rPr>
        <w:t>, выполняющих функции</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по сбору, обработке и хранению информации о сделках с внебиржевыми ПФИ: НКО АО НРД</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 xml:space="preserve">и </w:t>
      </w:r>
      <w:proofErr w:type="spellStart"/>
      <w:r w:rsidRPr="00725C7A">
        <w:rPr>
          <w:rFonts w:ascii="Times New Roman" w:hAnsi="Times New Roman" w:cs="Times New Roman"/>
          <w:sz w:val="28"/>
          <w:szCs w:val="28"/>
        </w:rPr>
        <w:t>репозитарий</w:t>
      </w:r>
      <w:proofErr w:type="spellEnd"/>
      <w:r w:rsidRPr="00725C7A">
        <w:rPr>
          <w:rFonts w:ascii="Times New Roman" w:hAnsi="Times New Roman" w:cs="Times New Roman"/>
          <w:sz w:val="28"/>
          <w:szCs w:val="28"/>
        </w:rPr>
        <w:t xml:space="preserve"> Санкт-Петербургской биржи.</w:t>
      </w:r>
    </w:p>
    <w:p w14:paraId="1AF4EBFA" w14:textId="4A26B818" w:rsidR="00725C7A" w:rsidRPr="00725C7A" w:rsidRDefault="00725C7A" w:rsidP="006F5F5F">
      <w:pPr>
        <w:spacing w:after="0" w:line="360" w:lineRule="auto"/>
        <w:ind w:firstLine="709"/>
        <w:jc w:val="both"/>
        <w:rPr>
          <w:rFonts w:ascii="Times New Roman" w:hAnsi="Times New Roman" w:cs="Times New Roman"/>
          <w:sz w:val="28"/>
          <w:szCs w:val="28"/>
        </w:rPr>
      </w:pPr>
      <w:r w:rsidRPr="00725C7A">
        <w:rPr>
          <w:rFonts w:ascii="Times New Roman" w:hAnsi="Times New Roman" w:cs="Times New Roman"/>
          <w:sz w:val="28"/>
          <w:szCs w:val="28"/>
        </w:rPr>
        <w:lastRenderedPageBreak/>
        <w:t>В то же время, учитывая как положительные, так и непреднамеренные негативные последствия международных реформ, Банк России скорректировал объявленные в 2016 году подходы</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 xml:space="preserve">к введению централизованного клиринга и обязательного </w:t>
      </w:r>
      <w:proofErr w:type="spellStart"/>
      <w:r w:rsidRPr="00725C7A">
        <w:rPr>
          <w:rFonts w:ascii="Times New Roman" w:hAnsi="Times New Roman" w:cs="Times New Roman"/>
          <w:sz w:val="28"/>
          <w:szCs w:val="28"/>
        </w:rPr>
        <w:t>маржирования</w:t>
      </w:r>
      <w:proofErr w:type="spellEnd"/>
      <w:r w:rsidRPr="00725C7A">
        <w:rPr>
          <w:rFonts w:ascii="Times New Roman" w:hAnsi="Times New Roman" w:cs="Times New Roman"/>
          <w:sz w:val="28"/>
          <w:szCs w:val="28"/>
        </w:rPr>
        <w:t xml:space="preserve"> внебиржевых ПФИ</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(отражены в итоговом докладе «О поэтапном введении требования об обязательном централизованном клиринге в отношении стандартизированных внебиржевых ПФИ»).</w:t>
      </w:r>
    </w:p>
    <w:p w14:paraId="45A614D8" w14:textId="066B3FD2" w:rsidR="00702358" w:rsidRDefault="00725C7A" w:rsidP="006F5F5F">
      <w:pPr>
        <w:spacing w:after="0" w:line="360" w:lineRule="auto"/>
        <w:ind w:firstLine="709"/>
        <w:jc w:val="both"/>
        <w:rPr>
          <w:rFonts w:ascii="Times New Roman" w:hAnsi="Times New Roman" w:cs="Times New Roman"/>
          <w:sz w:val="28"/>
          <w:szCs w:val="28"/>
        </w:rPr>
      </w:pPr>
      <w:r w:rsidRPr="00725C7A">
        <w:rPr>
          <w:rFonts w:ascii="Times New Roman" w:hAnsi="Times New Roman" w:cs="Times New Roman"/>
          <w:sz w:val="28"/>
          <w:szCs w:val="28"/>
        </w:rPr>
        <w:t>Так, требование об обязательном централизованном клиринге вступило в силу 1 января 2021 года (Указание Банка России от 16.12.2019 № 5352-У6, предусматривающее введение</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обязательного централизованного клиринга для внебиржевых процентных рублевых свопов,</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характеристики которых определены в указании).</w:t>
      </w:r>
    </w:p>
    <w:p w14:paraId="781D1B22" w14:textId="29058089" w:rsidR="00725C7A" w:rsidRDefault="00725C7A" w:rsidP="00A11272">
      <w:pPr>
        <w:spacing w:after="0" w:line="360" w:lineRule="auto"/>
        <w:ind w:firstLine="709"/>
        <w:jc w:val="both"/>
        <w:rPr>
          <w:rFonts w:ascii="Times New Roman" w:hAnsi="Times New Roman" w:cs="Times New Roman"/>
          <w:sz w:val="28"/>
          <w:szCs w:val="28"/>
        </w:rPr>
      </w:pPr>
      <w:r w:rsidRPr="00725C7A">
        <w:rPr>
          <w:rFonts w:ascii="Times New Roman" w:hAnsi="Times New Roman" w:cs="Times New Roman"/>
          <w:sz w:val="28"/>
          <w:szCs w:val="28"/>
        </w:rPr>
        <w:t xml:space="preserve">Последние годы ознаменованы существенным ростом оборота глобального рынка </w:t>
      </w:r>
      <w:proofErr w:type="spellStart"/>
      <w:r w:rsidRPr="00725C7A">
        <w:rPr>
          <w:rFonts w:ascii="Times New Roman" w:hAnsi="Times New Roman" w:cs="Times New Roman"/>
          <w:sz w:val="28"/>
          <w:szCs w:val="28"/>
        </w:rPr>
        <w:t>деривативов</w:t>
      </w:r>
      <w:proofErr w:type="spellEnd"/>
      <w:r w:rsidRPr="00725C7A">
        <w:rPr>
          <w:rFonts w:ascii="Times New Roman" w:hAnsi="Times New Roman" w:cs="Times New Roman"/>
          <w:sz w:val="28"/>
          <w:szCs w:val="28"/>
        </w:rPr>
        <w:t>, наибольший вклад в который внес сегмент внебиржевых контрактов. Актуальные</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результаты Трехлетнего обзора рынка внебиржевых ПФИ, проводимого БМР в 2019 году, показали, что мировой внебиржевой рынок валютных и процентных ПФИ стал более крупным</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и диверсифицированным, чем когда-либо. Электронизация торговли явилась одним из существенных драйверов роста международной торговли, повысив степень разнообразия</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участников рынка и оптимизировав транзакционные и операционные издержки. Кроме того,</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анализ представленной центральными и национальными банками информации о структуре</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и размере внебиржевого рынка ПФИ обнаружил отличительную особенность в использовании странами разных типов контрактов:</w:t>
      </w:r>
      <w:r w:rsidR="00A11272">
        <w:rPr>
          <w:rFonts w:ascii="Times New Roman" w:hAnsi="Times New Roman" w:cs="Times New Roman"/>
          <w:sz w:val="28"/>
          <w:szCs w:val="28"/>
        </w:rPr>
        <w:t xml:space="preserve"> </w:t>
      </w:r>
      <w:r w:rsidRPr="00725C7A">
        <w:rPr>
          <w:rFonts w:ascii="Times New Roman" w:hAnsi="Times New Roman" w:cs="Times New Roman"/>
          <w:sz w:val="28"/>
          <w:szCs w:val="28"/>
        </w:rPr>
        <w:t xml:space="preserve">страны с формирующимися рынками предъявляли повышенный спрос на валютные инструменты, в то время как процентные </w:t>
      </w:r>
      <w:proofErr w:type="spellStart"/>
      <w:r w:rsidRPr="00725C7A">
        <w:rPr>
          <w:rFonts w:ascii="Times New Roman" w:hAnsi="Times New Roman" w:cs="Times New Roman"/>
          <w:sz w:val="28"/>
          <w:szCs w:val="28"/>
        </w:rPr>
        <w:t>деривативы</w:t>
      </w:r>
      <w:proofErr w:type="spellEnd"/>
      <w:r w:rsidRPr="00725C7A">
        <w:rPr>
          <w:rFonts w:ascii="Times New Roman" w:hAnsi="Times New Roman" w:cs="Times New Roman"/>
          <w:sz w:val="28"/>
          <w:szCs w:val="28"/>
        </w:rPr>
        <w:t xml:space="preserve"> оказывались более востребованными в странах</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с развитой экономикой. В России исторически наибольшее развитие, как и в других странах</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с формирующимися рынками, получил рынок валютных ПФИ.</w:t>
      </w:r>
    </w:p>
    <w:p w14:paraId="6D382954" w14:textId="2598B56D" w:rsidR="00725C7A" w:rsidRPr="009B7988" w:rsidRDefault="00725C7A" w:rsidP="006F5F5F">
      <w:pPr>
        <w:spacing w:after="0" w:line="360" w:lineRule="auto"/>
        <w:ind w:firstLine="709"/>
        <w:jc w:val="both"/>
        <w:rPr>
          <w:rFonts w:ascii="Times New Roman" w:hAnsi="Times New Roman" w:cs="Times New Roman"/>
          <w:b/>
          <w:bCs/>
          <w:color w:val="C00000"/>
          <w:sz w:val="28"/>
          <w:szCs w:val="28"/>
        </w:rPr>
      </w:pPr>
      <w:r w:rsidRPr="00725C7A">
        <w:rPr>
          <w:rFonts w:ascii="Times New Roman" w:hAnsi="Times New Roman" w:cs="Times New Roman"/>
          <w:sz w:val="28"/>
          <w:szCs w:val="28"/>
        </w:rPr>
        <w:t>В 2015 году объем открытых сделок участников с валютными форвардами начал активно</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 xml:space="preserve">расти и к концу года достиг 28 млрд долл. США, что более чем в пять раз превышало показатель конца 2014 года. После 2015 </w:t>
      </w:r>
      <w:r w:rsidRPr="00725C7A">
        <w:rPr>
          <w:rFonts w:ascii="Times New Roman" w:hAnsi="Times New Roman" w:cs="Times New Roman"/>
          <w:sz w:val="28"/>
          <w:szCs w:val="28"/>
        </w:rPr>
        <w:lastRenderedPageBreak/>
        <w:t>года также наблюдалась положительная динамика спроса</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на данный инструмент, особенно в периоды усиления волатильности – во время финансового</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кризиса в 2015 году, при вводе экономических санкций против отдельных российских компаний в 2018 году, а также после начала пандемии COVID-19 в 2020 году. По состоянию на конец</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первой половины 2021 года объем сделок с валютными форвардами достиг исторического</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максимума и превысил 45 млрд долл. США.</w:t>
      </w:r>
      <w:r w:rsidR="009B7988">
        <w:rPr>
          <w:rFonts w:ascii="Times New Roman" w:hAnsi="Times New Roman" w:cs="Times New Roman"/>
          <w:sz w:val="28"/>
          <w:szCs w:val="28"/>
        </w:rPr>
        <w:t xml:space="preserve"> </w:t>
      </w:r>
    </w:p>
    <w:p w14:paraId="010BBE9D" w14:textId="0E9C02B1" w:rsidR="00725C7A" w:rsidRPr="00725C7A" w:rsidRDefault="00725C7A" w:rsidP="006F5F5F">
      <w:pPr>
        <w:spacing w:after="0" w:line="360" w:lineRule="auto"/>
        <w:ind w:firstLine="709"/>
        <w:jc w:val="both"/>
        <w:rPr>
          <w:rFonts w:ascii="Times New Roman" w:hAnsi="Times New Roman" w:cs="Times New Roman"/>
          <w:sz w:val="28"/>
          <w:szCs w:val="28"/>
        </w:rPr>
      </w:pPr>
      <w:r w:rsidRPr="00725C7A">
        <w:rPr>
          <w:rFonts w:ascii="Times New Roman" w:hAnsi="Times New Roman" w:cs="Times New Roman"/>
          <w:sz w:val="28"/>
          <w:szCs w:val="28"/>
        </w:rPr>
        <w:t>Основной спрос на покупку иностранной валюты на внутреннем рынке посредством валютного форварда предъявляют нефинансовые организации и системно значимые кредитные</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организации. Первая категория участников нуждается в валюте предположительно для того,</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чтобы оплачивать импортную составляющую своего бизнеса (например, закупку зарубежного</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оборудования для производства) или обслуживать внешний долг. При этом в периоды длительного укрепления рубля происходит снижение интереса нефинансовых компаний к покупкам</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валюты через сделки с валютными форвардами: компании не хотят увеличивать стоимость</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своих обязательств, фиксируя форвардный курс и наблюдая постоянное укрепление рубля.</w:t>
      </w:r>
    </w:p>
    <w:p w14:paraId="218E4497" w14:textId="19663C1E" w:rsidR="00725C7A" w:rsidRDefault="00725C7A" w:rsidP="00725C7A">
      <w:pPr>
        <w:spacing w:after="0" w:line="360" w:lineRule="auto"/>
        <w:ind w:firstLine="709"/>
        <w:jc w:val="both"/>
        <w:rPr>
          <w:rFonts w:ascii="Times New Roman" w:hAnsi="Times New Roman" w:cs="Times New Roman"/>
          <w:sz w:val="28"/>
          <w:szCs w:val="28"/>
        </w:rPr>
      </w:pPr>
      <w:r w:rsidRPr="00725C7A">
        <w:rPr>
          <w:rFonts w:ascii="Times New Roman" w:hAnsi="Times New Roman" w:cs="Times New Roman"/>
          <w:sz w:val="28"/>
          <w:szCs w:val="28"/>
        </w:rPr>
        <w:t>Это способствует постепенному накапливанию валютного риска, который реализуется в периоды ослабления рубля (особенно во время резкого роста валютного курса).</w:t>
      </w:r>
    </w:p>
    <w:p w14:paraId="1324059C" w14:textId="3F460BA6" w:rsidR="00725C7A" w:rsidRPr="00725C7A" w:rsidRDefault="00725C7A" w:rsidP="006F5F5F">
      <w:pPr>
        <w:spacing w:after="0" w:line="360" w:lineRule="auto"/>
        <w:ind w:firstLine="709"/>
        <w:jc w:val="both"/>
        <w:rPr>
          <w:rFonts w:ascii="Times New Roman" w:hAnsi="Times New Roman" w:cs="Times New Roman"/>
          <w:sz w:val="28"/>
          <w:szCs w:val="28"/>
        </w:rPr>
      </w:pPr>
      <w:r w:rsidRPr="00725C7A">
        <w:rPr>
          <w:rFonts w:ascii="Times New Roman" w:hAnsi="Times New Roman" w:cs="Times New Roman"/>
          <w:sz w:val="28"/>
          <w:szCs w:val="28"/>
        </w:rPr>
        <w:t>СЗКО, в свою очередь, также хеджируют валютный риск, периодически наращивая позицию при возникновении возможного дефицита валютной ликвидности. Поставщиками валюты</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по таким контрактам являются в основном нерезиденты и дочерние иностранные банки, которые таким образом входят на российский финансовый рынок. Время от времени активными</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 xml:space="preserve">продавцами валюты по форвардам выступают </w:t>
      </w:r>
      <w:proofErr w:type="spellStart"/>
      <w:r w:rsidRPr="00725C7A">
        <w:rPr>
          <w:rFonts w:ascii="Times New Roman" w:hAnsi="Times New Roman" w:cs="Times New Roman"/>
          <w:sz w:val="28"/>
          <w:szCs w:val="28"/>
        </w:rPr>
        <w:t>некредитные</w:t>
      </w:r>
      <w:proofErr w:type="spellEnd"/>
      <w:r w:rsidRPr="00725C7A">
        <w:rPr>
          <w:rFonts w:ascii="Times New Roman" w:hAnsi="Times New Roman" w:cs="Times New Roman"/>
          <w:sz w:val="28"/>
          <w:szCs w:val="28"/>
        </w:rPr>
        <w:t xml:space="preserve"> финансовые организации (НФО).</w:t>
      </w:r>
    </w:p>
    <w:p w14:paraId="1ABC78D5" w14:textId="7A4B8CF8" w:rsidR="00725C7A" w:rsidRPr="00725C7A" w:rsidRDefault="00725C7A" w:rsidP="006F5F5F">
      <w:pPr>
        <w:spacing w:after="0" w:line="360" w:lineRule="auto"/>
        <w:ind w:firstLine="709"/>
        <w:jc w:val="both"/>
        <w:rPr>
          <w:rFonts w:ascii="Times New Roman" w:hAnsi="Times New Roman" w:cs="Times New Roman"/>
          <w:sz w:val="28"/>
          <w:szCs w:val="28"/>
        </w:rPr>
      </w:pPr>
      <w:r w:rsidRPr="00725C7A">
        <w:rPr>
          <w:rFonts w:ascii="Times New Roman" w:hAnsi="Times New Roman" w:cs="Times New Roman"/>
          <w:sz w:val="28"/>
          <w:szCs w:val="28"/>
        </w:rPr>
        <w:t>Несмотря на то что в связи с отсутствием у НФО избыточного запаса валютной ликвидности</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 xml:space="preserve">подобное поведение на рынке представляется нехарактерным для данной категории участников, многие НФО входят в </w:t>
      </w:r>
      <w:r w:rsidRPr="00725C7A">
        <w:rPr>
          <w:rFonts w:ascii="Times New Roman" w:hAnsi="Times New Roman" w:cs="Times New Roman"/>
          <w:sz w:val="28"/>
          <w:szCs w:val="28"/>
        </w:rPr>
        <w:lastRenderedPageBreak/>
        <w:t>крупные банковские группы и заключают сделки не только в своих</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интересах, но и в интересах группы в целом.</w:t>
      </w:r>
    </w:p>
    <w:p w14:paraId="53A92E4B" w14:textId="433B6F10" w:rsidR="00725C7A" w:rsidRPr="00725C7A" w:rsidRDefault="00725C7A" w:rsidP="006F5F5F">
      <w:pPr>
        <w:spacing w:after="0" w:line="360" w:lineRule="auto"/>
        <w:ind w:firstLine="709"/>
        <w:jc w:val="both"/>
        <w:rPr>
          <w:rFonts w:ascii="Times New Roman" w:hAnsi="Times New Roman" w:cs="Times New Roman"/>
          <w:sz w:val="28"/>
          <w:szCs w:val="28"/>
        </w:rPr>
      </w:pPr>
      <w:r w:rsidRPr="00725C7A">
        <w:rPr>
          <w:rFonts w:ascii="Times New Roman" w:hAnsi="Times New Roman" w:cs="Times New Roman"/>
          <w:sz w:val="28"/>
          <w:szCs w:val="28"/>
        </w:rPr>
        <w:t xml:space="preserve">Стоит отметить, что ситуация с распределением участников на </w:t>
      </w:r>
      <w:proofErr w:type="spellStart"/>
      <w:r w:rsidRPr="00725C7A">
        <w:rPr>
          <w:rFonts w:ascii="Times New Roman" w:hAnsi="Times New Roman" w:cs="Times New Roman"/>
          <w:sz w:val="28"/>
          <w:szCs w:val="28"/>
        </w:rPr>
        <w:t>спотовом</w:t>
      </w:r>
      <w:proofErr w:type="spellEnd"/>
      <w:r w:rsidRPr="00725C7A">
        <w:rPr>
          <w:rFonts w:ascii="Times New Roman" w:hAnsi="Times New Roman" w:cs="Times New Roman"/>
          <w:sz w:val="28"/>
          <w:szCs w:val="28"/>
        </w:rPr>
        <w:t xml:space="preserve"> валютном рынке противоположна форвардам. Нефинансовые организации, в частности экспортеры, продают</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 xml:space="preserve">иностранную валюту на внутреннем рынке, в то время как НФО приобретают валюту на </w:t>
      </w:r>
      <w:proofErr w:type="spellStart"/>
      <w:r w:rsidRPr="00725C7A">
        <w:rPr>
          <w:rFonts w:ascii="Times New Roman" w:hAnsi="Times New Roman" w:cs="Times New Roman"/>
          <w:sz w:val="28"/>
          <w:szCs w:val="28"/>
        </w:rPr>
        <w:t>спотовом</w:t>
      </w:r>
      <w:proofErr w:type="spellEnd"/>
      <w:r w:rsidRPr="00725C7A">
        <w:rPr>
          <w:rFonts w:ascii="Times New Roman" w:hAnsi="Times New Roman" w:cs="Times New Roman"/>
          <w:sz w:val="28"/>
          <w:szCs w:val="28"/>
        </w:rPr>
        <w:t xml:space="preserve"> рынке. На первый взгляд может сложиться впечатление, что сочетание инструментов спот</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и форвард образует на рынке «синтетический» валютный своп – по первой «ноге» нефинансовые</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 xml:space="preserve">организации продают валюту (на споте), а по второй «ноге» – покупают (на форварде). Однако это делают разные участники. Продают валюту экспортеры в рамках обслуживания своей </w:t>
      </w:r>
      <w:r w:rsidRPr="00725C7A">
        <w:rPr>
          <w:rFonts w:ascii="Times New Roman" w:hAnsi="Times New Roman" w:cs="Times New Roman"/>
          <w:sz w:val="28"/>
          <w:szCs w:val="28"/>
        </w:rPr>
        <w:cr/>
        <w:t>деятельности в рублях, в том числе для уплаты налогов, в то время как на форварде сделки на покупку валюты заключают компании, имеющие импортную составляющую в своем бизнесе.</w:t>
      </w:r>
    </w:p>
    <w:p w14:paraId="021D00A0" w14:textId="5A209BDE" w:rsidR="00725C7A" w:rsidRDefault="00725C7A" w:rsidP="006F5F5F">
      <w:pPr>
        <w:spacing w:after="0" w:line="360" w:lineRule="auto"/>
        <w:ind w:firstLine="709"/>
        <w:jc w:val="both"/>
        <w:rPr>
          <w:rFonts w:ascii="Times New Roman" w:hAnsi="Times New Roman" w:cs="Times New Roman"/>
          <w:sz w:val="28"/>
          <w:szCs w:val="28"/>
        </w:rPr>
      </w:pPr>
      <w:r w:rsidRPr="00725C7A">
        <w:rPr>
          <w:rFonts w:ascii="Times New Roman" w:hAnsi="Times New Roman" w:cs="Times New Roman"/>
          <w:sz w:val="28"/>
          <w:szCs w:val="28"/>
        </w:rPr>
        <w:t>Похожая ситуация складывается и для НФО: если в сделках с валютными форвардами участвуют НФО, входящие в банковские группы и совершающие сделки в том числе в интересах</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группы, то на споте валюту конвертируют преимущественно брокеры в интересах своих клиентов. Следовательно, в сегментах «спот/покупка иностранной валюты» и «форвард/продажа</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иностранной валюты» (или «спот/продажа иностранной валюты» и «форвард/покупка иностранной валюты») могут действовать различные участники одной категории, однородные</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по типу деятельности или целям хеджирования в пределах сегмента.</w:t>
      </w:r>
    </w:p>
    <w:p w14:paraId="6F0FE965" w14:textId="15E24C60" w:rsidR="00725C7A" w:rsidRPr="00725C7A" w:rsidRDefault="00725C7A" w:rsidP="006F5F5F">
      <w:pPr>
        <w:spacing w:after="0" w:line="360" w:lineRule="auto"/>
        <w:ind w:firstLine="709"/>
        <w:jc w:val="both"/>
        <w:rPr>
          <w:rFonts w:ascii="Times New Roman" w:hAnsi="Times New Roman" w:cs="Times New Roman"/>
          <w:sz w:val="28"/>
          <w:szCs w:val="28"/>
        </w:rPr>
      </w:pPr>
      <w:r w:rsidRPr="00725C7A">
        <w:rPr>
          <w:rFonts w:ascii="Times New Roman" w:hAnsi="Times New Roman" w:cs="Times New Roman"/>
          <w:sz w:val="28"/>
          <w:szCs w:val="28"/>
        </w:rPr>
        <w:t>Претерпев небольшой спад в 2014–2015 годах рынок внебиржевых валютных свопов активно используется участниками из года в год. С начала 2016 года объем открытых сделок</w:t>
      </w:r>
      <w:r w:rsidR="006F5F5F" w:rsidRPr="00BF7F53">
        <w:rPr>
          <w:rFonts w:ascii="Times New Roman" w:hAnsi="Times New Roman" w:cs="Times New Roman"/>
          <w:sz w:val="28"/>
          <w:szCs w:val="28"/>
        </w:rPr>
        <w:t xml:space="preserve"> </w:t>
      </w:r>
      <w:r w:rsidRPr="00725C7A">
        <w:rPr>
          <w:rFonts w:ascii="Times New Roman" w:hAnsi="Times New Roman" w:cs="Times New Roman"/>
          <w:sz w:val="28"/>
          <w:szCs w:val="28"/>
        </w:rPr>
        <w:t xml:space="preserve">(тогда 27 млрд долл. США) начал расти и в </w:t>
      </w:r>
      <w:r w:rsidRPr="00E658DC">
        <w:rPr>
          <w:rFonts w:ascii="Times New Roman" w:hAnsi="Times New Roman" w:cs="Times New Roman"/>
          <w:sz w:val="28"/>
          <w:szCs w:val="28"/>
        </w:rPr>
        <w:t>середине июня 2021 года до</w:t>
      </w:r>
      <w:r w:rsidRPr="00725C7A">
        <w:rPr>
          <w:rFonts w:ascii="Times New Roman" w:hAnsi="Times New Roman" w:cs="Times New Roman"/>
          <w:sz w:val="28"/>
          <w:szCs w:val="28"/>
        </w:rPr>
        <w:t>стиг рекордного уровня в 84,5 млрд долл. США.</w:t>
      </w:r>
      <w:r w:rsidR="006D3AC5">
        <w:rPr>
          <w:rFonts w:ascii="Times New Roman" w:hAnsi="Times New Roman" w:cs="Times New Roman"/>
          <w:sz w:val="28"/>
          <w:szCs w:val="28"/>
        </w:rPr>
        <w:t xml:space="preserve"> </w:t>
      </w:r>
    </w:p>
    <w:p w14:paraId="7EFEA3BB" w14:textId="741920CE" w:rsidR="00725C7A" w:rsidRPr="00725C7A" w:rsidRDefault="00725C7A" w:rsidP="006F5F5F">
      <w:pPr>
        <w:spacing w:after="0" w:line="360" w:lineRule="auto"/>
        <w:ind w:firstLine="709"/>
        <w:jc w:val="both"/>
        <w:rPr>
          <w:rFonts w:ascii="Times New Roman" w:hAnsi="Times New Roman" w:cs="Times New Roman"/>
          <w:sz w:val="28"/>
          <w:szCs w:val="28"/>
        </w:rPr>
      </w:pPr>
      <w:r w:rsidRPr="00725C7A">
        <w:rPr>
          <w:rFonts w:ascii="Times New Roman" w:hAnsi="Times New Roman" w:cs="Times New Roman"/>
          <w:sz w:val="28"/>
          <w:szCs w:val="28"/>
        </w:rPr>
        <w:t>В отличие от рассмотренных ранее сегментов валютного рынка основными участниками</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рынка валютных свопов являются нерезиденты и дочерние иностранные банки. Контрагентами иностранных участников выступают, как правило, СЗКО, которым необходимо размещать</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 xml:space="preserve">накопленные </w:t>
      </w:r>
      <w:r w:rsidRPr="00725C7A">
        <w:rPr>
          <w:rFonts w:ascii="Times New Roman" w:hAnsi="Times New Roman" w:cs="Times New Roman"/>
          <w:sz w:val="28"/>
          <w:szCs w:val="28"/>
        </w:rPr>
        <w:lastRenderedPageBreak/>
        <w:t>валютные пассивы. Крупные банки, обслуживающие экспортеров, накапливают валюту за счет депозитов юридических лиц и размещают ее на денежном рынке.</w:t>
      </w:r>
    </w:p>
    <w:p w14:paraId="6144B7E8" w14:textId="5428F958" w:rsidR="00725C7A" w:rsidRPr="00725C7A" w:rsidRDefault="00725C7A" w:rsidP="006F5F5F">
      <w:pPr>
        <w:spacing w:after="0" w:line="360" w:lineRule="auto"/>
        <w:ind w:firstLine="709"/>
        <w:jc w:val="both"/>
        <w:rPr>
          <w:rFonts w:ascii="Times New Roman" w:hAnsi="Times New Roman" w:cs="Times New Roman"/>
          <w:sz w:val="28"/>
          <w:szCs w:val="28"/>
        </w:rPr>
      </w:pPr>
      <w:r w:rsidRPr="00725C7A">
        <w:rPr>
          <w:rFonts w:ascii="Times New Roman" w:hAnsi="Times New Roman" w:cs="Times New Roman"/>
          <w:sz w:val="28"/>
          <w:szCs w:val="28"/>
        </w:rPr>
        <w:t xml:space="preserve">Рынки валютного МБК и валютного </w:t>
      </w:r>
      <w:proofErr w:type="spellStart"/>
      <w:r w:rsidRPr="00725C7A">
        <w:rPr>
          <w:rFonts w:ascii="Times New Roman" w:hAnsi="Times New Roman" w:cs="Times New Roman"/>
          <w:sz w:val="28"/>
          <w:szCs w:val="28"/>
        </w:rPr>
        <w:t>репо</w:t>
      </w:r>
      <w:r w:rsidR="00846471">
        <w:rPr>
          <w:rFonts w:ascii="Times New Roman" w:hAnsi="Times New Roman" w:cs="Times New Roman"/>
          <w:sz w:val="28"/>
          <w:szCs w:val="28"/>
        </w:rPr>
        <w:t>зитория</w:t>
      </w:r>
      <w:proofErr w:type="spellEnd"/>
      <w:r w:rsidRPr="00725C7A">
        <w:rPr>
          <w:rFonts w:ascii="Times New Roman" w:hAnsi="Times New Roman" w:cs="Times New Roman"/>
          <w:sz w:val="28"/>
          <w:szCs w:val="28"/>
        </w:rPr>
        <w:t xml:space="preserve"> не являются активными и не подходят для размещения/привлечения большого объема валютной ликвидности, поэтому основной объем сделок</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с валютой на денежном рынке приходится именно на сегмент валютных свопов.</w:t>
      </w:r>
    </w:p>
    <w:p w14:paraId="39A8FFF4" w14:textId="2E41302F" w:rsidR="00725C7A" w:rsidRPr="00725C7A" w:rsidRDefault="00725C7A" w:rsidP="006F5F5F">
      <w:pPr>
        <w:spacing w:after="0" w:line="360" w:lineRule="auto"/>
        <w:ind w:firstLine="709"/>
        <w:jc w:val="both"/>
        <w:rPr>
          <w:rFonts w:ascii="Times New Roman" w:hAnsi="Times New Roman" w:cs="Times New Roman"/>
          <w:sz w:val="28"/>
          <w:szCs w:val="28"/>
        </w:rPr>
      </w:pPr>
      <w:r w:rsidRPr="00725C7A">
        <w:rPr>
          <w:rFonts w:ascii="Times New Roman" w:hAnsi="Times New Roman" w:cs="Times New Roman"/>
          <w:sz w:val="28"/>
          <w:szCs w:val="28"/>
        </w:rPr>
        <w:t>В развитых странах рынок валютных опционов является существенным сегментом рынка ПФИ. В России в связи с особенностями учета сделок информация по первым сделкам с</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валютными опционами появилась в НРД во второй половине 2012 года. В целом количество</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заключенных контрактов было относительно невелико до 2018 года, когда совокупный объем</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открытых сделок по опционам2 не превышал 10 млрд долл. США (рис. 6). Начиная с 2018 года</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наблюдался заметный рост объемов сделок, который достиг пика в конце ноября 2020 года почти в 53 млрд долл. США. Затем количество открытых контрактов заметно уменьшилось, объем</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сделок стабилизировался на уровне 40 млрд долл</w:t>
      </w:r>
      <w:r w:rsidRPr="00E658DC">
        <w:rPr>
          <w:rFonts w:ascii="Times New Roman" w:hAnsi="Times New Roman" w:cs="Times New Roman"/>
          <w:sz w:val="28"/>
          <w:szCs w:val="28"/>
        </w:rPr>
        <w:t>. США. Большая часть опционов являются европейскими (92,3% на 1 июля 2021 года), а среди американских опционов выделяются несколько</w:t>
      </w:r>
      <w:r w:rsidR="006F5F5F" w:rsidRPr="00E658DC">
        <w:rPr>
          <w:rFonts w:ascii="Times New Roman" w:hAnsi="Times New Roman" w:cs="Times New Roman"/>
          <w:sz w:val="28"/>
          <w:szCs w:val="28"/>
        </w:rPr>
        <w:t xml:space="preserve"> </w:t>
      </w:r>
      <w:r w:rsidRPr="00E658DC">
        <w:rPr>
          <w:rFonts w:ascii="Times New Roman" w:hAnsi="Times New Roman" w:cs="Times New Roman"/>
          <w:sz w:val="28"/>
          <w:szCs w:val="28"/>
        </w:rPr>
        <w:t>очень крупных к</w:t>
      </w:r>
      <w:r w:rsidRPr="00725C7A">
        <w:rPr>
          <w:rFonts w:ascii="Times New Roman" w:hAnsi="Times New Roman" w:cs="Times New Roman"/>
          <w:sz w:val="28"/>
          <w:szCs w:val="28"/>
        </w:rPr>
        <w:t>онтрактов, в которых одна из валют – фунт стерлингов. На данные контракты</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приходится 98,7% всех американских опцион</w:t>
      </w:r>
      <w:r w:rsidRPr="00E658DC">
        <w:rPr>
          <w:rFonts w:ascii="Times New Roman" w:hAnsi="Times New Roman" w:cs="Times New Roman"/>
          <w:sz w:val="28"/>
          <w:szCs w:val="28"/>
        </w:rPr>
        <w:t>ов на 1 июля 2021 года.</w:t>
      </w:r>
    </w:p>
    <w:p w14:paraId="67B91DA8" w14:textId="4F94B46C" w:rsidR="00725C7A" w:rsidRPr="00725C7A" w:rsidRDefault="00725C7A" w:rsidP="006F5F5F">
      <w:pPr>
        <w:spacing w:after="0" w:line="360" w:lineRule="auto"/>
        <w:ind w:firstLine="709"/>
        <w:jc w:val="both"/>
        <w:rPr>
          <w:rFonts w:ascii="Times New Roman" w:hAnsi="Times New Roman" w:cs="Times New Roman"/>
          <w:sz w:val="28"/>
          <w:szCs w:val="28"/>
        </w:rPr>
      </w:pPr>
      <w:r w:rsidRPr="00725C7A">
        <w:rPr>
          <w:rFonts w:ascii="Times New Roman" w:hAnsi="Times New Roman" w:cs="Times New Roman"/>
          <w:sz w:val="28"/>
          <w:szCs w:val="28"/>
        </w:rPr>
        <w:t>Основными участниками рынка валютных опционов являются банки, относящиеся к СЗКО,</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а также нерезиденты и дочерние иностранные банки. Практически на протяжении всего рассматриваемого периода открытые позиции со стороны СЗКО были примерно равны аналогичным позициям у нерезидентов и дочерних иностранных банков. При этом СЗКО</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выступали покупателями и продавцами валютных опционов, хеджируя риски укрепления и ослабления иностранных валют против рубля.</w:t>
      </w:r>
    </w:p>
    <w:p w14:paraId="43B3B363" w14:textId="77777777" w:rsidR="00725C7A" w:rsidRPr="00725C7A" w:rsidRDefault="00725C7A" w:rsidP="00725C7A">
      <w:pPr>
        <w:spacing w:after="0" w:line="360" w:lineRule="auto"/>
        <w:ind w:firstLine="709"/>
        <w:jc w:val="both"/>
        <w:rPr>
          <w:rFonts w:ascii="Times New Roman" w:hAnsi="Times New Roman" w:cs="Times New Roman"/>
          <w:sz w:val="28"/>
          <w:szCs w:val="28"/>
        </w:rPr>
      </w:pPr>
      <w:r w:rsidRPr="00725C7A">
        <w:rPr>
          <w:rFonts w:ascii="Times New Roman" w:hAnsi="Times New Roman" w:cs="Times New Roman"/>
          <w:sz w:val="28"/>
          <w:szCs w:val="28"/>
        </w:rPr>
        <w:t>Лишь в 2018–2020 годах сумма открытых позиций заметно отличалась – это было вызвано тем, что СЗКО заключали множество сделок не только с нерезидентами, но и между собой.</w:t>
      </w:r>
    </w:p>
    <w:p w14:paraId="6AAC16CB" w14:textId="0FE4304B" w:rsidR="00725C7A" w:rsidRPr="00725C7A" w:rsidRDefault="00725C7A" w:rsidP="006F5F5F">
      <w:pPr>
        <w:spacing w:after="0" w:line="360" w:lineRule="auto"/>
        <w:ind w:firstLine="709"/>
        <w:jc w:val="both"/>
        <w:rPr>
          <w:rFonts w:ascii="Times New Roman" w:hAnsi="Times New Roman" w:cs="Times New Roman"/>
          <w:sz w:val="28"/>
          <w:szCs w:val="28"/>
        </w:rPr>
      </w:pPr>
      <w:r w:rsidRPr="00725C7A">
        <w:rPr>
          <w:rFonts w:ascii="Times New Roman" w:hAnsi="Times New Roman" w:cs="Times New Roman"/>
          <w:sz w:val="28"/>
          <w:szCs w:val="28"/>
        </w:rPr>
        <w:lastRenderedPageBreak/>
        <w:t>Валютно-процентный своп представляет собой инструмент, синтезирующий свойства валютного и процентного свопов. Он предоставляет возможность одновременно управлять валютными</w:t>
      </w:r>
      <w:r w:rsidR="006F5F5F" w:rsidRPr="00A11272">
        <w:rPr>
          <w:rFonts w:ascii="Times New Roman" w:hAnsi="Times New Roman" w:cs="Times New Roman"/>
          <w:sz w:val="28"/>
          <w:szCs w:val="28"/>
        </w:rPr>
        <w:t xml:space="preserve"> </w:t>
      </w:r>
      <w:r w:rsidRPr="00725C7A">
        <w:rPr>
          <w:rFonts w:ascii="Times New Roman" w:hAnsi="Times New Roman" w:cs="Times New Roman"/>
          <w:sz w:val="28"/>
          <w:szCs w:val="28"/>
        </w:rPr>
        <w:t>и процентными рисками. В России валютно-процентный своп исторически использовался как способ синтетического валютного кредитования, которое активно развивалось в 2010–2014 годах.</w:t>
      </w:r>
    </w:p>
    <w:p w14:paraId="2E8EDC1A" w14:textId="57E45D8D" w:rsidR="00725C7A" w:rsidRPr="00725C7A" w:rsidRDefault="00725C7A" w:rsidP="006F5F5F">
      <w:pPr>
        <w:spacing w:after="0" w:line="360" w:lineRule="auto"/>
        <w:ind w:firstLine="709"/>
        <w:jc w:val="both"/>
        <w:rPr>
          <w:rFonts w:ascii="Times New Roman" w:hAnsi="Times New Roman" w:cs="Times New Roman"/>
          <w:sz w:val="28"/>
          <w:szCs w:val="28"/>
        </w:rPr>
      </w:pPr>
      <w:r w:rsidRPr="00725C7A">
        <w:rPr>
          <w:rFonts w:ascii="Times New Roman" w:hAnsi="Times New Roman" w:cs="Times New Roman"/>
          <w:sz w:val="28"/>
          <w:szCs w:val="28"/>
        </w:rPr>
        <w:t>Впоследствии практика использования валютно-процентных свопов в качестве инструментов</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валютного финансирования закрепилась среди крупных российских компаний, которые стремятся максимально диверсифицировать источники финансирования своих операций. Динамика</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объемов хеджирования валютных кредитов с помощью валютно-процентных свопов сильно зависит от динамики курса рубля: ослабление рубля приводит к удорожанию этой стратегии и,</w:t>
      </w:r>
      <w:r w:rsidR="006F5F5F" w:rsidRPr="006F5F5F">
        <w:rPr>
          <w:rFonts w:ascii="Times New Roman" w:hAnsi="Times New Roman" w:cs="Times New Roman"/>
          <w:sz w:val="28"/>
          <w:szCs w:val="28"/>
        </w:rPr>
        <w:t xml:space="preserve"> </w:t>
      </w:r>
      <w:r w:rsidRPr="00725C7A">
        <w:rPr>
          <w:rFonts w:ascii="Times New Roman" w:hAnsi="Times New Roman" w:cs="Times New Roman"/>
          <w:sz w:val="28"/>
          <w:szCs w:val="28"/>
        </w:rPr>
        <w:t>Внебиржевой рынок ПФИ соответственно, снижает спрос на нее. Наиболее активно и регулярно валютно-процентные свопы применяются банками для управления рыночным риском.</w:t>
      </w:r>
    </w:p>
    <w:p w14:paraId="39C0427F" w14:textId="1474E685" w:rsidR="00725C7A" w:rsidRPr="00725C7A" w:rsidRDefault="00725C7A" w:rsidP="00725C7A">
      <w:pPr>
        <w:spacing w:after="0" w:line="360" w:lineRule="auto"/>
        <w:ind w:firstLine="709"/>
        <w:jc w:val="both"/>
        <w:rPr>
          <w:rFonts w:ascii="Times New Roman" w:hAnsi="Times New Roman" w:cs="Times New Roman"/>
          <w:sz w:val="28"/>
          <w:szCs w:val="28"/>
        </w:rPr>
      </w:pPr>
      <w:r w:rsidRPr="00725C7A">
        <w:rPr>
          <w:rFonts w:ascii="Times New Roman" w:hAnsi="Times New Roman" w:cs="Times New Roman"/>
          <w:sz w:val="28"/>
          <w:szCs w:val="28"/>
        </w:rPr>
        <w:t>Сегмент торговли валютно-процентными свопами в России имеет долгосрочный повышательный тренд и характеризуется преимущественно положительной динамикой открытых сделок с небольшими локальными всплесками в декабре 2014 года (период роста ставок денежного рынка и повышения уровня ключевой ставки Банка России в условиях необходимости ограничения возросших девальвационных и инфляционных рисков) и с мая по август 2020 года (период введения в России ограничений, связанных с пандемией COVID-19). Увеличение объемов валютно-процентных свопов подчеркивает значимость инструмента в целях хеджирования рисков.</w:t>
      </w:r>
    </w:p>
    <w:p w14:paraId="6973DDF8" w14:textId="27F564EB" w:rsidR="00725C7A" w:rsidRPr="00725C7A" w:rsidRDefault="00725C7A" w:rsidP="00725C7A">
      <w:pPr>
        <w:spacing w:after="0" w:line="360" w:lineRule="auto"/>
        <w:ind w:firstLine="709"/>
        <w:jc w:val="both"/>
        <w:rPr>
          <w:rFonts w:ascii="Times New Roman" w:hAnsi="Times New Roman" w:cs="Times New Roman"/>
          <w:sz w:val="28"/>
          <w:szCs w:val="28"/>
        </w:rPr>
      </w:pPr>
      <w:r w:rsidRPr="00725C7A">
        <w:rPr>
          <w:rFonts w:ascii="Times New Roman" w:hAnsi="Times New Roman" w:cs="Times New Roman"/>
          <w:sz w:val="28"/>
          <w:szCs w:val="28"/>
        </w:rPr>
        <w:t>Основными участниками на рынке являлись СЗКО, нефинансовые организации и нерезиденты. Стратегии поведения различных категорий участников рынка валютно-процентных свопов отличались между собой, но оставались однородны и в большей степени постоянны в пределах одной категории. Наиболее интересные особенности прослеживались в поведении следующих участников:</w:t>
      </w:r>
    </w:p>
    <w:p w14:paraId="4C28A89A" w14:textId="5B7C1A14" w:rsidR="00725C7A" w:rsidRPr="00725C7A" w:rsidRDefault="00725C7A" w:rsidP="00725C7A">
      <w:pPr>
        <w:spacing w:after="0" w:line="360" w:lineRule="auto"/>
        <w:ind w:firstLine="709"/>
        <w:jc w:val="both"/>
        <w:rPr>
          <w:rFonts w:ascii="Times New Roman" w:hAnsi="Times New Roman" w:cs="Times New Roman"/>
          <w:sz w:val="28"/>
          <w:szCs w:val="28"/>
        </w:rPr>
      </w:pPr>
      <w:r w:rsidRPr="00725C7A">
        <w:rPr>
          <w:rFonts w:ascii="Times New Roman" w:hAnsi="Times New Roman" w:cs="Times New Roman"/>
          <w:sz w:val="28"/>
          <w:szCs w:val="28"/>
        </w:rPr>
        <w:lastRenderedPageBreak/>
        <w:t>1. Одни из наиболее активных участников рынка – СЗКО – размещают накопленную на депозитах иностранную валюту посредством валютно-процентных свопов под фиксированную ставку. По состоянию на 1 июля 2021 года объем таких операций у этой группы составил 10,5 млрд долл. США. Одновременно СЗКО получают рублевую ликвидность для ведения бизнеса в России от нефинансовых компаний, НФО, а также нерезидентов.</w:t>
      </w:r>
    </w:p>
    <w:p w14:paraId="06A1F2BA" w14:textId="71155C3F" w:rsidR="00725C7A" w:rsidRPr="00725C7A" w:rsidRDefault="00725C7A" w:rsidP="00725C7A">
      <w:pPr>
        <w:spacing w:after="0" w:line="360" w:lineRule="auto"/>
        <w:ind w:firstLine="709"/>
        <w:jc w:val="both"/>
        <w:rPr>
          <w:rFonts w:ascii="Times New Roman" w:hAnsi="Times New Roman" w:cs="Times New Roman"/>
          <w:sz w:val="28"/>
          <w:szCs w:val="28"/>
        </w:rPr>
      </w:pPr>
      <w:r w:rsidRPr="00725C7A">
        <w:rPr>
          <w:rFonts w:ascii="Times New Roman" w:hAnsi="Times New Roman" w:cs="Times New Roman"/>
          <w:sz w:val="28"/>
          <w:szCs w:val="28"/>
        </w:rPr>
        <w:t xml:space="preserve">2. Нефинансовые организации размещают рублевую ликвидность СЗКО, взамен получая валютное кредитование. Таким образом, реальный сектор получает валютное кредитование, а у банков не возникает высоких коэффициентов риска, предусмотренных для прямого кредитования в иностранной валюте. В случае если сделка является </w:t>
      </w:r>
      <w:proofErr w:type="spellStart"/>
      <w:r w:rsidRPr="00725C7A">
        <w:rPr>
          <w:rFonts w:ascii="Times New Roman" w:hAnsi="Times New Roman" w:cs="Times New Roman"/>
          <w:sz w:val="28"/>
          <w:szCs w:val="28"/>
        </w:rPr>
        <w:t>маржируемой</w:t>
      </w:r>
      <w:proofErr w:type="spellEnd"/>
      <w:r w:rsidRPr="00725C7A">
        <w:rPr>
          <w:rFonts w:ascii="Times New Roman" w:hAnsi="Times New Roman" w:cs="Times New Roman"/>
          <w:sz w:val="28"/>
          <w:szCs w:val="28"/>
        </w:rPr>
        <w:t xml:space="preserve">, кредитные риски по ней минимальны. Если сделка не является </w:t>
      </w:r>
      <w:proofErr w:type="spellStart"/>
      <w:r w:rsidRPr="00725C7A">
        <w:rPr>
          <w:rFonts w:ascii="Times New Roman" w:hAnsi="Times New Roman" w:cs="Times New Roman"/>
          <w:sz w:val="28"/>
          <w:szCs w:val="28"/>
        </w:rPr>
        <w:t>маржируемой</w:t>
      </w:r>
      <w:proofErr w:type="spellEnd"/>
      <w:r w:rsidRPr="00725C7A">
        <w:rPr>
          <w:rFonts w:ascii="Times New Roman" w:hAnsi="Times New Roman" w:cs="Times New Roman"/>
          <w:sz w:val="28"/>
          <w:szCs w:val="28"/>
        </w:rPr>
        <w:t>, то требуется установление кредитного лимита на объем рыночного риска по такой сделке (при этом у банка остается «в залоге» номинал в рублях).</w:t>
      </w:r>
    </w:p>
    <w:p w14:paraId="537CDB00" w14:textId="77EA7DD1" w:rsidR="008B43D6" w:rsidRDefault="00725C7A" w:rsidP="00702358">
      <w:pPr>
        <w:spacing w:after="0" w:line="360" w:lineRule="auto"/>
        <w:ind w:firstLine="709"/>
        <w:jc w:val="both"/>
        <w:rPr>
          <w:rFonts w:ascii="Times New Roman" w:hAnsi="Times New Roman" w:cs="Times New Roman"/>
          <w:b/>
          <w:bCs/>
          <w:color w:val="C00000"/>
          <w:sz w:val="28"/>
          <w:szCs w:val="28"/>
        </w:rPr>
      </w:pPr>
      <w:r w:rsidRPr="00725C7A">
        <w:rPr>
          <w:rFonts w:ascii="Times New Roman" w:hAnsi="Times New Roman" w:cs="Times New Roman"/>
          <w:sz w:val="28"/>
          <w:szCs w:val="28"/>
        </w:rPr>
        <w:t xml:space="preserve">3. Нерезиденты размещают рубли и под плавающие, и под фиксированные ставки, зарабатывая на </w:t>
      </w:r>
      <w:proofErr w:type="spellStart"/>
      <w:r w:rsidRPr="00725C7A">
        <w:rPr>
          <w:rFonts w:ascii="Times New Roman" w:hAnsi="Times New Roman" w:cs="Times New Roman"/>
          <w:sz w:val="28"/>
          <w:szCs w:val="28"/>
        </w:rPr>
        <w:t>керри</w:t>
      </w:r>
      <w:proofErr w:type="spellEnd"/>
      <w:r w:rsidRPr="00725C7A">
        <w:rPr>
          <w:rFonts w:ascii="Times New Roman" w:hAnsi="Times New Roman" w:cs="Times New Roman"/>
          <w:sz w:val="28"/>
          <w:szCs w:val="28"/>
        </w:rPr>
        <w:t>-трейде аналогично операциям на валютных свопах, но заключая более длинные сделки.</w:t>
      </w:r>
      <w:r w:rsidR="006D3AC5" w:rsidRPr="006D3AC5">
        <w:rPr>
          <w:rFonts w:ascii="Times New Roman" w:hAnsi="Times New Roman" w:cs="Times New Roman"/>
          <w:b/>
          <w:bCs/>
          <w:color w:val="C00000"/>
          <w:sz w:val="28"/>
          <w:szCs w:val="28"/>
        </w:rPr>
        <w:t xml:space="preserve"> </w:t>
      </w:r>
    </w:p>
    <w:p w14:paraId="79E9AD90" w14:textId="4BC45C07" w:rsidR="008B43D6" w:rsidRPr="008B43D6" w:rsidRDefault="004073DC" w:rsidP="0070235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Суммируя всё вышесказанное, можно заключить, что за последние десятилетия</w:t>
      </w:r>
      <w:r w:rsidR="00F32AF9">
        <w:rPr>
          <w:rFonts w:ascii="Times New Roman" w:hAnsi="Times New Roman" w:cs="Times New Roman"/>
          <w:color w:val="000000" w:themeColor="text1"/>
          <w:sz w:val="28"/>
          <w:szCs w:val="28"/>
        </w:rPr>
        <w:t xml:space="preserve"> российский</w:t>
      </w:r>
      <w:r>
        <w:rPr>
          <w:rFonts w:ascii="Times New Roman" w:hAnsi="Times New Roman" w:cs="Times New Roman"/>
          <w:color w:val="000000" w:themeColor="text1"/>
          <w:sz w:val="28"/>
          <w:szCs w:val="28"/>
        </w:rPr>
        <w:t xml:space="preserve"> </w:t>
      </w:r>
      <w:r w:rsidR="00F32AF9">
        <w:rPr>
          <w:rFonts w:ascii="Times New Roman" w:hAnsi="Times New Roman" w:cs="Times New Roman"/>
          <w:color w:val="000000" w:themeColor="text1"/>
          <w:sz w:val="28"/>
          <w:szCs w:val="28"/>
        </w:rPr>
        <w:t xml:space="preserve">рынок валютных </w:t>
      </w:r>
      <w:proofErr w:type="spellStart"/>
      <w:r w:rsidR="00F32AF9">
        <w:rPr>
          <w:rFonts w:ascii="Times New Roman" w:hAnsi="Times New Roman" w:cs="Times New Roman"/>
          <w:color w:val="000000" w:themeColor="text1"/>
          <w:sz w:val="28"/>
          <w:szCs w:val="28"/>
        </w:rPr>
        <w:t>деривативов</w:t>
      </w:r>
      <w:proofErr w:type="spellEnd"/>
      <w:r w:rsidR="00F32AF9">
        <w:rPr>
          <w:rFonts w:ascii="Times New Roman" w:hAnsi="Times New Roman" w:cs="Times New Roman"/>
          <w:color w:val="000000" w:themeColor="text1"/>
          <w:sz w:val="28"/>
          <w:szCs w:val="28"/>
        </w:rPr>
        <w:t xml:space="preserve"> значительно развился, усложнился и вырос в объёме, за исключением последних нескольких месяцев, когда деятельность приостановилась из-за валютных ограничений. Сделки различаются по субъектам их совершения, видам ПФИ, срокам и т.д.</w:t>
      </w:r>
    </w:p>
    <w:p w14:paraId="0EF7BC2C" w14:textId="72F59C5F" w:rsidR="00702358" w:rsidRPr="00A11272" w:rsidRDefault="00702358" w:rsidP="00702358">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6D3AC5" w:rsidRPr="006D3AC5">
        <w:rPr>
          <w:rFonts w:ascii="Times New Roman" w:hAnsi="Times New Roman" w:cs="Times New Roman"/>
          <w:b/>
          <w:bCs/>
          <w:color w:val="C00000"/>
          <w:sz w:val="28"/>
          <w:szCs w:val="28"/>
        </w:rPr>
        <w:lastRenderedPageBreak/>
        <w:t xml:space="preserve"> </w:t>
      </w:r>
      <w:r w:rsidRPr="00A11272">
        <w:rPr>
          <w:rFonts w:ascii="Times New Roman" w:hAnsi="Times New Roman" w:cs="Times New Roman"/>
          <w:b/>
          <w:bCs/>
          <w:sz w:val="28"/>
          <w:szCs w:val="28"/>
        </w:rPr>
        <w:t xml:space="preserve">3 Проблемы и перспективы развития рынка </w:t>
      </w:r>
      <w:proofErr w:type="spellStart"/>
      <w:r w:rsidRPr="00A11272">
        <w:rPr>
          <w:rFonts w:ascii="Times New Roman" w:hAnsi="Times New Roman" w:cs="Times New Roman"/>
          <w:b/>
          <w:bCs/>
          <w:sz w:val="28"/>
          <w:szCs w:val="28"/>
        </w:rPr>
        <w:t>деривативов</w:t>
      </w:r>
      <w:proofErr w:type="spellEnd"/>
      <w:r w:rsidRPr="00A11272">
        <w:rPr>
          <w:rFonts w:ascii="Times New Roman" w:hAnsi="Times New Roman" w:cs="Times New Roman"/>
          <w:b/>
          <w:bCs/>
          <w:sz w:val="28"/>
          <w:szCs w:val="28"/>
        </w:rPr>
        <w:t xml:space="preserve"> в России</w:t>
      </w:r>
    </w:p>
    <w:p w14:paraId="66399C41" w14:textId="77777777" w:rsidR="00A11272" w:rsidRPr="00A11272" w:rsidRDefault="00A11272" w:rsidP="00702358">
      <w:pPr>
        <w:spacing w:after="0" w:line="360" w:lineRule="auto"/>
        <w:ind w:firstLine="709"/>
        <w:jc w:val="both"/>
        <w:rPr>
          <w:rFonts w:ascii="Times New Roman" w:hAnsi="Times New Roman" w:cs="Times New Roman"/>
          <w:b/>
          <w:bCs/>
          <w:sz w:val="28"/>
          <w:szCs w:val="28"/>
        </w:rPr>
      </w:pPr>
    </w:p>
    <w:p w14:paraId="50FAA04D" w14:textId="722C4DD6" w:rsidR="00702358" w:rsidRPr="00A11272" w:rsidRDefault="00702358" w:rsidP="00702358">
      <w:pPr>
        <w:spacing w:after="0" w:line="360" w:lineRule="auto"/>
        <w:ind w:firstLine="709"/>
        <w:jc w:val="both"/>
        <w:rPr>
          <w:rFonts w:ascii="Times New Roman" w:hAnsi="Times New Roman" w:cs="Times New Roman"/>
          <w:b/>
          <w:bCs/>
          <w:sz w:val="28"/>
          <w:szCs w:val="28"/>
        </w:rPr>
      </w:pPr>
      <w:r w:rsidRPr="00A11272">
        <w:rPr>
          <w:rFonts w:ascii="Times New Roman" w:hAnsi="Times New Roman" w:cs="Times New Roman"/>
          <w:b/>
          <w:bCs/>
          <w:sz w:val="28"/>
          <w:szCs w:val="28"/>
        </w:rPr>
        <w:t xml:space="preserve">3.1 Основные проблемы и тенденции рынка </w:t>
      </w:r>
      <w:proofErr w:type="spellStart"/>
      <w:r w:rsidRPr="00A11272">
        <w:rPr>
          <w:rFonts w:ascii="Times New Roman" w:hAnsi="Times New Roman" w:cs="Times New Roman"/>
          <w:b/>
          <w:bCs/>
          <w:sz w:val="28"/>
          <w:szCs w:val="28"/>
        </w:rPr>
        <w:t>деривативов</w:t>
      </w:r>
      <w:proofErr w:type="spellEnd"/>
      <w:r w:rsidRPr="00A11272">
        <w:rPr>
          <w:rFonts w:ascii="Times New Roman" w:hAnsi="Times New Roman" w:cs="Times New Roman"/>
          <w:b/>
          <w:bCs/>
          <w:sz w:val="28"/>
          <w:szCs w:val="28"/>
        </w:rPr>
        <w:t xml:space="preserve"> в России</w:t>
      </w:r>
    </w:p>
    <w:p w14:paraId="28B310A4" w14:textId="4B2C5715" w:rsidR="00A11272" w:rsidRDefault="00A11272" w:rsidP="00702358">
      <w:pPr>
        <w:spacing w:after="0" w:line="360" w:lineRule="auto"/>
        <w:ind w:firstLine="709"/>
        <w:jc w:val="both"/>
        <w:rPr>
          <w:rFonts w:ascii="Times New Roman" w:hAnsi="Times New Roman" w:cs="Times New Roman"/>
          <w:sz w:val="28"/>
          <w:szCs w:val="28"/>
        </w:rPr>
      </w:pPr>
    </w:p>
    <w:p w14:paraId="125EE0E4" w14:textId="5E042D7F" w:rsidR="00A11272" w:rsidRPr="00A11272" w:rsidRDefault="00A11272" w:rsidP="00A11272">
      <w:pPr>
        <w:spacing w:after="0" w:line="360" w:lineRule="auto"/>
        <w:ind w:firstLine="709"/>
        <w:jc w:val="both"/>
        <w:rPr>
          <w:rFonts w:ascii="Times New Roman" w:hAnsi="Times New Roman" w:cs="Times New Roman"/>
          <w:sz w:val="28"/>
          <w:szCs w:val="28"/>
        </w:rPr>
      </w:pPr>
      <w:r w:rsidRPr="00A11272">
        <w:rPr>
          <w:rFonts w:ascii="Times New Roman" w:hAnsi="Times New Roman" w:cs="Times New Roman"/>
          <w:sz w:val="28"/>
          <w:szCs w:val="28"/>
        </w:rPr>
        <w:t xml:space="preserve">В спокойные периоды, когда рынок стабилен и не наблюдается шоков и волатильности, нерезиденты придерживаются стратегии </w:t>
      </w:r>
      <w:proofErr w:type="spellStart"/>
      <w:r w:rsidRPr="00A11272">
        <w:rPr>
          <w:rFonts w:ascii="Times New Roman" w:hAnsi="Times New Roman" w:cs="Times New Roman"/>
          <w:sz w:val="28"/>
          <w:szCs w:val="28"/>
        </w:rPr>
        <w:t>керри</w:t>
      </w:r>
      <w:proofErr w:type="spellEnd"/>
      <w:r w:rsidRPr="00A11272">
        <w:rPr>
          <w:rFonts w:ascii="Times New Roman" w:hAnsi="Times New Roman" w:cs="Times New Roman"/>
          <w:sz w:val="28"/>
          <w:szCs w:val="28"/>
        </w:rPr>
        <w:t xml:space="preserve">-трейд, позволяющей зарабатывать на разнице процентных ставок. Поскольку дифференциал процентных ставок в долларах США и рублях значителен (несмотря на несущественные временные изменения), нерезидентам выгодно привлекать через валютные свопы валюту под «низкую» процентную ставку (в валюте) и размещать рубли под «высокую». Иными словами, для реализации стратегии </w:t>
      </w:r>
      <w:proofErr w:type="spellStart"/>
      <w:r w:rsidRPr="00A11272">
        <w:rPr>
          <w:rFonts w:ascii="Times New Roman" w:hAnsi="Times New Roman" w:cs="Times New Roman"/>
          <w:sz w:val="28"/>
          <w:szCs w:val="28"/>
        </w:rPr>
        <w:t>керри</w:t>
      </w:r>
      <w:proofErr w:type="spellEnd"/>
      <w:r w:rsidRPr="00A11272">
        <w:rPr>
          <w:rFonts w:ascii="Times New Roman" w:hAnsi="Times New Roman" w:cs="Times New Roman"/>
          <w:sz w:val="28"/>
          <w:szCs w:val="28"/>
        </w:rPr>
        <w:t>-трейд через валютные свопы нерезиденты «покупают» валюту на первой «ноге», отдавая рубли, а на второй «ноге» происходит обратная операция: нерезиденты «продают» валюту и получают рубли. В абсолютном большинстве случаев сделки заключаются на срок овернайт и при росте волатильности на финансовом рынке сворачиваются.</w:t>
      </w:r>
    </w:p>
    <w:p w14:paraId="5CE64AF7" w14:textId="77777777" w:rsidR="00A11272" w:rsidRPr="00A11272" w:rsidRDefault="00A11272" w:rsidP="00A11272">
      <w:pPr>
        <w:spacing w:after="0" w:line="360" w:lineRule="auto"/>
        <w:ind w:firstLine="709"/>
        <w:jc w:val="both"/>
        <w:rPr>
          <w:rFonts w:ascii="Times New Roman" w:hAnsi="Times New Roman" w:cs="Times New Roman"/>
          <w:sz w:val="28"/>
          <w:szCs w:val="28"/>
        </w:rPr>
      </w:pPr>
      <w:r w:rsidRPr="00A11272">
        <w:rPr>
          <w:rFonts w:ascii="Times New Roman" w:hAnsi="Times New Roman" w:cs="Times New Roman"/>
          <w:sz w:val="28"/>
          <w:szCs w:val="28"/>
        </w:rPr>
        <w:t xml:space="preserve">Условием реализации стратегии </w:t>
      </w:r>
      <w:proofErr w:type="spellStart"/>
      <w:r w:rsidRPr="00A11272">
        <w:rPr>
          <w:rFonts w:ascii="Times New Roman" w:hAnsi="Times New Roman" w:cs="Times New Roman"/>
          <w:sz w:val="28"/>
          <w:szCs w:val="28"/>
        </w:rPr>
        <w:t>керри</w:t>
      </w:r>
      <w:proofErr w:type="spellEnd"/>
      <w:r w:rsidRPr="00A11272">
        <w:rPr>
          <w:rFonts w:ascii="Times New Roman" w:hAnsi="Times New Roman" w:cs="Times New Roman"/>
          <w:sz w:val="28"/>
          <w:szCs w:val="28"/>
        </w:rPr>
        <w:t>-трейд является наличие рублей у нерезидента. Для получения рублей нерезидент заключает конверсионную сделку по продаже валюты на валютном рынке, принимая при этом на себя валютный риск, так как при закрытии стратегии в будущем ему потребуется купить валюту на рынке по курсу на момент закрытия. Разница между курсами исполнения указанных сделок влечет за собой получение прибыли или убытка.</w:t>
      </w:r>
    </w:p>
    <w:p w14:paraId="09D6D228" w14:textId="77777777" w:rsidR="00A11272" w:rsidRPr="00A11272" w:rsidRDefault="00A11272" w:rsidP="00A11272">
      <w:pPr>
        <w:spacing w:after="0" w:line="360" w:lineRule="auto"/>
        <w:ind w:firstLine="709"/>
        <w:jc w:val="both"/>
        <w:rPr>
          <w:rFonts w:ascii="Times New Roman" w:hAnsi="Times New Roman" w:cs="Times New Roman"/>
          <w:sz w:val="28"/>
          <w:szCs w:val="28"/>
        </w:rPr>
      </w:pPr>
      <w:r w:rsidRPr="00A11272">
        <w:rPr>
          <w:rFonts w:ascii="Times New Roman" w:hAnsi="Times New Roman" w:cs="Times New Roman"/>
          <w:sz w:val="28"/>
          <w:szCs w:val="28"/>
        </w:rPr>
        <w:t xml:space="preserve">При ослаблении рубля нерезиденты сворачивают операции </w:t>
      </w:r>
      <w:proofErr w:type="spellStart"/>
      <w:r w:rsidRPr="00A11272">
        <w:rPr>
          <w:rFonts w:ascii="Times New Roman" w:hAnsi="Times New Roman" w:cs="Times New Roman"/>
          <w:sz w:val="28"/>
          <w:szCs w:val="28"/>
        </w:rPr>
        <w:t>керри</w:t>
      </w:r>
      <w:proofErr w:type="spellEnd"/>
      <w:r w:rsidRPr="00A11272">
        <w:rPr>
          <w:rFonts w:ascii="Times New Roman" w:hAnsi="Times New Roman" w:cs="Times New Roman"/>
          <w:sz w:val="28"/>
          <w:szCs w:val="28"/>
        </w:rPr>
        <w:t xml:space="preserve">-трейд в целях минимизации возможного убытка от курсовых разниц. Сворачивание операций </w:t>
      </w:r>
      <w:proofErr w:type="spellStart"/>
      <w:r w:rsidRPr="00A11272">
        <w:rPr>
          <w:rFonts w:ascii="Times New Roman" w:hAnsi="Times New Roman" w:cs="Times New Roman"/>
          <w:sz w:val="28"/>
          <w:szCs w:val="28"/>
        </w:rPr>
        <w:t>керри</w:t>
      </w:r>
      <w:proofErr w:type="spellEnd"/>
      <w:r w:rsidRPr="00A11272">
        <w:rPr>
          <w:rFonts w:ascii="Times New Roman" w:hAnsi="Times New Roman" w:cs="Times New Roman"/>
          <w:sz w:val="28"/>
          <w:szCs w:val="28"/>
        </w:rPr>
        <w:t xml:space="preserve">-трейд приводит к дополнительному спросу на валюту и может усилить ослабление рубля. Однако не все операции на рынке валютных свопов, совершаемые нерезидентами, относятся к сделкам </w:t>
      </w:r>
      <w:proofErr w:type="spellStart"/>
      <w:r w:rsidRPr="00A11272">
        <w:rPr>
          <w:rFonts w:ascii="Times New Roman" w:hAnsi="Times New Roman" w:cs="Times New Roman"/>
          <w:sz w:val="28"/>
          <w:szCs w:val="28"/>
        </w:rPr>
        <w:t>керри</w:t>
      </w:r>
      <w:proofErr w:type="spellEnd"/>
      <w:r w:rsidRPr="00A11272">
        <w:rPr>
          <w:rFonts w:ascii="Times New Roman" w:hAnsi="Times New Roman" w:cs="Times New Roman"/>
          <w:sz w:val="28"/>
          <w:szCs w:val="28"/>
        </w:rPr>
        <w:t>-трейд. Часть из них, например, проводится российскими дочками иностранных банков с целью управления рублевой ликвидностью. Проведение таких операций может происходить без использования конверсионных сделок и не оказывать влияния на курс рубля.</w:t>
      </w:r>
    </w:p>
    <w:p w14:paraId="1148F5A4" w14:textId="77777777" w:rsidR="00A11272" w:rsidRPr="00A11272" w:rsidRDefault="00A11272" w:rsidP="00A11272">
      <w:pPr>
        <w:spacing w:after="0" w:line="360" w:lineRule="auto"/>
        <w:ind w:firstLine="709"/>
        <w:jc w:val="both"/>
        <w:rPr>
          <w:rFonts w:ascii="Times New Roman" w:hAnsi="Times New Roman" w:cs="Times New Roman"/>
          <w:sz w:val="28"/>
          <w:szCs w:val="28"/>
        </w:rPr>
      </w:pPr>
      <w:r w:rsidRPr="00A11272">
        <w:rPr>
          <w:rFonts w:ascii="Times New Roman" w:hAnsi="Times New Roman" w:cs="Times New Roman"/>
          <w:sz w:val="28"/>
          <w:szCs w:val="28"/>
        </w:rPr>
        <w:lastRenderedPageBreak/>
        <w:t xml:space="preserve">В целом операции нерезидентов на валютных свопах на российском рынке не несут значительных рисков для финансовой стабильности, поскольку связанное с ними потенциальное давление на рубль (в рамках сделок </w:t>
      </w:r>
      <w:proofErr w:type="spellStart"/>
      <w:r w:rsidRPr="00A11272">
        <w:rPr>
          <w:rFonts w:ascii="Times New Roman" w:hAnsi="Times New Roman" w:cs="Times New Roman"/>
          <w:sz w:val="28"/>
          <w:szCs w:val="28"/>
        </w:rPr>
        <w:t>керри</w:t>
      </w:r>
      <w:proofErr w:type="spellEnd"/>
      <w:r w:rsidRPr="00A11272">
        <w:rPr>
          <w:rFonts w:ascii="Times New Roman" w:hAnsi="Times New Roman" w:cs="Times New Roman"/>
          <w:sz w:val="28"/>
          <w:szCs w:val="28"/>
        </w:rPr>
        <w:t>-трейд) ограничено, так как при реализации негативных сценариев для российского финансового рынка моментального выхода нерезидентов с продажей рублей на спот-рынке не происходит, при этом основной объем продаж проходит через внебиржевые торги. Также давление на рубль может быть компенсировано ростом предложения валюты со стороны экспортеров, которым при прочих равных условиях выгодна конвертация валютной выручки в рубли по более слабому курсу национальной валюты.</w:t>
      </w:r>
    </w:p>
    <w:p w14:paraId="7F15A8ED" w14:textId="0613B78E" w:rsidR="00A11272" w:rsidRDefault="00A11272" w:rsidP="00A11272">
      <w:pPr>
        <w:spacing w:after="0" w:line="360" w:lineRule="auto"/>
        <w:ind w:firstLine="709"/>
        <w:jc w:val="both"/>
        <w:rPr>
          <w:rFonts w:ascii="Times New Roman" w:hAnsi="Times New Roman" w:cs="Times New Roman"/>
          <w:sz w:val="28"/>
          <w:szCs w:val="28"/>
        </w:rPr>
      </w:pPr>
      <w:r w:rsidRPr="00A11272">
        <w:rPr>
          <w:rFonts w:ascii="Times New Roman" w:hAnsi="Times New Roman" w:cs="Times New Roman"/>
          <w:sz w:val="28"/>
          <w:szCs w:val="28"/>
        </w:rPr>
        <w:t xml:space="preserve">В рассматриваемом периоде мы можем видеть несколько таких эпизодов. Несмотря на различную конъюнктуру рынка, иностранные участники оперативно меняли свою позицию на валютных свопах без существенного давления на курс рубля. В период сворачивания нерезидентами позиций на валютных свопах локальные участники повышают предложение иностранной валюты, и равновесие на рынке восстанавливается. В последующем, после завершения периода повышенной волатильности, нерезиденты возвращаются на российский рынок свопов и возобновляют проведение на нем операций </w:t>
      </w:r>
      <w:proofErr w:type="spellStart"/>
      <w:r w:rsidRPr="00A11272">
        <w:rPr>
          <w:rFonts w:ascii="Times New Roman" w:hAnsi="Times New Roman" w:cs="Times New Roman"/>
          <w:sz w:val="28"/>
          <w:szCs w:val="28"/>
        </w:rPr>
        <w:t>керри</w:t>
      </w:r>
      <w:proofErr w:type="spellEnd"/>
      <w:r w:rsidRPr="00A11272">
        <w:rPr>
          <w:rFonts w:ascii="Times New Roman" w:hAnsi="Times New Roman" w:cs="Times New Roman"/>
          <w:sz w:val="28"/>
          <w:szCs w:val="28"/>
        </w:rPr>
        <w:t>-трейд.</w:t>
      </w:r>
    </w:p>
    <w:p w14:paraId="6C693570" w14:textId="5E9271BB" w:rsidR="00A11272" w:rsidRPr="00A11272" w:rsidRDefault="00A11272" w:rsidP="00A11272">
      <w:pPr>
        <w:spacing w:after="0" w:line="360" w:lineRule="auto"/>
        <w:ind w:firstLine="709"/>
        <w:jc w:val="both"/>
        <w:rPr>
          <w:rFonts w:ascii="Times New Roman" w:hAnsi="Times New Roman" w:cs="Times New Roman"/>
          <w:sz w:val="28"/>
          <w:szCs w:val="28"/>
        </w:rPr>
      </w:pPr>
      <w:r w:rsidRPr="00A11272">
        <w:rPr>
          <w:rFonts w:ascii="Times New Roman" w:hAnsi="Times New Roman" w:cs="Times New Roman"/>
          <w:sz w:val="28"/>
          <w:szCs w:val="28"/>
        </w:rPr>
        <w:t>Также можно отметить, что более заметные позиции на рынке валютных опционов начинают занимать нефинансовые организации, общая сумма сделок которых в 2021 году превысила 6 млрд долл. США по номиналу. Самые крупные по объему сделок организации представляют собой компании, связанные с добычей и переработкой полезных ископаемых.</w:t>
      </w:r>
    </w:p>
    <w:p w14:paraId="1B340B17" w14:textId="109797C7" w:rsidR="00A11272" w:rsidRPr="00A11272" w:rsidRDefault="00A11272" w:rsidP="00A11272">
      <w:pPr>
        <w:spacing w:after="0" w:line="360" w:lineRule="auto"/>
        <w:ind w:firstLine="709"/>
        <w:jc w:val="both"/>
        <w:rPr>
          <w:rFonts w:ascii="Times New Roman" w:hAnsi="Times New Roman" w:cs="Times New Roman"/>
          <w:sz w:val="28"/>
          <w:szCs w:val="28"/>
        </w:rPr>
      </w:pPr>
      <w:r w:rsidRPr="00A11272">
        <w:rPr>
          <w:rFonts w:ascii="Times New Roman" w:hAnsi="Times New Roman" w:cs="Times New Roman"/>
          <w:sz w:val="28"/>
          <w:szCs w:val="28"/>
        </w:rPr>
        <w:t>Участники рынка валютных опционов на пару «рубль – доллар США» заключают контракты в основном на цены исполнения (</w:t>
      </w:r>
      <w:proofErr w:type="spellStart"/>
      <w:r w:rsidRPr="00A11272">
        <w:rPr>
          <w:rFonts w:ascii="Times New Roman" w:hAnsi="Times New Roman" w:cs="Times New Roman"/>
          <w:sz w:val="28"/>
          <w:szCs w:val="28"/>
        </w:rPr>
        <w:t>страйки</w:t>
      </w:r>
      <w:proofErr w:type="spellEnd"/>
      <w:r w:rsidRPr="00A11272">
        <w:rPr>
          <w:rFonts w:ascii="Times New Roman" w:hAnsi="Times New Roman" w:cs="Times New Roman"/>
          <w:sz w:val="28"/>
          <w:szCs w:val="28"/>
        </w:rPr>
        <w:t xml:space="preserve">), близкие к текущему рыночному курсу, – то есть в интервале от 70 до 75 руб. за доллар США. Таких контрактов заключено на сумму 5,1 млрд долл. США на 1 июля 2021 года, при совокупной номинальной стоимости опционов около 14,9 млрд </w:t>
      </w:r>
      <w:r w:rsidRPr="00A11272">
        <w:rPr>
          <w:rFonts w:ascii="Times New Roman" w:hAnsi="Times New Roman" w:cs="Times New Roman"/>
          <w:sz w:val="28"/>
          <w:szCs w:val="28"/>
        </w:rPr>
        <w:lastRenderedPageBreak/>
        <w:t>долл. США. Также большая сумма контрактов заключена с ценой исполнения в интервале 75–80 руб. (3 млрд долл. США).</w:t>
      </w:r>
    </w:p>
    <w:p w14:paraId="369A3F82" w14:textId="77777777" w:rsidR="00A11272" w:rsidRPr="00A11272" w:rsidRDefault="00A11272" w:rsidP="00A11272">
      <w:pPr>
        <w:spacing w:after="0" w:line="360" w:lineRule="auto"/>
        <w:ind w:firstLine="709"/>
        <w:jc w:val="both"/>
        <w:rPr>
          <w:rFonts w:ascii="Times New Roman" w:hAnsi="Times New Roman" w:cs="Times New Roman"/>
          <w:sz w:val="28"/>
          <w:szCs w:val="28"/>
        </w:rPr>
      </w:pPr>
      <w:r w:rsidRPr="00A11272">
        <w:rPr>
          <w:rFonts w:ascii="Times New Roman" w:hAnsi="Times New Roman" w:cs="Times New Roman"/>
          <w:sz w:val="28"/>
          <w:szCs w:val="28"/>
        </w:rPr>
        <w:t xml:space="preserve">Контракты на другие </w:t>
      </w:r>
      <w:proofErr w:type="spellStart"/>
      <w:r w:rsidRPr="00A11272">
        <w:rPr>
          <w:rFonts w:ascii="Times New Roman" w:hAnsi="Times New Roman" w:cs="Times New Roman"/>
          <w:sz w:val="28"/>
          <w:szCs w:val="28"/>
        </w:rPr>
        <w:t>страйки</w:t>
      </w:r>
      <w:proofErr w:type="spellEnd"/>
      <w:r w:rsidRPr="00A11272">
        <w:rPr>
          <w:rFonts w:ascii="Times New Roman" w:hAnsi="Times New Roman" w:cs="Times New Roman"/>
          <w:sz w:val="28"/>
          <w:szCs w:val="28"/>
        </w:rPr>
        <w:t xml:space="preserve"> по номинальному объему меньше, чем совокупный номинальный объем опционов с исполнением от 70 до 80 руб. за долл. США. При этом встречаются </w:t>
      </w:r>
      <w:proofErr w:type="spellStart"/>
      <w:r w:rsidRPr="00A11272">
        <w:rPr>
          <w:rFonts w:ascii="Times New Roman" w:hAnsi="Times New Roman" w:cs="Times New Roman"/>
          <w:sz w:val="28"/>
          <w:szCs w:val="28"/>
        </w:rPr>
        <w:t>страйки</w:t>
      </w:r>
      <w:proofErr w:type="spellEnd"/>
      <w:r w:rsidRPr="00A11272">
        <w:rPr>
          <w:rFonts w:ascii="Times New Roman" w:hAnsi="Times New Roman" w:cs="Times New Roman"/>
          <w:sz w:val="28"/>
          <w:szCs w:val="28"/>
        </w:rPr>
        <w:t xml:space="preserve">, далекие от </w:t>
      </w:r>
      <w:proofErr w:type="spellStart"/>
      <w:r w:rsidRPr="00A11272">
        <w:rPr>
          <w:rFonts w:ascii="Times New Roman" w:hAnsi="Times New Roman" w:cs="Times New Roman"/>
          <w:sz w:val="28"/>
          <w:szCs w:val="28"/>
        </w:rPr>
        <w:t>спотового</w:t>
      </w:r>
      <w:proofErr w:type="spellEnd"/>
      <w:r w:rsidRPr="00A11272">
        <w:rPr>
          <w:rFonts w:ascii="Times New Roman" w:hAnsi="Times New Roman" w:cs="Times New Roman"/>
          <w:sz w:val="28"/>
          <w:szCs w:val="28"/>
        </w:rPr>
        <w:t xml:space="preserve"> курса, – как небольшие (до 40 руб.), представляющие собой долгосрочные опционы, заключенные в 2013 году, так и с ценой исполнения более 100 рублей. Подавляющее большинство опционов являются европейскими, доля американских опционов – около 0,1%.</w:t>
      </w:r>
    </w:p>
    <w:p w14:paraId="56832302" w14:textId="7CE9F802" w:rsidR="00A11272" w:rsidRPr="00A11272" w:rsidRDefault="00A11272" w:rsidP="00A11272">
      <w:pPr>
        <w:spacing w:after="0" w:line="360" w:lineRule="auto"/>
        <w:ind w:firstLine="709"/>
        <w:jc w:val="both"/>
        <w:rPr>
          <w:rFonts w:ascii="Times New Roman" w:hAnsi="Times New Roman" w:cs="Times New Roman"/>
          <w:sz w:val="28"/>
          <w:szCs w:val="28"/>
        </w:rPr>
      </w:pPr>
      <w:r w:rsidRPr="00A11272">
        <w:rPr>
          <w:rFonts w:ascii="Times New Roman" w:hAnsi="Times New Roman" w:cs="Times New Roman"/>
          <w:sz w:val="28"/>
          <w:szCs w:val="28"/>
        </w:rPr>
        <w:t xml:space="preserve">На рынке валютных опционов по паре «евро – рубль» большинство контрактов (по номинальной сумме) заключено с ценой исполнения в интервале от 90 до 95 руб. за евро (рис. 9). Также значителен объем заключенных опционов со </w:t>
      </w:r>
      <w:proofErr w:type="spellStart"/>
      <w:r w:rsidRPr="00A11272">
        <w:rPr>
          <w:rFonts w:ascii="Times New Roman" w:hAnsi="Times New Roman" w:cs="Times New Roman"/>
          <w:sz w:val="28"/>
          <w:szCs w:val="28"/>
        </w:rPr>
        <w:t>страйком</w:t>
      </w:r>
      <w:proofErr w:type="spellEnd"/>
      <w:r w:rsidRPr="00A11272">
        <w:rPr>
          <w:rFonts w:ascii="Times New Roman" w:hAnsi="Times New Roman" w:cs="Times New Roman"/>
          <w:sz w:val="28"/>
          <w:szCs w:val="28"/>
        </w:rPr>
        <w:t xml:space="preserve"> больше 100 руб. за евро. Более половины таких контрактов заключаются на длительный срок (сроки погашения – от 2023 года) и являются европейскими (в целом доля американских опционов составляет около 0,4%). Общая сумма номиналов заключенных валютных </w:t>
      </w:r>
      <w:r w:rsidRPr="00844341">
        <w:rPr>
          <w:rFonts w:ascii="Times New Roman" w:hAnsi="Times New Roman" w:cs="Times New Roman"/>
          <w:sz w:val="28"/>
          <w:szCs w:val="28"/>
        </w:rPr>
        <w:t>опционов эквивалентна примерно 4,4 млрд долл. США на 1 июля 2021 года</w:t>
      </w:r>
      <w:r w:rsidRPr="00A11272">
        <w:rPr>
          <w:rFonts w:ascii="Times New Roman" w:hAnsi="Times New Roman" w:cs="Times New Roman"/>
          <w:sz w:val="28"/>
          <w:szCs w:val="28"/>
        </w:rPr>
        <w:t>, что в 3,4 раза меньше, чем по паре «рубль – доллар США».</w:t>
      </w:r>
    </w:p>
    <w:p w14:paraId="7FE2FA2F" w14:textId="79016AFD" w:rsidR="00A11272" w:rsidRPr="00A11272" w:rsidRDefault="00A11272" w:rsidP="00A11272">
      <w:pPr>
        <w:spacing w:after="0" w:line="360" w:lineRule="auto"/>
        <w:ind w:firstLine="709"/>
        <w:jc w:val="both"/>
        <w:rPr>
          <w:rFonts w:ascii="Times New Roman" w:hAnsi="Times New Roman" w:cs="Times New Roman"/>
          <w:sz w:val="28"/>
          <w:szCs w:val="28"/>
        </w:rPr>
      </w:pPr>
      <w:r w:rsidRPr="00A11272">
        <w:rPr>
          <w:rFonts w:ascii="Times New Roman" w:hAnsi="Times New Roman" w:cs="Times New Roman"/>
          <w:sz w:val="28"/>
          <w:szCs w:val="28"/>
        </w:rPr>
        <w:t xml:space="preserve">Хотя рынок валютных опционов не столь масштабный относительно рынков валютных форвардов и валютных свопов, тем не менее продавцы опционов зачастую динамически хеджируют лишь часть своей позиции. По этой причине в случае повышения волатильности курса валют, используемого в качестве базового актива, исполнение валютных опционов нередко сопровождается эффектом «обратной связи», при котором продавцы иностранной валюты вынуждены ее экстренно покупать на </w:t>
      </w:r>
      <w:proofErr w:type="spellStart"/>
      <w:r w:rsidRPr="00A11272">
        <w:rPr>
          <w:rFonts w:ascii="Times New Roman" w:hAnsi="Times New Roman" w:cs="Times New Roman"/>
          <w:sz w:val="28"/>
          <w:szCs w:val="28"/>
        </w:rPr>
        <w:t>спотовом</w:t>
      </w:r>
      <w:proofErr w:type="spellEnd"/>
      <w:r w:rsidRPr="00A11272">
        <w:rPr>
          <w:rFonts w:ascii="Times New Roman" w:hAnsi="Times New Roman" w:cs="Times New Roman"/>
          <w:sz w:val="28"/>
          <w:szCs w:val="28"/>
        </w:rPr>
        <w:t xml:space="preserve"> рынке в целях исполнения обязательств по опционам. Также в периоды повышенной волатильности приобретать валюту могут покупатели опционов для хеджирования рисков неисполнения опционов со стороны продавца.</w:t>
      </w:r>
    </w:p>
    <w:p w14:paraId="1AF51E72" w14:textId="41A4E3F2" w:rsidR="00A11272" w:rsidRDefault="00A11272" w:rsidP="00A11272">
      <w:pPr>
        <w:spacing w:after="0" w:line="360" w:lineRule="auto"/>
        <w:ind w:firstLine="709"/>
        <w:jc w:val="both"/>
        <w:rPr>
          <w:rFonts w:ascii="Times New Roman" w:hAnsi="Times New Roman" w:cs="Times New Roman"/>
          <w:sz w:val="28"/>
          <w:szCs w:val="28"/>
        </w:rPr>
      </w:pPr>
      <w:r w:rsidRPr="00A11272">
        <w:rPr>
          <w:rFonts w:ascii="Times New Roman" w:hAnsi="Times New Roman" w:cs="Times New Roman"/>
          <w:sz w:val="28"/>
          <w:szCs w:val="28"/>
        </w:rPr>
        <w:t xml:space="preserve">Подобная ситуация сложилась на российском рынке во втором полугодии 2014 года, когда на фоне ослабления рубля и «пробития» </w:t>
      </w:r>
      <w:proofErr w:type="spellStart"/>
      <w:r w:rsidRPr="00A11272">
        <w:rPr>
          <w:rFonts w:ascii="Times New Roman" w:hAnsi="Times New Roman" w:cs="Times New Roman"/>
          <w:sz w:val="28"/>
          <w:szCs w:val="28"/>
        </w:rPr>
        <w:t>страйков</w:t>
      </w:r>
      <w:proofErr w:type="spellEnd"/>
      <w:r w:rsidRPr="00A11272">
        <w:rPr>
          <w:rFonts w:ascii="Times New Roman" w:hAnsi="Times New Roman" w:cs="Times New Roman"/>
          <w:sz w:val="28"/>
          <w:szCs w:val="28"/>
        </w:rPr>
        <w:t xml:space="preserve"> по валютным опционам участники покупали валюту на рынке в целях </w:t>
      </w:r>
      <w:r w:rsidRPr="00A11272">
        <w:rPr>
          <w:rFonts w:ascii="Times New Roman" w:hAnsi="Times New Roman" w:cs="Times New Roman"/>
          <w:sz w:val="28"/>
          <w:szCs w:val="28"/>
        </w:rPr>
        <w:lastRenderedPageBreak/>
        <w:t>устранения рисков неисполнения опционов, что оказывало дополнительное давление на рубль. Текущая ситуация на рынке валютных опционов характеризуется ограниченными объемами заключенных сделок, поэтому не несет значимых рисков для устойчивости курса рубля.</w:t>
      </w:r>
    </w:p>
    <w:p w14:paraId="3D4BD0AD" w14:textId="77777777" w:rsidR="00A11272" w:rsidRPr="00702358" w:rsidRDefault="00A11272" w:rsidP="00702358">
      <w:pPr>
        <w:spacing w:after="0" w:line="360" w:lineRule="auto"/>
        <w:ind w:firstLine="709"/>
        <w:jc w:val="both"/>
        <w:rPr>
          <w:rFonts w:ascii="Times New Roman" w:hAnsi="Times New Roman" w:cs="Times New Roman"/>
          <w:sz w:val="28"/>
          <w:szCs w:val="28"/>
        </w:rPr>
      </w:pPr>
    </w:p>
    <w:p w14:paraId="2AC457FA" w14:textId="71ED2328" w:rsidR="006F6190" w:rsidRPr="00A11272" w:rsidRDefault="00702358" w:rsidP="00702358">
      <w:pPr>
        <w:spacing w:after="0" w:line="360" w:lineRule="auto"/>
        <w:ind w:firstLine="709"/>
        <w:jc w:val="both"/>
        <w:rPr>
          <w:rFonts w:ascii="Times New Roman" w:hAnsi="Times New Roman" w:cs="Times New Roman"/>
          <w:b/>
          <w:bCs/>
          <w:sz w:val="28"/>
          <w:szCs w:val="28"/>
        </w:rPr>
      </w:pPr>
      <w:r w:rsidRPr="00A11272">
        <w:rPr>
          <w:rFonts w:ascii="Times New Roman" w:hAnsi="Times New Roman" w:cs="Times New Roman"/>
          <w:b/>
          <w:bCs/>
          <w:sz w:val="28"/>
          <w:szCs w:val="28"/>
        </w:rPr>
        <w:t xml:space="preserve">3.2 Предложения по совершенствованию рынка </w:t>
      </w:r>
      <w:proofErr w:type="spellStart"/>
      <w:r w:rsidRPr="00A11272">
        <w:rPr>
          <w:rFonts w:ascii="Times New Roman" w:hAnsi="Times New Roman" w:cs="Times New Roman"/>
          <w:b/>
          <w:bCs/>
          <w:sz w:val="28"/>
          <w:szCs w:val="28"/>
        </w:rPr>
        <w:t>деривативов</w:t>
      </w:r>
      <w:proofErr w:type="spellEnd"/>
      <w:r w:rsidRPr="00A11272">
        <w:rPr>
          <w:rFonts w:ascii="Times New Roman" w:hAnsi="Times New Roman" w:cs="Times New Roman"/>
          <w:b/>
          <w:bCs/>
          <w:sz w:val="28"/>
          <w:szCs w:val="28"/>
        </w:rPr>
        <w:t xml:space="preserve"> в России</w:t>
      </w:r>
    </w:p>
    <w:p w14:paraId="47C6EE15" w14:textId="35A87F82" w:rsidR="00702358" w:rsidRPr="00702358" w:rsidRDefault="00702358" w:rsidP="00702358">
      <w:pPr>
        <w:spacing w:after="0" w:line="360" w:lineRule="auto"/>
        <w:ind w:firstLine="709"/>
        <w:jc w:val="both"/>
        <w:rPr>
          <w:rFonts w:ascii="Times New Roman" w:hAnsi="Times New Roman" w:cs="Times New Roman"/>
          <w:sz w:val="28"/>
          <w:szCs w:val="28"/>
        </w:rPr>
      </w:pPr>
    </w:p>
    <w:p w14:paraId="1C307CF0" w14:textId="22C0E430" w:rsidR="00702358" w:rsidRDefault="00514F44" w:rsidP="00702358">
      <w:pPr>
        <w:spacing w:after="0" w:line="360" w:lineRule="auto"/>
        <w:ind w:firstLine="709"/>
        <w:jc w:val="both"/>
        <w:rPr>
          <w:rFonts w:ascii="Times New Roman" w:hAnsi="Times New Roman" w:cs="Times New Roman"/>
          <w:sz w:val="28"/>
          <w:szCs w:val="28"/>
        </w:rPr>
      </w:pPr>
      <w:r w:rsidRPr="00514F44">
        <w:rPr>
          <w:rFonts w:ascii="Times New Roman" w:hAnsi="Times New Roman" w:cs="Times New Roman"/>
          <w:sz w:val="28"/>
          <w:szCs w:val="28"/>
        </w:rPr>
        <w:t>Западные санкции влияют на российский финансовый сектор через шесть основных каналов: валютный, фондовый, процентный, канал доходов, кредитный канал и канал страхования.</w:t>
      </w:r>
    </w:p>
    <w:p w14:paraId="5F990E7C" w14:textId="488A7403" w:rsidR="00DE6D3E" w:rsidRDefault="00514F44" w:rsidP="00DE6D3E">
      <w:pPr>
        <w:spacing w:after="0" w:line="360" w:lineRule="auto"/>
        <w:ind w:firstLine="709"/>
        <w:jc w:val="both"/>
        <w:rPr>
          <w:rFonts w:ascii="Times New Roman" w:hAnsi="Times New Roman" w:cs="Times New Roman"/>
          <w:sz w:val="28"/>
          <w:szCs w:val="28"/>
        </w:rPr>
      </w:pPr>
      <w:r w:rsidRPr="00514F44">
        <w:rPr>
          <w:rFonts w:ascii="Times New Roman" w:hAnsi="Times New Roman" w:cs="Times New Roman"/>
          <w:sz w:val="28"/>
          <w:szCs w:val="28"/>
        </w:rPr>
        <w:t xml:space="preserve">На начальной фазе введения </w:t>
      </w:r>
      <w:proofErr w:type="spellStart"/>
      <w:r w:rsidRPr="00514F44">
        <w:rPr>
          <w:rFonts w:ascii="Times New Roman" w:hAnsi="Times New Roman" w:cs="Times New Roman"/>
          <w:sz w:val="28"/>
          <w:szCs w:val="28"/>
        </w:rPr>
        <w:t>санкционных</w:t>
      </w:r>
      <w:proofErr w:type="spellEnd"/>
      <w:r w:rsidRPr="00514F44">
        <w:rPr>
          <w:rFonts w:ascii="Times New Roman" w:hAnsi="Times New Roman" w:cs="Times New Roman"/>
          <w:sz w:val="28"/>
          <w:szCs w:val="28"/>
        </w:rPr>
        <w:t xml:space="preserve"> ограничений основной риск реализовался</w:t>
      </w:r>
      <w:r w:rsidR="00DE6D3E">
        <w:rPr>
          <w:rFonts w:ascii="Times New Roman" w:hAnsi="Times New Roman" w:cs="Times New Roman"/>
          <w:sz w:val="28"/>
          <w:szCs w:val="28"/>
        </w:rPr>
        <w:t xml:space="preserve"> </w:t>
      </w:r>
      <w:r w:rsidRPr="00514F44">
        <w:rPr>
          <w:rFonts w:ascii="Times New Roman" w:hAnsi="Times New Roman" w:cs="Times New Roman"/>
          <w:sz w:val="28"/>
          <w:szCs w:val="28"/>
        </w:rPr>
        <w:t>по валютному каналу, действие которого проявилось в существенном изменении баланса спроса и предложения валюты на валютном рынке и, как следствие, экстремальной</w:t>
      </w:r>
      <w:r w:rsidR="00DE6D3E">
        <w:rPr>
          <w:rFonts w:ascii="Times New Roman" w:hAnsi="Times New Roman" w:cs="Times New Roman"/>
          <w:sz w:val="28"/>
          <w:szCs w:val="28"/>
        </w:rPr>
        <w:t xml:space="preserve"> </w:t>
      </w:r>
      <w:r w:rsidRPr="00514F44">
        <w:rPr>
          <w:rFonts w:ascii="Times New Roman" w:hAnsi="Times New Roman" w:cs="Times New Roman"/>
          <w:sz w:val="28"/>
          <w:szCs w:val="28"/>
        </w:rPr>
        <w:t>волатильности курса рубля. Как и в предыдущие периоды повышенной волатильности</w:t>
      </w:r>
      <w:r w:rsidR="00DE6D3E">
        <w:rPr>
          <w:rFonts w:ascii="Times New Roman" w:hAnsi="Times New Roman" w:cs="Times New Roman"/>
          <w:sz w:val="28"/>
          <w:szCs w:val="28"/>
        </w:rPr>
        <w:t xml:space="preserve"> </w:t>
      </w:r>
      <w:r w:rsidRPr="00514F44">
        <w:rPr>
          <w:rFonts w:ascii="Times New Roman" w:hAnsi="Times New Roman" w:cs="Times New Roman"/>
          <w:sz w:val="28"/>
          <w:szCs w:val="28"/>
        </w:rPr>
        <w:t>на российском рынке, иностранные инвесторы стремились осуществить быстрый выход из местных активов и конвертировать рубли в иностранную валюту.</w:t>
      </w:r>
    </w:p>
    <w:p w14:paraId="5CFECBDE" w14:textId="76D4DFC2" w:rsidR="00514F44" w:rsidRDefault="00514F44" w:rsidP="00DE6D3E">
      <w:pPr>
        <w:spacing w:after="0" w:line="360" w:lineRule="auto"/>
        <w:ind w:firstLine="709"/>
        <w:jc w:val="both"/>
        <w:rPr>
          <w:rFonts w:ascii="Times New Roman" w:hAnsi="Times New Roman" w:cs="Times New Roman"/>
          <w:sz w:val="28"/>
          <w:szCs w:val="28"/>
        </w:rPr>
      </w:pPr>
      <w:r w:rsidRPr="00514F44">
        <w:rPr>
          <w:rFonts w:ascii="Times New Roman" w:hAnsi="Times New Roman" w:cs="Times New Roman"/>
          <w:sz w:val="28"/>
          <w:szCs w:val="28"/>
        </w:rPr>
        <w:t>В условиях интенсивного оттока капитала в связи с потерей Банком России возможности осуществления валютных интервенций, указом Президента Российской Федерации был введен</w:t>
      </w:r>
      <w:r w:rsidR="00DE6D3E">
        <w:rPr>
          <w:rFonts w:ascii="Times New Roman" w:hAnsi="Times New Roman" w:cs="Times New Roman"/>
          <w:sz w:val="28"/>
          <w:szCs w:val="28"/>
        </w:rPr>
        <w:t xml:space="preserve"> </w:t>
      </w:r>
      <w:r w:rsidRPr="00514F44">
        <w:rPr>
          <w:rFonts w:ascii="Times New Roman" w:hAnsi="Times New Roman" w:cs="Times New Roman"/>
          <w:sz w:val="28"/>
          <w:szCs w:val="28"/>
        </w:rPr>
        <w:t>ряд мер валютного контроля. Реализованные меры позволили смягчить эффект санкций,</w:t>
      </w:r>
      <w:r w:rsidR="00DE6D3E">
        <w:rPr>
          <w:rFonts w:ascii="Times New Roman" w:hAnsi="Times New Roman" w:cs="Times New Roman"/>
          <w:sz w:val="28"/>
          <w:szCs w:val="28"/>
        </w:rPr>
        <w:t xml:space="preserve"> </w:t>
      </w:r>
      <w:r w:rsidRPr="00514F44">
        <w:rPr>
          <w:rFonts w:ascii="Times New Roman" w:hAnsi="Times New Roman" w:cs="Times New Roman"/>
          <w:sz w:val="28"/>
          <w:szCs w:val="28"/>
        </w:rPr>
        <w:t>снизить негативное воздействие иностранных участников на рынок и постепенно нормализировать ситуацию на внутреннем валютном рынке. Это дало возможность Банку</w:t>
      </w:r>
      <w:r w:rsidR="00DE6D3E">
        <w:rPr>
          <w:rFonts w:ascii="Times New Roman" w:hAnsi="Times New Roman" w:cs="Times New Roman"/>
          <w:sz w:val="28"/>
          <w:szCs w:val="28"/>
        </w:rPr>
        <w:t xml:space="preserve"> </w:t>
      </w:r>
      <w:r w:rsidRPr="00514F44">
        <w:rPr>
          <w:rFonts w:ascii="Times New Roman" w:hAnsi="Times New Roman" w:cs="Times New Roman"/>
          <w:sz w:val="28"/>
          <w:szCs w:val="28"/>
        </w:rPr>
        <w:t>России постепенно начать смягчение мер валютного регулирования, которые ограничивают операции резидентов Российской Федерации. Структурные изменения, происходящие в экономике, в среднесрочной перспективе приведут к снижению роли доллара США и евро на российском рынке и росту значимости валют дружественных стран.</w:t>
      </w:r>
    </w:p>
    <w:p w14:paraId="56D75CC0" w14:textId="650629C9" w:rsidR="00FE2851" w:rsidRDefault="00514F44" w:rsidP="00846471">
      <w:pPr>
        <w:spacing w:after="0" w:line="360" w:lineRule="auto"/>
        <w:ind w:firstLine="709"/>
        <w:jc w:val="both"/>
        <w:rPr>
          <w:rFonts w:ascii="Times New Roman" w:hAnsi="Times New Roman" w:cs="Times New Roman"/>
          <w:sz w:val="28"/>
          <w:szCs w:val="28"/>
        </w:rPr>
      </w:pPr>
      <w:r w:rsidRPr="00514F44">
        <w:rPr>
          <w:rFonts w:ascii="Times New Roman" w:hAnsi="Times New Roman" w:cs="Times New Roman"/>
          <w:sz w:val="28"/>
          <w:szCs w:val="28"/>
        </w:rPr>
        <w:t xml:space="preserve">Продажи нерезидентами российских активов и резкий рост спроса на иностранную валюту с последующим выводом ее из страны на начальной </w:t>
      </w:r>
      <w:r w:rsidRPr="00514F44">
        <w:rPr>
          <w:rFonts w:ascii="Times New Roman" w:hAnsi="Times New Roman" w:cs="Times New Roman"/>
          <w:sz w:val="28"/>
          <w:szCs w:val="28"/>
        </w:rPr>
        <w:lastRenderedPageBreak/>
        <w:t>стадии шока привели к ослаблению</w:t>
      </w:r>
      <w:r w:rsidR="00DE6D3E">
        <w:rPr>
          <w:rFonts w:ascii="Times New Roman" w:hAnsi="Times New Roman" w:cs="Times New Roman"/>
          <w:sz w:val="28"/>
          <w:szCs w:val="28"/>
        </w:rPr>
        <w:t xml:space="preserve"> </w:t>
      </w:r>
      <w:r w:rsidRPr="00514F44">
        <w:rPr>
          <w:rFonts w:ascii="Times New Roman" w:hAnsi="Times New Roman" w:cs="Times New Roman"/>
          <w:sz w:val="28"/>
          <w:szCs w:val="28"/>
        </w:rPr>
        <w:t>рубля. За период с 21 по 28 февраля дочерние иностранные банки и нерезиденты приобрели валюты на сумму 429,4 млрд руб., что превысило объемы покупок валюты этой категории</w:t>
      </w:r>
      <w:r w:rsidR="00DE6D3E">
        <w:rPr>
          <w:rFonts w:ascii="Times New Roman" w:hAnsi="Times New Roman" w:cs="Times New Roman"/>
          <w:sz w:val="28"/>
          <w:szCs w:val="28"/>
        </w:rPr>
        <w:t xml:space="preserve"> </w:t>
      </w:r>
      <w:r w:rsidRPr="00514F44">
        <w:rPr>
          <w:rFonts w:ascii="Times New Roman" w:hAnsi="Times New Roman" w:cs="Times New Roman"/>
          <w:sz w:val="28"/>
          <w:szCs w:val="28"/>
        </w:rPr>
        <w:t xml:space="preserve">участников во все предыдущие кризисные периоды (табл. </w:t>
      </w:r>
      <w:r w:rsidR="00DE6D3E">
        <w:rPr>
          <w:rFonts w:ascii="Times New Roman" w:hAnsi="Times New Roman" w:cs="Times New Roman"/>
          <w:sz w:val="28"/>
          <w:szCs w:val="28"/>
        </w:rPr>
        <w:t>1</w:t>
      </w:r>
      <w:r w:rsidRPr="00514F44">
        <w:rPr>
          <w:rFonts w:ascii="Times New Roman" w:hAnsi="Times New Roman" w:cs="Times New Roman"/>
          <w:sz w:val="28"/>
          <w:szCs w:val="28"/>
        </w:rPr>
        <w:t xml:space="preserve">). </w:t>
      </w:r>
    </w:p>
    <w:p w14:paraId="23777AF5" w14:textId="39B4C193" w:rsidR="00FE2851" w:rsidRDefault="00FE2851" w:rsidP="00FE2851">
      <w:pPr>
        <w:spacing w:after="0" w:line="360" w:lineRule="auto"/>
        <w:jc w:val="both"/>
        <w:rPr>
          <w:rFonts w:ascii="Times New Roman" w:hAnsi="Times New Roman" w:cs="Times New Roman"/>
          <w:sz w:val="28"/>
          <w:szCs w:val="28"/>
        </w:rPr>
      </w:pPr>
    </w:p>
    <w:p w14:paraId="6673038F" w14:textId="694B7820" w:rsidR="00FE2851" w:rsidRDefault="00FE2851" w:rsidP="00FE28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1 – Д</w:t>
      </w:r>
      <w:r w:rsidRPr="00FE2851">
        <w:rPr>
          <w:rFonts w:ascii="Times New Roman" w:hAnsi="Times New Roman" w:cs="Times New Roman"/>
          <w:sz w:val="28"/>
          <w:szCs w:val="28"/>
        </w:rPr>
        <w:t>инамика российского валютного рынка в эпизоды повышенной волатильности</w:t>
      </w:r>
    </w:p>
    <w:tbl>
      <w:tblPr>
        <w:tblStyle w:val="a3"/>
        <w:tblW w:w="5000" w:type="pct"/>
        <w:tblLook w:val="04A0" w:firstRow="1" w:lastRow="0" w:firstColumn="1" w:lastColumn="0" w:noHBand="0" w:noVBand="1"/>
      </w:tblPr>
      <w:tblGrid>
        <w:gridCol w:w="2645"/>
        <w:gridCol w:w="2695"/>
        <w:gridCol w:w="4005"/>
      </w:tblGrid>
      <w:tr w:rsidR="00FE2851" w:rsidRPr="00DE6D3E" w14:paraId="04F9D0F7" w14:textId="77777777" w:rsidTr="00DE6D3E">
        <w:tc>
          <w:tcPr>
            <w:tcW w:w="1415" w:type="pct"/>
          </w:tcPr>
          <w:p w14:paraId="6F44247E" w14:textId="77777777" w:rsidR="00FE2851" w:rsidRPr="00DE6D3E" w:rsidRDefault="00FE2851" w:rsidP="00FE2851">
            <w:pPr>
              <w:jc w:val="both"/>
              <w:rPr>
                <w:rFonts w:ascii="Times New Roman" w:hAnsi="Times New Roman" w:cs="Times New Roman"/>
                <w:sz w:val="20"/>
                <w:szCs w:val="20"/>
              </w:rPr>
            </w:pPr>
          </w:p>
        </w:tc>
        <w:tc>
          <w:tcPr>
            <w:tcW w:w="3585" w:type="pct"/>
            <w:gridSpan w:val="2"/>
          </w:tcPr>
          <w:p w14:paraId="35B1E70E" w14:textId="31D99AB0" w:rsidR="00FE2851" w:rsidRPr="00DE6D3E" w:rsidRDefault="00FE2851" w:rsidP="00FE2851">
            <w:pPr>
              <w:jc w:val="both"/>
              <w:rPr>
                <w:rFonts w:ascii="Times New Roman" w:hAnsi="Times New Roman" w:cs="Times New Roman"/>
                <w:sz w:val="20"/>
                <w:szCs w:val="20"/>
              </w:rPr>
            </w:pPr>
            <w:r w:rsidRPr="00DE6D3E">
              <w:rPr>
                <w:rFonts w:ascii="Times New Roman" w:hAnsi="Times New Roman" w:cs="Times New Roman"/>
                <w:sz w:val="20"/>
                <w:szCs w:val="20"/>
              </w:rPr>
              <w:t>Валютный рынок (спот)</w:t>
            </w:r>
          </w:p>
        </w:tc>
      </w:tr>
      <w:tr w:rsidR="00FE2851" w:rsidRPr="00DE6D3E" w14:paraId="2A0B4D5A" w14:textId="77777777" w:rsidTr="00DE6D3E">
        <w:tc>
          <w:tcPr>
            <w:tcW w:w="1415" w:type="pct"/>
          </w:tcPr>
          <w:p w14:paraId="4E4B008B" w14:textId="77777777" w:rsidR="00FE2851" w:rsidRPr="00DE6D3E" w:rsidRDefault="00FE2851" w:rsidP="00FE2851">
            <w:pPr>
              <w:jc w:val="both"/>
              <w:rPr>
                <w:rFonts w:ascii="Times New Roman" w:hAnsi="Times New Roman" w:cs="Times New Roman"/>
                <w:sz w:val="20"/>
                <w:szCs w:val="20"/>
              </w:rPr>
            </w:pPr>
            <w:r w:rsidRPr="00DE6D3E">
              <w:rPr>
                <w:rFonts w:ascii="Times New Roman" w:hAnsi="Times New Roman" w:cs="Times New Roman"/>
                <w:sz w:val="20"/>
                <w:szCs w:val="20"/>
              </w:rPr>
              <w:t>Показатели реакции рынка</w:t>
            </w:r>
          </w:p>
          <w:p w14:paraId="7ED25524" w14:textId="77777777" w:rsidR="00FE2851" w:rsidRPr="00DE6D3E" w:rsidRDefault="00FE2851" w:rsidP="00FE2851">
            <w:pPr>
              <w:jc w:val="both"/>
              <w:rPr>
                <w:rFonts w:ascii="Times New Roman" w:hAnsi="Times New Roman" w:cs="Times New Roman"/>
                <w:sz w:val="20"/>
                <w:szCs w:val="20"/>
              </w:rPr>
            </w:pPr>
          </w:p>
        </w:tc>
        <w:tc>
          <w:tcPr>
            <w:tcW w:w="1442" w:type="pct"/>
          </w:tcPr>
          <w:p w14:paraId="4320E1F1" w14:textId="756F93A7" w:rsidR="00FE2851" w:rsidRPr="00DE6D3E" w:rsidRDefault="00FE2851" w:rsidP="00FE2851">
            <w:pPr>
              <w:jc w:val="both"/>
              <w:rPr>
                <w:rFonts w:ascii="Times New Roman" w:hAnsi="Times New Roman" w:cs="Times New Roman"/>
                <w:sz w:val="20"/>
                <w:szCs w:val="20"/>
              </w:rPr>
            </w:pPr>
            <w:r w:rsidRPr="00DE6D3E">
              <w:rPr>
                <w:rFonts w:ascii="Times New Roman" w:hAnsi="Times New Roman" w:cs="Times New Roman"/>
                <w:sz w:val="20"/>
                <w:szCs w:val="20"/>
              </w:rPr>
              <w:t>Ослабление (+) / укрепление (-) рубля относительно доллара США, %</w:t>
            </w:r>
          </w:p>
          <w:p w14:paraId="661935DE" w14:textId="77777777" w:rsidR="00FE2851" w:rsidRPr="00DE6D3E" w:rsidRDefault="00FE2851" w:rsidP="00FE2851">
            <w:pPr>
              <w:jc w:val="both"/>
              <w:rPr>
                <w:rFonts w:ascii="Times New Roman" w:hAnsi="Times New Roman" w:cs="Times New Roman"/>
                <w:sz w:val="20"/>
                <w:szCs w:val="20"/>
              </w:rPr>
            </w:pPr>
          </w:p>
        </w:tc>
        <w:tc>
          <w:tcPr>
            <w:tcW w:w="2143" w:type="pct"/>
          </w:tcPr>
          <w:p w14:paraId="26E408D1" w14:textId="6B87A153" w:rsidR="00FE2851" w:rsidRPr="00DE6D3E" w:rsidRDefault="00FE2851" w:rsidP="00FE2851">
            <w:pPr>
              <w:jc w:val="both"/>
              <w:rPr>
                <w:rFonts w:ascii="Times New Roman" w:hAnsi="Times New Roman" w:cs="Times New Roman"/>
                <w:sz w:val="20"/>
                <w:szCs w:val="20"/>
              </w:rPr>
            </w:pPr>
            <w:r w:rsidRPr="00DE6D3E">
              <w:rPr>
                <w:rFonts w:ascii="Times New Roman" w:hAnsi="Times New Roman" w:cs="Times New Roman"/>
                <w:sz w:val="20"/>
                <w:szCs w:val="20"/>
              </w:rPr>
              <w:t>Объем нетто-продаж (+) / покупок (-) иностранной валюты нерезидентами и дочерними иностранными организациями, млрд руб.</w:t>
            </w:r>
          </w:p>
          <w:p w14:paraId="70348626" w14:textId="77777777" w:rsidR="00FE2851" w:rsidRPr="00DE6D3E" w:rsidRDefault="00FE2851" w:rsidP="00FE2851">
            <w:pPr>
              <w:jc w:val="both"/>
              <w:rPr>
                <w:rFonts w:ascii="Times New Roman" w:hAnsi="Times New Roman" w:cs="Times New Roman"/>
                <w:sz w:val="20"/>
                <w:szCs w:val="20"/>
              </w:rPr>
            </w:pPr>
          </w:p>
        </w:tc>
      </w:tr>
      <w:tr w:rsidR="00FE2851" w:rsidRPr="00DE6D3E" w14:paraId="4CA5A3DB" w14:textId="77777777" w:rsidTr="00DE6D3E">
        <w:tc>
          <w:tcPr>
            <w:tcW w:w="1415" w:type="pct"/>
          </w:tcPr>
          <w:p w14:paraId="0EA33EC1" w14:textId="68316275" w:rsidR="00FE2851" w:rsidRPr="00DE6D3E" w:rsidRDefault="00FE2851" w:rsidP="00FE2851">
            <w:pPr>
              <w:jc w:val="both"/>
              <w:rPr>
                <w:rFonts w:ascii="Times New Roman" w:hAnsi="Times New Roman" w:cs="Times New Roman"/>
                <w:sz w:val="20"/>
                <w:szCs w:val="20"/>
              </w:rPr>
            </w:pPr>
            <w:r w:rsidRPr="00DE6D3E">
              <w:rPr>
                <w:rFonts w:ascii="Times New Roman" w:hAnsi="Times New Roman" w:cs="Times New Roman"/>
                <w:sz w:val="20"/>
                <w:szCs w:val="20"/>
              </w:rPr>
              <w:t>6 – 12 апреля 2018 г. (санкции США)</w:t>
            </w:r>
          </w:p>
        </w:tc>
        <w:tc>
          <w:tcPr>
            <w:tcW w:w="1442" w:type="pct"/>
          </w:tcPr>
          <w:p w14:paraId="296F1F41" w14:textId="77777777" w:rsidR="00FE2851" w:rsidRPr="00DE6D3E" w:rsidRDefault="00FE2851" w:rsidP="00FE2851">
            <w:pPr>
              <w:jc w:val="both"/>
              <w:rPr>
                <w:rFonts w:ascii="Times New Roman" w:hAnsi="Times New Roman" w:cs="Times New Roman"/>
                <w:sz w:val="20"/>
                <w:szCs w:val="20"/>
              </w:rPr>
            </w:pPr>
            <w:r w:rsidRPr="00DE6D3E">
              <w:rPr>
                <w:rFonts w:ascii="Times New Roman" w:hAnsi="Times New Roman" w:cs="Times New Roman"/>
                <w:sz w:val="20"/>
                <w:szCs w:val="20"/>
              </w:rPr>
              <w:t xml:space="preserve">6,6 </w:t>
            </w:r>
          </w:p>
          <w:p w14:paraId="27AB296A" w14:textId="77777777" w:rsidR="00FE2851" w:rsidRPr="00DE6D3E" w:rsidRDefault="00FE2851" w:rsidP="00FE2851">
            <w:pPr>
              <w:jc w:val="both"/>
              <w:rPr>
                <w:rFonts w:ascii="Times New Roman" w:hAnsi="Times New Roman" w:cs="Times New Roman"/>
                <w:sz w:val="20"/>
                <w:szCs w:val="20"/>
              </w:rPr>
            </w:pPr>
          </w:p>
        </w:tc>
        <w:tc>
          <w:tcPr>
            <w:tcW w:w="2143" w:type="pct"/>
          </w:tcPr>
          <w:p w14:paraId="6C607CEE" w14:textId="66541589" w:rsidR="00FE2851" w:rsidRPr="00DE6D3E" w:rsidRDefault="00FE2851" w:rsidP="00FE2851">
            <w:pPr>
              <w:jc w:val="both"/>
              <w:rPr>
                <w:rFonts w:ascii="Times New Roman" w:hAnsi="Times New Roman" w:cs="Times New Roman"/>
                <w:sz w:val="20"/>
                <w:szCs w:val="20"/>
              </w:rPr>
            </w:pPr>
            <w:r w:rsidRPr="00DE6D3E">
              <w:rPr>
                <w:rFonts w:ascii="Times New Roman" w:hAnsi="Times New Roman" w:cs="Times New Roman"/>
                <w:sz w:val="20"/>
                <w:szCs w:val="20"/>
              </w:rPr>
              <w:t>-153,5</w:t>
            </w:r>
          </w:p>
        </w:tc>
      </w:tr>
      <w:tr w:rsidR="00FE2851" w:rsidRPr="00DE6D3E" w14:paraId="7AA9ABDE" w14:textId="77777777" w:rsidTr="00DE6D3E">
        <w:tc>
          <w:tcPr>
            <w:tcW w:w="1415" w:type="pct"/>
          </w:tcPr>
          <w:p w14:paraId="098BE9E5" w14:textId="3EA2ADE1" w:rsidR="00FE2851" w:rsidRPr="00DE6D3E" w:rsidRDefault="00FE2851" w:rsidP="00FE2851">
            <w:pPr>
              <w:jc w:val="both"/>
              <w:rPr>
                <w:rFonts w:ascii="Times New Roman" w:hAnsi="Times New Roman" w:cs="Times New Roman"/>
                <w:sz w:val="20"/>
                <w:szCs w:val="20"/>
              </w:rPr>
            </w:pPr>
            <w:r w:rsidRPr="00DE6D3E">
              <w:rPr>
                <w:rFonts w:ascii="Times New Roman" w:hAnsi="Times New Roman" w:cs="Times New Roman"/>
                <w:sz w:val="20"/>
                <w:szCs w:val="20"/>
              </w:rPr>
              <w:t>7 – 17 августа 2018 г. (законопроекты о санкциях и отток из СФР)</w:t>
            </w:r>
          </w:p>
        </w:tc>
        <w:tc>
          <w:tcPr>
            <w:tcW w:w="1442" w:type="pct"/>
          </w:tcPr>
          <w:p w14:paraId="3F4FB961" w14:textId="77777777" w:rsidR="00FE2851" w:rsidRPr="00DE6D3E" w:rsidRDefault="00FE2851" w:rsidP="00FE2851">
            <w:pPr>
              <w:jc w:val="both"/>
              <w:rPr>
                <w:rFonts w:ascii="Times New Roman" w:hAnsi="Times New Roman" w:cs="Times New Roman"/>
                <w:sz w:val="20"/>
                <w:szCs w:val="20"/>
              </w:rPr>
            </w:pPr>
            <w:r w:rsidRPr="00DE6D3E">
              <w:rPr>
                <w:rFonts w:ascii="Times New Roman" w:hAnsi="Times New Roman" w:cs="Times New Roman"/>
                <w:sz w:val="20"/>
                <w:szCs w:val="20"/>
              </w:rPr>
              <w:t xml:space="preserve">5,6 </w:t>
            </w:r>
          </w:p>
          <w:p w14:paraId="5798A7CB" w14:textId="77777777" w:rsidR="00FE2851" w:rsidRPr="00DE6D3E" w:rsidRDefault="00FE2851" w:rsidP="00FE2851">
            <w:pPr>
              <w:jc w:val="both"/>
              <w:rPr>
                <w:rFonts w:ascii="Times New Roman" w:hAnsi="Times New Roman" w:cs="Times New Roman"/>
                <w:sz w:val="20"/>
                <w:szCs w:val="20"/>
              </w:rPr>
            </w:pPr>
          </w:p>
        </w:tc>
        <w:tc>
          <w:tcPr>
            <w:tcW w:w="2143" w:type="pct"/>
          </w:tcPr>
          <w:p w14:paraId="1669FA07" w14:textId="71FB4693" w:rsidR="00FE2851" w:rsidRPr="00DE6D3E" w:rsidRDefault="00FE2851" w:rsidP="00FE2851">
            <w:pPr>
              <w:jc w:val="both"/>
              <w:rPr>
                <w:rFonts w:ascii="Times New Roman" w:hAnsi="Times New Roman" w:cs="Times New Roman"/>
                <w:sz w:val="20"/>
                <w:szCs w:val="20"/>
              </w:rPr>
            </w:pPr>
            <w:r w:rsidRPr="00DE6D3E">
              <w:rPr>
                <w:rFonts w:ascii="Times New Roman" w:hAnsi="Times New Roman" w:cs="Times New Roman"/>
                <w:sz w:val="20"/>
                <w:szCs w:val="20"/>
              </w:rPr>
              <w:t>-99,4</w:t>
            </w:r>
          </w:p>
        </w:tc>
      </w:tr>
      <w:tr w:rsidR="00FE2851" w:rsidRPr="00DE6D3E" w14:paraId="16AD3020" w14:textId="77777777" w:rsidTr="00DE6D3E">
        <w:tc>
          <w:tcPr>
            <w:tcW w:w="1415" w:type="pct"/>
          </w:tcPr>
          <w:p w14:paraId="5A334EDF" w14:textId="002D4025" w:rsidR="00FE2851" w:rsidRPr="00DE6D3E" w:rsidRDefault="00FE2851" w:rsidP="00FE2851">
            <w:pPr>
              <w:jc w:val="both"/>
              <w:rPr>
                <w:rFonts w:ascii="Times New Roman" w:hAnsi="Times New Roman" w:cs="Times New Roman"/>
                <w:sz w:val="20"/>
                <w:szCs w:val="20"/>
              </w:rPr>
            </w:pPr>
            <w:r w:rsidRPr="00DE6D3E">
              <w:rPr>
                <w:rFonts w:ascii="Times New Roman" w:hAnsi="Times New Roman" w:cs="Times New Roman"/>
                <w:sz w:val="20"/>
                <w:szCs w:val="20"/>
              </w:rPr>
              <w:t>20 – 28 февраля 2020 г. (</w:t>
            </w:r>
            <w:proofErr w:type="spellStart"/>
            <w:r w:rsidRPr="00DE6D3E">
              <w:rPr>
                <w:rFonts w:ascii="Times New Roman" w:hAnsi="Times New Roman" w:cs="Times New Roman"/>
                <w:sz w:val="20"/>
                <w:szCs w:val="20"/>
              </w:rPr>
              <w:t>коронавирус</w:t>
            </w:r>
            <w:proofErr w:type="spellEnd"/>
            <w:r w:rsidRPr="00DE6D3E">
              <w:rPr>
                <w:rFonts w:ascii="Times New Roman" w:hAnsi="Times New Roman" w:cs="Times New Roman"/>
                <w:sz w:val="20"/>
                <w:szCs w:val="20"/>
              </w:rPr>
              <w:t>)</w:t>
            </w:r>
          </w:p>
        </w:tc>
        <w:tc>
          <w:tcPr>
            <w:tcW w:w="1442" w:type="pct"/>
          </w:tcPr>
          <w:p w14:paraId="5D4426AA" w14:textId="77777777" w:rsidR="00FE2851" w:rsidRPr="00DE6D3E" w:rsidRDefault="00FE2851" w:rsidP="00FE2851">
            <w:pPr>
              <w:jc w:val="both"/>
              <w:rPr>
                <w:rFonts w:ascii="Times New Roman" w:hAnsi="Times New Roman" w:cs="Times New Roman"/>
                <w:sz w:val="20"/>
                <w:szCs w:val="20"/>
              </w:rPr>
            </w:pPr>
            <w:r w:rsidRPr="00DE6D3E">
              <w:rPr>
                <w:rFonts w:ascii="Times New Roman" w:hAnsi="Times New Roman" w:cs="Times New Roman"/>
                <w:sz w:val="20"/>
                <w:szCs w:val="20"/>
              </w:rPr>
              <w:t xml:space="preserve">5,2 </w:t>
            </w:r>
          </w:p>
          <w:p w14:paraId="7D659826" w14:textId="77777777" w:rsidR="00FE2851" w:rsidRPr="00DE6D3E" w:rsidRDefault="00FE2851" w:rsidP="00FE2851">
            <w:pPr>
              <w:jc w:val="both"/>
              <w:rPr>
                <w:rFonts w:ascii="Times New Roman" w:hAnsi="Times New Roman" w:cs="Times New Roman"/>
                <w:sz w:val="20"/>
                <w:szCs w:val="20"/>
              </w:rPr>
            </w:pPr>
          </w:p>
        </w:tc>
        <w:tc>
          <w:tcPr>
            <w:tcW w:w="2143" w:type="pct"/>
          </w:tcPr>
          <w:p w14:paraId="3D8AF386" w14:textId="0CAA7519" w:rsidR="00FE2851" w:rsidRPr="00DE6D3E" w:rsidRDefault="00FE2851" w:rsidP="00FE2851">
            <w:pPr>
              <w:jc w:val="both"/>
              <w:rPr>
                <w:rFonts w:ascii="Times New Roman" w:hAnsi="Times New Roman" w:cs="Times New Roman"/>
                <w:sz w:val="20"/>
                <w:szCs w:val="20"/>
              </w:rPr>
            </w:pPr>
            <w:r w:rsidRPr="00DE6D3E">
              <w:rPr>
                <w:rFonts w:ascii="Times New Roman" w:hAnsi="Times New Roman" w:cs="Times New Roman"/>
                <w:sz w:val="20"/>
                <w:szCs w:val="20"/>
              </w:rPr>
              <w:t>-164,5</w:t>
            </w:r>
          </w:p>
        </w:tc>
      </w:tr>
      <w:tr w:rsidR="00FE2851" w:rsidRPr="00DE6D3E" w14:paraId="6228F0B6" w14:textId="77777777" w:rsidTr="00DE6D3E">
        <w:tc>
          <w:tcPr>
            <w:tcW w:w="1415" w:type="pct"/>
          </w:tcPr>
          <w:p w14:paraId="0D1C0A4E" w14:textId="6AA7FE73" w:rsidR="00FE2851" w:rsidRPr="00DE6D3E" w:rsidRDefault="00FE2851" w:rsidP="00FE2851">
            <w:pPr>
              <w:jc w:val="both"/>
              <w:rPr>
                <w:rFonts w:ascii="Times New Roman" w:hAnsi="Times New Roman" w:cs="Times New Roman"/>
                <w:sz w:val="20"/>
                <w:szCs w:val="20"/>
              </w:rPr>
            </w:pPr>
            <w:r w:rsidRPr="00DE6D3E">
              <w:rPr>
                <w:rFonts w:ascii="Times New Roman" w:hAnsi="Times New Roman" w:cs="Times New Roman"/>
                <w:sz w:val="20"/>
                <w:szCs w:val="20"/>
              </w:rPr>
              <w:t>2 – 19 марта 2020 г. (</w:t>
            </w:r>
            <w:proofErr w:type="spellStart"/>
            <w:r w:rsidRPr="00DE6D3E">
              <w:rPr>
                <w:rFonts w:ascii="Times New Roman" w:hAnsi="Times New Roman" w:cs="Times New Roman"/>
                <w:sz w:val="20"/>
                <w:szCs w:val="20"/>
              </w:rPr>
              <w:t>коронавирус</w:t>
            </w:r>
            <w:proofErr w:type="spellEnd"/>
            <w:r w:rsidRPr="00DE6D3E">
              <w:rPr>
                <w:rFonts w:ascii="Times New Roman" w:hAnsi="Times New Roman" w:cs="Times New Roman"/>
                <w:sz w:val="20"/>
                <w:szCs w:val="20"/>
              </w:rPr>
              <w:t xml:space="preserve"> и нефтяной шок)</w:t>
            </w:r>
          </w:p>
        </w:tc>
        <w:tc>
          <w:tcPr>
            <w:tcW w:w="1442" w:type="pct"/>
          </w:tcPr>
          <w:p w14:paraId="07C3FB2D" w14:textId="648558AE" w:rsidR="00FE2851" w:rsidRPr="00DE6D3E" w:rsidRDefault="00FE2851" w:rsidP="00FE2851">
            <w:pPr>
              <w:jc w:val="both"/>
              <w:rPr>
                <w:rFonts w:ascii="Times New Roman" w:hAnsi="Times New Roman" w:cs="Times New Roman"/>
                <w:sz w:val="20"/>
                <w:szCs w:val="20"/>
              </w:rPr>
            </w:pPr>
            <w:r w:rsidRPr="00DE6D3E">
              <w:rPr>
                <w:rFonts w:ascii="Times New Roman" w:hAnsi="Times New Roman" w:cs="Times New Roman"/>
                <w:sz w:val="20"/>
                <w:szCs w:val="20"/>
              </w:rPr>
              <w:t>18,4</w:t>
            </w:r>
          </w:p>
        </w:tc>
        <w:tc>
          <w:tcPr>
            <w:tcW w:w="2143" w:type="pct"/>
          </w:tcPr>
          <w:p w14:paraId="0487A09A" w14:textId="5330F4C7" w:rsidR="00FE2851" w:rsidRPr="00DE6D3E" w:rsidRDefault="00FE2851" w:rsidP="00FE2851">
            <w:pPr>
              <w:jc w:val="both"/>
              <w:rPr>
                <w:rFonts w:ascii="Times New Roman" w:hAnsi="Times New Roman" w:cs="Times New Roman"/>
                <w:sz w:val="20"/>
                <w:szCs w:val="20"/>
              </w:rPr>
            </w:pPr>
            <w:r w:rsidRPr="00DE6D3E">
              <w:rPr>
                <w:rFonts w:ascii="Times New Roman" w:hAnsi="Times New Roman" w:cs="Times New Roman"/>
                <w:sz w:val="20"/>
                <w:szCs w:val="20"/>
              </w:rPr>
              <w:t>-314,3</w:t>
            </w:r>
          </w:p>
        </w:tc>
      </w:tr>
      <w:tr w:rsidR="00FE2851" w:rsidRPr="00DE6D3E" w14:paraId="6AA6F767" w14:textId="77777777" w:rsidTr="00DE6D3E">
        <w:tc>
          <w:tcPr>
            <w:tcW w:w="1415" w:type="pct"/>
          </w:tcPr>
          <w:p w14:paraId="7B1B07EF" w14:textId="77777777" w:rsidR="00FE2851" w:rsidRPr="00DE6D3E" w:rsidRDefault="00FE2851" w:rsidP="00FE2851">
            <w:pPr>
              <w:jc w:val="both"/>
              <w:rPr>
                <w:rFonts w:ascii="Times New Roman" w:hAnsi="Times New Roman" w:cs="Times New Roman"/>
                <w:sz w:val="20"/>
                <w:szCs w:val="20"/>
              </w:rPr>
            </w:pPr>
            <w:r w:rsidRPr="00DE6D3E">
              <w:rPr>
                <w:rFonts w:ascii="Times New Roman" w:hAnsi="Times New Roman" w:cs="Times New Roman"/>
                <w:sz w:val="20"/>
                <w:szCs w:val="20"/>
              </w:rPr>
              <w:t xml:space="preserve">13 – 25 января 2022 г. (переговоры о безопасности) </w:t>
            </w:r>
          </w:p>
          <w:p w14:paraId="67ABBB66" w14:textId="77777777" w:rsidR="00FE2851" w:rsidRPr="00DE6D3E" w:rsidRDefault="00FE2851" w:rsidP="00FE2851">
            <w:pPr>
              <w:jc w:val="both"/>
              <w:rPr>
                <w:rFonts w:ascii="Times New Roman" w:hAnsi="Times New Roman" w:cs="Times New Roman"/>
                <w:sz w:val="20"/>
                <w:szCs w:val="20"/>
              </w:rPr>
            </w:pPr>
          </w:p>
        </w:tc>
        <w:tc>
          <w:tcPr>
            <w:tcW w:w="1442" w:type="pct"/>
          </w:tcPr>
          <w:p w14:paraId="42412753" w14:textId="75A8BAAE" w:rsidR="00FE2851" w:rsidRPr="00DE6D3E" w:rsidRDefault="00FE2851" w:rsidP="00FE2851">
            <w:pPr>
              <w:jc w:val="both"/>
              <w:rPr>
                <w:rFonts w:ascii="Times New Roman" w:hAnsi="Times New Roman" w:cs="Times New Roman"/>
                <w:sz w:val="20"/>
                <w:szCs w:val="20"/>
              </w:rPr>
            </w:pPr>
            <w:r w:rsidRPr="00DE6D3E">
              <w:rPr>
                <w:rFonts w:ascii="Times New Roman" w:hAnsi="Times New Roman" w:cs="Times New Roman"/>
                <w:sz w:val="20"/>
                <w:szCs w:val="20"/>
              </w:rPr>
              <w:t>5,3</w:t>
            </w:r>
          </w:p>
        </w:tc>
        <w:tc>
          <w:tcPr>
            <w:tcW w:w="2143" w:type="pct"/>
          </w:tcPr>
          <w:p w14:paraId="588E6AE0" w14:textId="6F1C854E" w:rsidR="00FE2851" w:rsidRPr="00DE6D3E" w:rsidRDefault="00FE2851" w:rsidP="00FE2851">
            <w:pPr>
              <w:jc w:val="both"/>
              <w:rPr>
                <w:rFonts w:ascii="Times New Roman" w:hAnsi="Times New Roman" w:cs="Times New Roman"/>
                <w:sz w:val="20"/>
                <w:szCs w:val="20"/>
              </w:rPr>
            </w:pPr>
            <w:r w:rsidRPr="00DE6D3E">
              <w:rPr>
                <w:rFonts w:ascii="Times New Roman" w:hAnsi="Times New Roman" w:cs="Times New Roman"/>
                <w:sz w:val="20"/>
                <w:szCs w:val="20"/>
              </w:rPr>
              <w:t>-164,3</w:t>
            </w:r>
          </w:p>
        </w:tc>
      </w:tr>
      <w:tr w:rsidR="00FE2851" w:rsidRPr="00DE6D3E" w14:paraId="323E03A0" w14:textId="77777777" w:rsidTr="00DE6D3E">
        <w:tc>
          <w:tcPr>
            <w:tcW w:w="1415" w:type="pct"/>
          </w:tcPr>
          <w:p w14:paraId="57A75BDE" w14:textId="4D44DC0C" w:rsidR="00FE2851" w:rsidRPr="00DE6D3E" w:rsidRDefault="00FE2851" w:rsidP="00FE2851">
            <w:pPr>
              <w:jc w:val="both"/>
              <w:rPr>
                <w:rFonts w:ascii="Times New Roman" w:hAnsi="Times New Roman" w:cs="Times New Roman"/>
                <w:sz w:val="20"/>
                <w:szCs w:val="20"/>
              </w:rPr>
            </w:pPr>
            <w:r w:rsidRPr="00DE6D3E">
              <w:rPr>
                <w:rFonts w:ascii="Times New Roman" w:hAnsi="Times New Roman" w:cs="Times New Roman"/>
                <w:sz w:val="20"/>
                <w:szCs w:val="20"/>
              </w:rPr>
              <w:t xml:space="preserve">21 – 28 февраля 2022 г. (отток нерезидентов) </w:t>
            </w:r>
          </w:p>
        </w:tc>
        <w:tc>
          <w:tcPr>
            <w:tcW w:w="1442" w:type="pct"/>
          </w:tcPr>
          <w:p w14:paraId="4A7C471D" w14:textId="61E3F5F5" w:rsidR="00FE2851" w:rsidRPr="00DE6D3E" w:rsidRDefault="00FE2851" w:rsidP="00FE2851">
            <w:pPr>
              <w:jc w:val="both"/>
              <w:rPr>
                <w:rFonts w:ascii="Times New Roman" w:hAnsi="Times New Roman" w:cs="Times New Roman"/>
                <w:sz w:val="20"/>
                <w:szCs w:val="20"/>
              </w:rPr>
            </w:pPr>
            <w:r w:rsidRPr="00DE6D3E">
              <w:rPr>
                <w:rFonts w:ascii="Times New Roman" w:hAnsi="Times New Roman" w:cs="Times New Roman"/>
                <w:sz w:val="20"/>
                <w:szCs w:val="20"/>
              </w:rPr>
              <w:t>26,6</w:t>
            </w:r>
          </w:p>
        </w:tc>
        <w:tc>
          <w:tcPr>
            <w:tcW w:w="2143" w:type="pct"/>
          </w:tcPr>
          <w:p w14:paraId="1CC0F9DB" w14:textId="46112E51" w:rsidR="00FE2851" w:rsidRPr="00DE6D3E" w:rsidRDefault="00FE2851" w:rsidP="00FE2851">
            <w:pPr>
              <w:jc w:val="both"/>
              <w:rPr>
                <w:rFonts w:ascii="Times New Roman" w:hAnsi="Times New Roman" w:cs="Times New Roman"/>
                <w:sz w:val="20"/>
                <w:szCs w:val="20"/>
              </w:rPr>
            </w:pPr>
            <w:r w:rsidRPr="00DE6D3E">
              <w:rPr>
                <w:rFonts w:ascii="Times New Roman" w:hAnsi="Times New Roman" w:cs="Times New Roman"/>
                <w:sz w:val="20"/>
                <w:szCs w:val="20"/>
              </w:rPr>
              <w:t>-429,4</w:t>
            </w:r>
          </w:p>
        </w:tc>
      </w:tr>
    </w:tbl>
    <w:p w14:paraId="17E4442C" w14:textId="2B17FCD7" w:rsidR="00514F44" w:rsidRDefault="00514F44" w:rsidP="00FE2851">
      <w:pPr>
        <w:spacing w:after="0" w:line="360" w:lineRule="auto"/>
        <w:jc w:val="both"/>
        <w:rPr>
          <w:rFonts w:ascii="Times New Roman" w:hAnsi="Times New Roman" w:cs="Times New Roman"/>
          <w:sz w:val="28"/>
          <w:szCs w:val="28"/>
        </w:rPr>
      </w:pPr>
    </w:p>
    <w:p w14:paraId="65E392D5" w14:textId="61912AB1" w:rsidR="00FE2851" w:rsidRPr="00FE2851" w:rsidRDefault="00FE2851" w:rsidP="00DE6D3E">
      <w:pPr>
        <w:spacing w:after="0" w:line="360" w:lineRule="auto"/>
        <w:ind w:firstLine="709"/>
        <w:jc w:val="both"/>
        <w:rPr>
          <w:rFonts w:ascii="Times New Roman" w:hAnsi="Times New Roman" w:cs="Times New Roman"/>
          <w:sz w:val="28"/>
          <w:szCs w:val="28"/>
        </w:rPr>
      </w:pPr>
      <w:r w:rsidRPr="00FE2851">
        <w:rPr>
          <w:rFonts w:ascii="Times New Roman" w:hAnsi="Times New Roman" w:cs="Times New Roman"/>
          <w:sz w:val="28"/>
          <w:szCs w:val="28"/>
        </w:rPr>
        <w:t xml:space="preserve">Быстрая реализация недружественными странами большого пакета </w:t>
      </w:r>
      <w:proofErr w:type="spellStart"/>
      <w:r w:rsidRPr="00FE2851">
        <w:rPr>
          <w:rFonts w:ascii="Times New Roman" w:hAnsi="Times New Roman" w:cs="Times New Roman"/>
          <w:sz w:val="28"/>
          <w:szCs w:val="28"/>
        </w:rPr>
        <w:t>санкционных</w:t>
      </w:r>
      <w:proofErr w:type="spellEnd"/>
      <w:r w:rsidRPr="00FE2851">
        <w:rPr>
          <w:rFonts w:ascii="Times New Roman" w:hAnsi="Times New Roman" w:cs="Times New Roman"/>
          <w:sz w:val="28"/>
          <w:szCs w:val="28"/>
        </w:rPr>
        <w:t xml:space="preserve"> мер (блокировка части золотовалютных</w:t>
      </w:r>
      <w:r w:rsidR="00DE6D3E">
        <w:rPr>
          <w:rFonts w:ascii="Times New Roman" w:hAnsi="Times New Roman" w:cs="Times New Roman"/>
          <w:sz w:val="28"/>
          <w:szCs w:val="28"/>
        </w:rPr>
        <w:t xml:space="preserve"> </w:t>
      </w:r>
      <w:r w:rsidRPr="00FE2851">
        <w:rPr>
          <w:rFonts w:ascii="Times New Roman" w:hAnsi="Times New Roman" w:cs="Times New Roman"/>
          <w:sz w:val="28"/>
          <w:szCs w:val="28"/>
        </w:rPr>
        <w:t>резервов Банка России, включение системно значимых банков в SDN-список) и готовность</w:t>
      </w:r>
      <w:r w:rsidR="00DE6D3E">
        <w:rPr>
          <w:rFonts w:ascii="Times New Roman" w:hAnsi="Times New Roman" w:cs="Times New Roman"/>
          <w:sz w:val="28"/>
          <w:szCs w:val="28"/>
        </w:rPr>
        <w:t xml:space="preserve"> </w:t>
      </w:r>
      <w:r w:rsidRPr="00FE2851">
        <w:rPr>
          <w:rFonts w:ascii="Times New Roman" w:hAnsi="Times New Roman" w:cs="Times New Roman"/>
          <w:sz w:val="28"/>
          <w:szCs w:val="28"/>
        </w:rPr>
        <w:t>к их дальнейшему расширению послужили причиной введения мер валютного контроля. Благодаря введенным мерам удалось в короткие сроки остановить отток иностранного капитала из страны. Помимо иностранных инвесторов, спрос на валютную ликвидность начал расти</w:t>
      </w:r>
      <w:r w:rsidR="00DE6D3E">
        <w:rPr>
          <w:rFonts w:ascii="Times New Roman" w:hAnsi="Times New Roman" w:cs="Times New Roman"/>
          <w:sz w:val="28"/>
          <w:szCs w:val="28"/>
        </w:rPr>
        <w:t xml:space="preserve"> </w:t>
      </w:r>
      <w:r w:rsidRPr="00FE2851">
        <w:rPr>
          <w:rFonts w:ascii="Times New Roman" w:hAnsi="Times New Roman" w:cs="Times New Roman"/>
          <w:sz w:val="28"/>
          <w:szCs w:val="28"/>
        </w:rPr>
        <w:t>и со стороны локальных банков, использующих ее для закрытия открытых позиций по сделкам с нерезидентами.</w:t>
      </w:r>
    </w:p>
    <w:p w14:paraId="121354C5" w14:textId="387DFD2E" w:rsidR="00FE2851" w:rsidRDefault="00FE2851" w:rsidP="00DE6D3E">
      <w:pPr>
        <w:spacing w:after="0" w:line="360" w:lineRule="auto"/>
        <w:ind w:firstLine="709"/>
        <w:jc w:val="both"/>
        <w:rPr>
          <w:rFonts w:ascii="Times New Roman" w:hAnsi="Times New Roman" w:cs="Times New Roman"/>
          <w:sz w:val="28"/>
          <w:szCs w:val="28"/>
        </w:rPr>
      </w:pPr>
      <w:r w:rsidRPr="00FE2851">
        <w:rPr>
          <w:rFonts w:ascii="Times New Roman" w:hAnsi="Times New Roman" w:cs="Times New Roman"/>
          <w:sz w:val="28"/>
          <w:szCs w:val="28"/>
        </w:rPr>
        <w:t xml:space="preserve">Влияние </w:t>
      </w:r>
      <w:proofErr w:type="spellStart"/>
      <w:r w:rsidRPr="00FE2851">
        <w:rPr>
          <w:rFonts w:ascii="Times New Roman" w:hAnsi="Times New Roman" w:cs="Times New Roman"/>
          <w:sz w:val="28"/>
          <w:szCs w:val="28"/>
        </w:rPr>
        <w:t>санкционных</w:t>
      </w:r>
      <w:proofErr w:type="spellEnd"/>
      <w:r w:rsidRPr="00FE2851">
        <w:rPr>
          <w:rFonts w:ascii="Times New Roman" w:hAnsi="Times New Roman" w:cs="Times New Roman"/>
          <w:sz w:val="28"/>
          <w:szCs w:val="28"/>
        </w:rPr>
        <w:t xml:space="preserve"> ограничений на российскую экономику через валютный канал</w:t>
      </w:r>
      <w:r w:rsidR="00DE6D3E">
        <w:rPr>
          <w:rFonts w:ascii="Times New Roman" w:hAnsi="Times New Roman" w:cs="Times New Roman"/>
          <w:sz w:val="28"/>
          <w:szCs w:val="28"/>
        </w:rPr>
        <w:t xml:space="preserve"> </w:t>
      </w:r>
      <w:r w:rsidRPr="00FE2851">
        <w:rPr>
          <w:rFonts w:ascii="Times New Roman" w:hAnsi="Times New Roman" w:cs="Times New Roman"/>
          <w:sz w:val="28"/>
          <w:szCs w:val="28"/>
        </w:rPr>
        <w:t>проявилось и в снижении объемов ликвидности на рынке валютных свопов. На фоне сворачивания нерезидентами короткой позиции по валюте и длинной позиции по рублю совокупные</w:t>
      </w:r>
      <w:r w:rsidR="00DE6D3E">
        <w:rPr>
          <w:rFonts w:ascii="Times New Roman" w:hAnsi="Times New Roman" w:cs="Times New Roman"/>
          <w:sz w:val="28"/>
          <w:szCs w:val="28"/>
        </w:rPr>
        <w:t xml:space="preserve"> </w:t>
      </w:r>
      <w:r w:rsidRPr="00FE2851">
        <w:rPr>
          <w:rFonts w:ascii="Times New Roman" w:hAnsi="Times New Roman" w:cs="Times New Roman"/>
          <w:sz w:val="28"/>
          <w:szCs w:val="28"/>
        </w:rPr>
        <w:t xml:space="preserve">обязательства участников </w:t>
      </w:r>
      <w:r w:rsidRPr="00FE2851">
        <w:rPr>
          <w:rFonts w:ascii="Times New Roman" w:hAnsi="Times New Roman" w:cs="Times New Roman"/>
          <w:sz w:val="28"/>
          <w:szCs w:val="28"/>
        </w:rPr>
        <w:lastRenderedPageBreak/>
        <w:t>рынка снизились с 34 до 19 млрд долл. США. Сужение предложения</w:t>
      </w:r>
      <w:r w:rsidR="00DE6D3E">
        <w:rPr>
          <w:rFonts w:ascii="Times New Roman" w:hAnsi="Times New Roman" w:cs="Times New Roman"/>
          <w:sz w:val="28"/>
          <w:szCs w:val="28"/>
        </w:rPr>
        <w:t xml:space="preserve"> </w:t>
      </w:r>
      <w:r w:rsidRPr="00FE2851">
        <w:rPr>
          <w:rFonts w:ascii="Times New Roman" w:hAnsi="Times New Roman" w:cs="Times New Roman"/>
          <w:sz w:val="28"/>
          <w:szCs w:val="28"/>
        </w:rPr>
        <w:t>валютной ликвидности привело к резкому росту ее стоимости на внутреннем рынке. В частности, средние штрафные ставки за перенос позиции по доллару США и евро, устанавливаемые</w:t>
      </w:r>
      <w:r w:rsidR="00DE6D3E">
        <w:rPr>
          <w:rFonts w:ascii="Times New Roman" w:hAnsi="Times New Roman" w:cs="Times New Roman"/>
          <w:sz w:val="28"/>
          <w:szCs w:val="28"/>
        </w:rPr>
        <w:t xml:space="preserve"> Н</w:t>
      </w:r>
      <w:r w:rsidRPr="00FE2851">
        <w:rPr>
          <w:rFonts w:ascii="Times New Roman" w:hAnsi="Times New Roman" w:cs="Times New Roman"/>
          <w:sz w:val="28"/>
          <w:szCs w:val="28"/>
        </w:rPr>
        <w:t>ациональным клиринговым центром (НКЦ), в отдельные периоды превышали 41 и 71% годовых соответственно (в данный момент – на уровне 4 и 5%)</w:t>
      </w:r>
      <w:r w:rsidR="00D82351">
        <w:rPr>
          <w:rFonts w:ascii="Times New Roman" w:hAnsi="Times New Roman" w:cs="Times New Roman"/>
          <w:sz w:val="28"/>
          <w:szCs w:val="28"/>
        </w:rPr>
        <w:t>.</w:t>
      </w:r>
    </w:p>
    <w:p w14:paraId="1BDF67DE" w14:textId="43015359" w:rsidR="00D82351" w:rsidRPr="00D82351" w:rsidRDefault="00D82351" w:rsidP="00DE6D3E">
      <w:pPr>
        <w:spacing w:after="0" w:line="360" w:lineRule="auto"/>
        <w:ind w:firstLine="709"/>
        <w:jc w:val="both"/>
        <w:rPr>
          <w:rFonts w:ascii="Times New Roman" w:hAnsi="Times New Roman" w:cs="Times New Roman"/>
          <w:sz w:val="28"/>
          <w:szCs w:val="28"/>
        </w:rPr>
      </w:pPr>
      <w:r w:rsidRPr="00D82351">
        <w:rPr>
          <w:rFonts w:ascii="Times New Roman" w:hAnsi="Times New Roman" w:cs="Times New Roman"/>
          <w:sz w:val="28"/>
          <w:szCs w:val="28"/>
        </w:rPr>
        <w:t>Увеличение объемов неисполненных сделок связано с невозможностью российских банков под</w:t>
      </w:r>
      <w:r w:rsidR="00DE6D3E">
        <w:rPr>
          <w:rFonts w:ascii="Times New Roman" w:hAnsi="Times New Roman" w:cs="Times New Roman"/>
          <w:sz w:val="28"/>
          <w:szCs w:val="28"/>
        </w:rPr>
        <w:t xml:space="preserve"> </w:t>
      </w:r>
      <w:r w:rsidRPr="00D82351">
        <w:rPr>
          <w:rFonts w:ascii="Times New Roman" w:hAnsi="Times New Roman" w:cs="Times New Roman"/>
          <w:sz w:val="28"/>
          <w:szCs w:val="28"/>
        </w:rPr>
        <w:t>санкциями продолжать исполнять контракты с нерезидентами (в основном из недружественных</w:t>
      </w:r>
      <w:r w:rsidR="00DE6D3E">
        <w:rPr>
          <w:rFonts w:ascii="Times New Roman" w:hAnsi="Times New Roman" w:cs="Times New Roman"/>
          <w:sz w:val="28"/>
          <w:szCs w:val="28"/>
        </w:rPr>
        <w:t xml:space="preserve"> </w:t>
      </w:r>
      <w:r w:rsidRPr="00D82351">
        <w:rPr>
          <w:rFonts w:ascii="Times New Roman" w:hAnsi="Times New Roman" w:cs="Times New Roman"/>
          <w:sz w:val="28"/>
          <w:szCs w:val="28"/>
        </w:rPr>
        <w:t>стран).</w:t>
      </w:r>
    </w:p>
    <w:p w14:paraId="4787DBB2" w14:textId="4EDE56A8" w:rsidR="00D82351" w:rsidRPr="00D82351" w:rsidRDefault="00D82351" w:rsidP="00DE6D3E">
      <w:pPr>
        <w:spacing w:after="0" w:line="360" w:lineRule="auto"/>
        <w:ind w:firstLine="709"/>
        <w:jc w:val="both"/>
        <w:rPr>
          <w:rFonts w:ascii="Times New Roman" w:hAnsi="Times New Roman" w:cs="Times New Roman"/>
          <w:sz w:val="28"/>
          <w:szCs w:val="28"/>
        </w:rPr>
      </w:pPr>
      <w:r w:rsidRPr="00D82351">
        <w:rPr>
          <w:rFonts w:ascii="Times New Roman" w:hAnsi="Times New Roman" w:cs="Times New Roman"/>
          <w:sz w:val="28"/>
          <w:szCs w:val="28"/>
        </w:rPr>
        <w:t>Пик неисполнений пришелся на вторую половину марта (рис. 6), когда объемы неисполнений составили 3,5 трлн руб. (1,4 трлн руб. – валютный своп, 1,3 трлн руб. – процентный своп в одной валюте, 0,4 трлн руб. – процентный своп в двух валютах). К 1 апреля по основному объему неисполнений</w:t>
      </w:r>
      <w:r w:rsidR="00DE6D3E">
        <w:rPr>
          <w:rFonts w:ascii="Times New Roman" w:hAnsi="Times New Roman" w:cs="Times New Roman"/>
          <w:sz w:val="28"/>
          <w:szCs w:val="28"/>
        </w:rPr>
        <w:t xml:space="preserve"> </w:t>
      </w:r>
      <w:r w:rsidRPr="00D82351">
        <w:rPr>
          <w:rFonts w:ascii="Times New Roman" w:hAnsi="Times New Roman" w:cs="Times New Roman"/>
          <w:sz w:val="28"/>
          <w:szCs w:val="28"/>
        </w:rPr>
        <w:t xml:space="preserve">произошло урегулирование, большая часть сделок </w:t>
      </w:r>
      <w:proofErr w:type="spellStart"/>
      <w:r w:rsidRPr="00D82351">
        <w:rPr>
          <w:rFonts w:ascii="Times New Roman" w:hAnsi="Times New Roman" w:cs="Times New Roman"/>
          <w:sz w:val="28"/>
          <w:szCs w:val="28"/>
        </w:rPr>
        <w:t>подсанкционных</w:t>
      </w:r>
      <w:proofErr w:type="spellEnd"/>
      <w:r w:rsidRPr="00D82351">
        <w:rPr>
          <w:rFonts w:ascii="Times New Roman" w:hAnsi="Times New Roman" w:cs="Times New Roman"/>
          <w:sz w:val="28"/>
          <w:szCs w:val="28"/>
        </w:rPr>
        <w:t xml:space="preserve"> банков с нерезидентами была</w:t>
      </w:r>
      <w:r w:rsidR="00DE6D3E">
        <w:rPr>
          <w:rFonts w:ascii="Times New Roman" w:hAnsi="Times New Roman" w:cs="Times New Roman"/>
          <w:sz w:val="28"/>
          <w:szCs w:val="28"/>
        </w:rPr>
        <w:t xml:space="preserve"> </w:t>
      </w:r>
      <w:r w:rsidRPr="00D82351">
        <w:rPr>
          <w:rFonts w:ascii="Times New Roman" w:hAnsi="Times New Roman" w:cs="Times New Roman"/>
          <w:sz w:val="28"/>
          <w:szCs w:val="28"/>
        </w:rPr>
        <w:t>прекращена.</w:t>
      </w:r>
    </w:p>
    <w:p w14:paraId="15CF1751" w14:textId="18B805D8" w:rsidR="00D82351" w:rsidRDefault="00D82351" w:rsidP="00DE6D3E">
      <w:pPr>
        <w:spacing w:after="0" w:line="360" w:lineRule="auto"/>
        <w:ind w:firstLine="709"/>
        <w:jc w:val="both"/>
        <w:rPr>
          <w:rFonts w:ascii="Times New Roman" w:hAnsi="Times New Roman" w:cs="Times New Roman"/>
          <w:sz w:val="28"/>
          <w:szCs w:val="28"/>
        </w:rPr>
      </w:pPr>
      <w:r w:rsidRPr="00D82351">
        <w:rPr>
          <w:rFonts w:ascii="Times New Roman" w:hAnsi="Times New Roman" w:cs="Times New Roman"/>
          <w:sz w:val="28"/>
          <w:szCs w:val="28"/>
        </w:rPr>
        <w:t>В долгосрочном периоде сокращение объемов операций с нерезидентами снижает возможность</w:t>
      </w:r>
      <w:r w:rsidR="00DE6D3E">
        <w:rPr>
          <w:rFonts w:ascii="Times New Roman" w:hAnsi="Times New Roman" w:cs="Times New Roman"/>
          <w:sz w:val="28"/>
          <w:szCs w:val="28"/>
        </w:rPr>
        <w:t xml:space="preserve"> </w:t>
      </w:r>
      <w:r w:rsidRPr="00D82351">
        <w:rPr>
          <w:rFonts w:ascii="Times New Roman" w:hAnsi="Times New Roman" w:cs="Times New Roman"/>
          <w:sz w:val="28"/>
          <w:szCs w:val="28"/>
        </w:rPr>
        <w:t>хеджирования валютных и процентных рисков для кредитных организаций, однако для большинства</w:t>
      </w:r>
      <w:r w:rsidR="00DE6D3E">
        <w:rPr>
          <w:rFonts w:ascii="Times New Roman" w:hAnsi="Times New Roman" w:cs="Times New Roman"/>
          <w:sz w:val="28"/>
          <w:szCs w:val="28"/>
        </w:rPr>
        <w:t xml:space="preserve"> </w:t>
      </w:r>
      <w:r w:rsidRPr="00D82351">
        <w:rPr>
          <w:rFonts w:ascii="Times New Roman" w:hAnsi="Times New Roman" w:cs="Times New Roman"/>
          <w:sz w:val="28"/>
          <w:szCs w:val="28"/>
        </w:rPr>
        <w:t>кредитных организаций это не представляется критичным, поскольку российские банки и раньше</w:t>
      </w:r>
      <w:r w:rsidR="00DE6D3E">
        <w:rPr>
          <w:rFonts w:ascii="Times New Roman" w:hAnsi="Times New Roman" w:cs="Times New Roman"/>
          <w:sz w:val="28"/>
          <w:szCs w:val="28"/>
        </w:rPr>
        <w:t xml:space="preserve"> </w:t>
      </w:r>
      <w:r w:rsidRPr="00D82351">
        <w:rPr>
          <w:rFonts w:ascii="Times New Roman" w:hAnsi="Times New Roman" w:cs="Times New Roman"/>
          <w:sz w:val="28"/>
          <w:szCs w:val="28"/>
        </w:rPr>
        <w:t>преимущественно использовали балансовые способы хеджирования своих рисков.</w:t>
      </w:r>
    </w:p>
    <w:p w14:paraId="0130C817" w14:textId="408674C3" w:rsidR="00FE2851" w:rsidRDefault="00D82351" w:rsidP="00DE6D3E">
      <w:pPr>
        <w:spacing w:after="0" w:line="360" w:lineRule="auto"/>
        <w:ind w:firstLine="709"/>
        <w:jc w:val="both"/>
        <w:rPr>
          <w:rFonts w:ascii="Times New Roman" w:hAnsi="Times New Roman" w:cs="Times New Roman"/>
          <w:sz w:val="28"/>
          <w:szCs w:val="28"/>
        </w:rPr>
      </w:pPr>
      <w:r w:rsidRPr="00D82351">
        <w:rPr>
          <w:rFonts w:ascii="Times New Roman" w:hAnsi="Times New Roman" w:cs="Times New Roman"/>
          <w:sz w:val="28"/>
          <w:szCs w:val="28"/>
        </w:rPr>
        <w:t>Формирование существенного дисбаланса спроса и предложения на внутреннем валютном</w:t>
      </w:r>
      <w:r w:rsidR="00DE6D3E">
        <w:rPr>
          <w:rFonts w:ascii="Times New Roman" w:hAnsi="Times New Roman" w:cs="Times New Roman"/>
          <w:sz w:val="28"/>
          <w:szCs w:val="28"/>
        </w:rPr>
        <w:t xml:space="preserve"> </w:t>
      </w:r>
      <w:r w:rsidRPr="00D82351">
        <w:rPr>
          <w:rFonts w:ascii="Times New Roman" w:hAnsi="Times New Roman" w:cs="Times New Roman"/>
          <w:sz w:val="28"/>
          <w:szCs w:val="28"/>
        </w:rPr>
        <w:t>рынке на начальном этапе и снижение возможности осуществления интервенций на валютном</w:t>
      </w:r>
      <w:r w:rsidR="00DE6D3E">
        <w:rPr>
          <w:rFonts w:ascii="Times New Roman" w:hAnsi="Times New Roman" w:cs="Times New Roman"/>
          <w:sz w:val="28"/>
          <w:szCs w:val="28"/>
        </w:rPr>
        <w:t xml:space="preserve"> </w:t>
      </w:r>
      <w:r w:rsidRPr="00D82351">
        <w:rPr>
          <w:rFonts w:ascii="Times New Roman" w:hAnsi="Times New Roman" w:cs="Times New Roman"/>
          <w:sz w:val="28"/>
          <w:szCs w:val="28"/>
        </w:rPr>
        <w:t>рынке со стороны Банка России привели к необходимости введения ответных мер в части валютных ограничений и валютного контроля. По мере стабилизации ситуации на рынке введенные валютные ограничения постепенно ослаблялись</w:t>
      </w:r>
      <w:r w:rsidR="00DE6D3E">
        <w:rPr>
          <w:rFonts w:ascii="Times New Roman" w:hAnsi="Times New Roman" w:cs="Times New Roman"/>
          <w:sz w:val="28"/>
          <w:szCs w:val="28"/>
        </w:rPr>
        <w:t xml:space="preserve"> (таблица 2)</w:t>
      </w:r>
      <w:r w:rsidRPr="00D82351">
        <w:rPr>
          <w:rFonts w:ascii="Times New Roman" w:hAnsi="Times New Roman" w:cs="Times New Roman"/>
          <w:sz w:val="28"/>
          <w:szCs w:val="28"/>
        </w:rPr>
        <w:t>.</w:t>
      </w:r>
    </w:p>
    <w:p w14:paraId="26122E4E" w14:textId="77777777" w:rsidR="00D82351" w:rsidRDefault="00D82351" w:rsidP="00D82351">
      <w:pPr>
        <w:spacing w:after="0" w:line="360" w:lineRule="auto"/>
        <w:jc w:val="both"/>
        <w:rPr>
          <w:rFonts w:ascii="Times New Roman" w:hAnsi="Times New Roman" w:cs="Times New Roman"/>
          <w:sz w:val="28"/>
          <w:szCs w:val="28"/>
        </w:rPr>
      </w:pPr>
    </w:p>
    <w:p w14:paraId="7F34D2E7" w14:textId="734F6EA7" w:rsidR="00D82351" w:rsidRDefault="00D82351" w:rsidP="00DE6D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2 – М</w:t>
      </w:r>
      <w:r w:rsidRPr="00D82351">
        <w:rPr>
          <w:rFonts w:ascii="Times New Roman" w:hAnsi="Times New Roman" w:cs="Times New Roman"/>
          <w:sz w:val="28"/>
          <w:szCs w:val="28"/>
        </w:rPr>
        <w:t>еры валютного контроля</w:t>
      </w:r>
    </w:p>
    <w:tbl>
      <w:tblPr>
        <w:tblStyle w:val="a3"/>
        <w:tblW w:w="5000" w:type="pct"/>
        <w:tblLook w:val="04A0" w:firstRow="1" w:lastRow="0" w:firstColumn="1" w:lastColumn="0" w:noHBand="0" w:noVBand="1"/>
      </w:tblPr>
      <w:tblGrid>
        <w:gridCol w:w="408"/>
        <w:gridCol w:w="4145"/>
        <w:gridCol w:w="4792"/>
      </w:tblGrid>
      <w:tr w:rsidR="00D82351" w:rsidRPr="00DE6D3E" w14:paraId="0CA3D590" w14:textId="77777777" w:rsidTr="00DE6D3E">
        <w:tc>
          <w:tcPr>
            <w:tcW w:w="218" w:type="pct"/>
          </w:tcPr>
          <w:p w14:paraId="1928F336" w14:textId="11A608DE" w:rsidR="00D82351" w:rsidRPr="00DE6D3E" w:rsidRDefault="00D82351" w:rsidP="00DE6D3E">
            <w:pPr>
              <w:jc w:val="both"/>
              <w:rPr>
                <w:rFonts w:ascii="Times New Roman" w:hAnsi="Times New Roman" w:cs="Times New Roman"/>
                <w:sz w:val="20"/>
                <w:szCs w:val="20"/>
              </w:rPr>
            </w:pPr>
            <w:r w:rsidRPr="00DE6D3E">
              <w:rPr>
                <w:rFonts w:ascii="Times New Roman" w:hAnsi="Times New Roman" w:cs="Times New Roman"/>
                <w:sz w:val="20"/>
                <w:szCs w:val="20"/>
              </w:rPr>
              <w:t>№</w:t>
            </w:r>
          </w:p>
        </w:tc>
        <w:tc>
          <w:tcPr>
            <w:tcW w:w="2218" w:type="pct"/>
          </w:tcPr>
          <w:p w14:paraId="53072C3E" w14:textId="6C8FA702" w:rsidR="00D82351" w:rsidRPr="00DE6D3E" w:rsidRDefault="00D82351" w:rsidP="00DE6D3E">
            <w:pPr>
              <w:jc w:val="both"/>
              <w:rPr>
                <w:rFonts w:ascii="Times New Roman" w:hAnsi="Times New Roman" w:cs="Times New Roman"/>
                <w:sz w:val="20"/>
                <w:szCs w:val="20"/>
              </w:rPr>
            </w:pPr>
            <w:r w:rsidRPr="00DE6D3E">
              <w:rPr>
                <w:rFonts w:ascii="Times New Roman" w:hAnsi="Times New Roman" w:cs="Times New Roman"/>
                <w:sz w:val="20"/>
                <w:szCs w:val="20"/>
              </w:rPr>
              <w:t>Мера валютного контроля</w:t>
            </w:r>
          </w:p>
        </w:tc>
        <w:tc>
          <w:tcPr>
            <w:tcW w:w="2564" w:type="pct"/>
          </w:tcPr>
          <w:p w14:paraId="3F9C79FB" w14:textId="77777777" w:rsidR="00D82351" w:rsidRPr="00DE6D3E" w:rsidRDefault="00D82351" w:rsidP="00DE6D3E">
            <w:pPr>
              <w:jc w:val="both"/>
              <w:rPr>
                <w:rFonts w:ascii="Times New Roman" w:hAnsi="Times New Roman" w:cs="Times New Roman"/>
                <w:sz w:val="20"/>
                <w:szCs w:val="20"/>
              </w:rPr>
            </w:pPr>
            <w:r w:rsidRPr="00DE6D3E">
              <w:rPr>
                <w:rFonts w:ascii="Times New Roman" w:hAnsi="Times New Roman" w:cs="Times New Roman"/>
                <w:sz w:val="20"/>
                <w:szCs w:val="20"/>
              </w:rPr>
              <w:t>Текущее состояние</w:t>
            </w:r>
          </w:p>
          <w:p w14:paraId="55392741" w14:textId="77777777" w:rsidR="00D82351" w:rsidRPr="00DE6D3E" w:rsidRDefault="00D82351" w:rsidP="00DE6D3E">
            <w:pPr>
              <w:jc w:val="both"/>
              <w:rPr>
                <w:rFonts w:ascii="Times New Roman" w:hAnsi="Times New Roman" w:cs="Times New Roman"/>
                <w:sz w:val="20"/>
                <w:szCs w:val="20"/>
              </w:rPr>
            </w:pPr>
          </w:p>
        </w:tc>
      </w:tr>
      <w:tr w:rsidR="00D82351" w:rsidRPr="00DE6D3E" w14:paraId="57F9427E" w14:textId="77777777" w:rsidTr="00DE6D3E">
        <w:tc>
          <w:tcPr>
            <w:tcW w:w="218" w:type="pct"/>
          </w:tcPr>
          <w:p w14:paraId="0444ACD7" w14:textId="4137D0BB" w:rsidR="00D82351" w:rsidRPr="00DE6D3E" w:rsidRDefault="00D82351" w:rsidP="00DE6D3E">
            <w:pPr>
              <w:jc w:val="both"/>
              <w:rPr>
                <w:rFonts w:ascii="Times New Roman" w:hAnsi="Times New Roman" w:cs="Times New Roman"/>
                <w:sz w:val="20"/>
                <w:szCs w:val="20"/>
              </w:rPr>
            </w:pPr>
            <w:r w:rsidRPr="00DE6D3E">
              <w:rPr>
                <w:rFonts w:ascii="Times New Roman" w:hAnsi="Times New Roman" w:cs="Times New Roman"/>
                <w:sz w:val="20"/>
                <w:szCs w:val="20"/>
              </w:rPr>
              <w:t>1</w:t>
            </w:r>
          </w:p>
        </w:tc>
        <w:tc>
          <w:tcPr>
            <w:tcW w:w="2218" w:type="pct"/>
          </w:tcPr>
          <w:p w14:paraId="2C25A147" w14:textId="7C14B384" w:rsidR="00D82351" w:rsidRPr="00DE6D3E" w:rsidRDefault="00D82351" w:rsidP="00DE6D3E">
            <w:pPr>
              <w:jc w:val="both"/>
              <w:rPr>
                <w:rFonts w:ascii="Times New Roman" w:hAnsi="Times New Roman" w:cs="Times New Roman"/>
                <w:sz w:val="20"/>
                <w:szCs w:val="20"/>
              </w:rPr>
            </w:pPr>
            <w:r w:rsidRPr="00DE6D3E">
              <w:rPr>
                <w:rFonts w:ascii="Times New Roman" w:hAnsi="Times New Roman" w:cs="Times New Roman"/>
                <w:sz w:val="20"/>
                <w:szCs w:val="20"/>
              </w:rPr>
              <w:t>Обязательная продажа 80% валютной выручки экспортерами для повышения предложения иностранной валюты</w:t>
            </w:r>
          </w:p>
          <w:p w14:paraId="59A75812" w14:textId="77777777" w:rsidR="00D82351" w:rsidRPr="00DE6D3E" w:rsidRDefault="00D82351" w:rsidP="00DE6D3E">
            <w:pPr>
              <w:jc w:val="both"/>
              <w:rPr>
                <w:rFonts w:ascii="Times New Roman" w:hAnsi="Times New Roman" w:cs="Times New Roman"/>
                <w:sz w:val="20"/>
                <w:szCs w:val="20"/>
              </w:rPr>
            </w:pPr>
          </w:p>
        </w:tc>
        <w:tc>
          <w:tcPr>
            <w:tcW w:w="2564" w:type="pct"/>
          </w:tcPr>
          <w:p w14:paraId="22DDCAFF" w14:textId="77777777" w:rsidR="00D82351" w:rsidRPr="00DE6D3E" w:rsidRDefault="00D82351" w:rsidP="00DE6D3E">
            <w:pPr>
              <w:jc w:val="both"/>
              <w:rPr>
                <w:rFonts w:ascii="Times New Roman" w:hAnsi="Times New Roman" w:cs="Times New Roman"/>
                <w:sz w:val="20"/>
                <w:szCs w:val="20"/>
              </w:rPr>
            </w:pPr>
            <w:r w:rsidRPr="00DE6D3E">
              <w:rPr>
                <w:rFonts w:ascii="Times New Roman" w:hAnsi="Times New Roman" w:cs="Times New Roman"/>
                <w:sz w:val="20"/>
                <w:szCs w:val="20"/>
              </w:rPr>
              <w:lastRenderedPageBreak/>
              <w:t>Доля обязательной продажи валютной выручки экспортерами снижена</w:t>
            </w:r>
          </w:p>
          <w:p w14:paraId="31C15062" w14:textId="77777777" w:rsidR="00D82351" w:rsidRPr="00DE6D3E" w:rsidRDefault="00D82351" w:rsidP="00DE6D3E">
            <w:pPr>
              <w:jc w:val="both"/>
              <w:rPr>
                <w:rFonts w:ascii="Times New Roman" w:hAnsi="Times New Roman" w:cs="Times New Roman"/>
                <w:sz w:val="20"/>
                <w:szCs w:val="20"/>
              </w:rPr>
            </w:pPr>
            <w:r w:rsidRPr="00DE6D3E">
              <w:rPr>
                <w:rFonts w:ascii="Times New Roman" w:hAnsi="Times New Roman" w:cs="Times New Roman"/>
                <w:sz w:val="20"/>
                <w:szCs w:val="20"/>
              </w:rPr>
              <w:lastRenderedPageBreak/>
              <w:t>до 50%, срок обязательной продажи увеличен до 120 рабочих дней</w:t>
            </w:r>
          </w:p>
          <w:p w14:paraId="03EA8B93" w14:textId="77777777" w:rsidR="00D82351" w:rsidRPr="00DE6D3E" w:rsidRDefault="00D82351" w:rsidP="00DE6D3E">
            <w:pPr>
              <w:jc w:val="both"/>
              <w:rPr>
                <w:rFonts w:ascii="Times New Roman" w:hAnsi="Times New Roman" w:cs="Times New Roman"/>
                <w:sz w:val="20"/>
                <w:szCs w:val="20"/>
              </w:rPr>
            </w:pPr>
          </w:p>
        </w:tc>
      </w:tr>
      <w:tr w:rsidR="00D82351" w:rsidRPr="00DE6D3E" w14:paraId="77F6D5D2" w14:textId="77777777" w:rsidTr="00DE6D3E">
        <w:tc>
          <w:tcPr>
            <w:tcW w:w="218" w:type="pct"/>
          </w:tcPr>
          <w:p w14:paraId="1078CF8A" w14:textId="154F607D" w:rsidR="00D82351" w:rsidRPr="00DE6D3E" w:rsidRDefault="00D82351" w:rsidP="00DE6D3E">
            <w:pPr>
              <w:jc w:val="both"/>
              <w:rPr>
                <w:rFonts w:ascii="Times New Roman" w:hAnsi="Times New Roman" w:cs="Times New Roman"/>
                <w:sz w:val="20"/>
                <w:szCs w:val="20"/>
              </w:rPr>
            </w:pPr>
            <w:r w:rsidRPr="00DE6D3E">
              <w:rPr>
                <w:rFonts w:ascii="Times New Roman" w:hAnsi="Times New Roman" w:cs="Times New Roman"/>
                <w:sz w:val="20"/>
                <w:szCs w:val="20"/>
              </w:rPr>
              <w:lastRenderedPageBreak/>
              <w:t>2</w:t>
            </w:r>
          </w:p>
        </w:tc>
        <w:tc>
          <w:tcPr>
            <w:tcW w:w="2218" w:type="pct"/>
          </w:tcPr>
          <w:p w14:paraId="4A567208" w14:textId="77777777" w:rsidR="00D82351" w:rsidRPr="00DE6D3E" w:rsidRDefault="00D82351" w:rsidP="00DE6D3E">
            <w:pPr>
              <w:jc w:val="both"/>
              <w:rPr>
                <w:rFonts w:ascii="Times New Roman" w:hAnsi="Times New Roman" w:cs="Times New Roman"/>
                <w:sz w:val="20"/>
                <w:szCs w:val="20"/>
              </w:rPr>
            </w:pPr>
            <w:r w:rsidRPr="00DE6D3E">
              <w:rPr>
                <w:rFonts w:ascii="Times New Roman" w:hAnsi="Times New Roman" w:cs="Times New Roman"/>
                <w:sz w:val="20"/>
                <w:szCs w:val="20"/>
              </w:rPr>
              <w:t>Ограничения на покупку иностранной валюты на российском</w:t>
            </w:r>
          </w:p>
          <w:p w14:paraId="05BEACF7" w14:textId="71617744" w:rsidR="00D82351" w:rsidRPr="00DE6D3E" w:rsidRDefault="00D82351" w:rsidP="00DE6D3E">
            <w:pPr>
              <w:jc w:val="both"/>
              <w:rPr>
                <w:rFonts w:ascii="Times New Roman" w:hAnsi="Times New Roman" w:cs="Times New Roman"/>
                <w:sz w:val="20"/>
                <w:szCs w:val="20"/>
              </w:rPr>
            </w:pPr>
            <w:r w:rsidRPr="00DE6D3E">
              <w:rPr>
                <w:rFonts w:ascii="Times New Roman" w:hAnsi="Times New Roman" w:cs="Times New Roman"/>
                <w:sz w:val="20"/>
                <w:szCs w:val="20"/>
              </w:rPr>
              <w:t>рынке для нерезидентов из недружественных стран</w:t>
            </w:r>
          </w:p>
        </w:tc>
        <w:tc>
          <w:tcPr>
            <w:tcW w:w="2564" w:type="pct"/>
          </w:tcPr>
          <w:p w14:paraId="5FADFFA7" w14:textId="77777777" w:rsidR="00D82351" w:rsidRPr="00DE6D3E" w:rsidRDefault="00D82351" w:rsidP="00DE6D3E">
            <w:pPr>
              <w:jc w:val="both"/>
              <w:rPr>
                <w:rFonts w:ascii="Times New Roman" w:hAnsi="Times New Roman" w:cs="Times New Roman"/>
                <w:sz w:val="20"/>
                <w:szCs w:val="20"/>
              </w:rPr>
            </w:pPr>
            <w:r w:rsidRPr="00DE6D3E">
              <w:rPr>
                <w:rFonts w:ascii="Times New Roman" w:hAnsi="Times New Roman" w:cs="Times New Roman"/>
                <w:sz w:val="20"/>
                <w:szCs w:val="20"/>
              </w:rPr>
              <w:t>Мера сохраняется</w:t>
            </w:r>
          </w:p>
          <w:p w14:paraId="7EFE2C4F" w14:textId="77777777" w:rsidR="00D82351" w:rsidRPr="00DE6D3E" w:rsidRDefault="00D82351" w:rsidP="00DE6D3E">
            <w:pPr>
              <w:jc w:val="both"/>
              <w:rPr>
                <w:rFonts w:ascii="Times New Roman" w:hAnsi="Times New Roman" w:cs="Times New Roman"/>
                <w:sz w:val="20"/>
                <w:szCs w:val="20"/>
              </w:rPr>
            </w:pPr>
          </w:p>
        </w:tc>
      </w:tr>
      <w:tr w:rsidR="00D82351" w:rsidRPr="00DE6D3E" w14:paraId="4F7147F9" w14:textId="77777777" w:rsidTr="00DE6D3E">
        <w:tc>
          <w:tcPr>
            <w:tcW w:w="218" w:type="pct"/>
          </w:tcPr>
          <w:p w14:paraId="5375D4B2" w14:textId="21356AFC" w:rsidR="00D82351" w:rsidRPr="00DE6D3E" w:rsidRDefault="00D82351" w:rsidP="00DE6D3E">
            <w:pPr>
              <w:jc w:val="both"/>
              <w:rPr>
                <w:rFonts w:ascii="Times New Roman" w:hAnsi="Times New Roman" w:cs="Times New Roman"/>
                <w:sz w:val="20"/>
                <w:szCs w:val="20"/>
              </w:rPr>
            </w:pPr>
            <w:r w:rsidRPr="00DE6D3E">
              <w:rPr>
                <w:rFonts w:ascii="Times New Roman" w:hAnsi="Times New Roman" w:cs="Times New Roman"/>
                <w:sz w:val="20"/>
                <w:szCs w:val="20"/>
              </w:rPr>
              <w:t>3</w:t>
            </w:r>
          </w:p>
        </w:tc>
        <w:tc>
          <w:tcPr>
            <w:tcW w:w="2218" w:type="pct"/>
          </w:tcPr>
          <w:p w14:paraId="5904153E" w14:textId="77777777" w:rsidR="00D82351" w:rsidRPr="00DE6D3E" w:rsidRDefault="00D82351" w:rsidP="00DE6D3E">
            <w:pPr>
              <w:jc w:val="both"/>
              <w:rPr>
                <w:rFonts w:ascii="Times New Roman" w:hAnsi="Times New Roman" w:cs="Times New Roman"/>
                <w:sz w:val="20"/>
                <w:szCs w:val="20"/>
              </w:rPr>
            </w:pPr>
            <w:r w:rsidRPr="00DE6D3E">
              <w:rPr>
                <w:rFonts w:ascii="Times New Roman" w:hAnsi="Times New Roman" w:cs="Times New Roman"/>
                <w:sz w:val="20"/>
                <w:szCs w:val="20"/>
              </w:rPr>
              <w:t>Количественные ограничения на снятие наличной иностранной</w:t>
            </w:r>
          </w:p>
          <w:p w14:paraId="0CAFD420" w14:textId="77777777" w:rsidR="00D82351" w:rsidRPr="00DE6D3E" w:rsidRDefault="00D82351" w:rsidP="00DE6D3E">
            <w:pPr>
              <w:jc w:val="both"/>
              <w:rPr>
                <w:rFonts w:ascii="Times New Roman" w:hAnsi="Times New Roman" w:cs="Times New Roman"/>
                <w:sz w:val="20"/>
                <w:szCs w:val="20"/>
              </w:rPr>
            </w:pPr>
            <w:r w:rsidRPr="00DE6D3E">
              <w:rPr>
                <w:rFonts w:ascii="Times New Roman" w:hAnsi="Times New Roman" w:cs="Times New Roman"/>
                <w:sz w:val="20"/>
                <w:szCs w:val="20"/>
              </w:rPr>
              <w:t>валюты, а также на переводы иностранной валюты за рубеж</w:t>
            </w:r>
          </w:p>
          <w:p w14:paraId="6A6D90CB" w14:textId="77777777" w:rsidR="00D82351" w:rsidRPr="00DE6D3E" w:rsidRDefault="00D82351" w:rsidP="00DE6D3E">
            <w:pPr>
              <w:jc w:val="both"/>
              <w:rPr>
                <w:rFonts w:ascii="Times New Roman" w:hAnsi="Times New Roman" w:cs="Times New Roman"/>
                <w:sz w:val="20"/>
                <w:szCs w:val="20"/>
              </w:rPr>
            </w:pPr>
          </w:p>
        </w:tc>
        <w:tc>
          <w:tcPr>
            <w:tcW w:w="2564" w:type="pct"/>
          </w:tcPr>
          <w:p w14:paraId="0B991EA4" w14:textId="77777777" w:rsidR="00D82351" w:rsidRPr="00DE6D3E" w:rsidRDefault="00D82351" w:rsidP="00DE6D3E">
            <w:pPr>
              <w:jc w:val="both"/>
              <w:rPr>
                <w:rFonts w:ascii="Times New Roman" w:hAnsi="Times New Roman" w:cs="Times New Roman"/>
                <w:sz w:val="20"/>
                <w:szCs w:val="20"/>
              </w:rPr>
            </w:pPr>
            <w:r w:rsidRPr="00DE6D3E">
              <w:rPr>
                <w:rFonts w:ascii="Times New Roman" w:hAnsi="Times New Roman" w:cs="Times New Roman"/>
                <w:sz w:val="20"/>
                <w:szCs w:val="20"/>
              </w:rPr>
              <w:t>Увеличен лимит на перевод физическими лицами денежных средств за рубеж (до 50 тыс. долл. США со счетов и до 5 тыс. долл. США без открытия</w:t>
            </w:r>
          </w:p>
          <w:p w14:paraId="0C392138" w14:textId="77777777" w:rsidR="00D82351" w:rsidRPr="00DE6D3E" w:rsidRDefault="00D82351" w:rsidP="00DE6D3E">
            <w:pPr>
              <w:jc w:val="both"/>
              <w:rPr>
                <w:rFonts w:ascii="Times New Roman" w:hAnsi="Times New Roman" w:cs="Times New Roman"/>
                <w:sz w:val="20"/>
                <w:szCs w:val="20"/>
              </w:rPr>
            </w:pPr>
            <w:r w:rsidRPr="00DE6D3E">
              <w:rPr>
                <w:rFonts w:ascii="Times New Roman" w:hAnsi="Times New Roman" w:cs="Times New Roman"/>
                <w:sz w:val="20"/>
                <w:szCs w:val="20"/>
              </w:rPr>
              <w:t>счета). Разрешена продажа физическим лицам наличной иностранной</w:t>
            </w:r>
          </w:p>
          <w:p w14:paraId="06BC1832" w14:textId="77777777" w:rsidR="00D82351" w:rsidRPr="00DE6D3E" w:rsidRDefault="00D82351" w:rsidP="00DE6D3E">
            <w:pPr>
              <w:jc w:val="both"/>
              <w:rPr>
                <w:rFonts w:ascii="Times New Roman" w:hAnsi="Times New Roman" w:cs="Times New Roman"/>
                <w:sz w:val="20"/>
                <w:szCs w:val="20"/>
              </w:rPr>
            </w:pPr>
            <w:r w:rsidRPr="00DE6D3E">
              <w:rPr>
                <w:rFonts w:ascii="Times New Roman" w:hAnsi="Times New Roman" w:cs="Times New Roman"/>
                <w:sz w:val="20"/>
                <w:szCs w:val="20"/>
              </w:rPr>
              <w:t>валюты: с 18.04.2022 – долларов США и евро, поступивших в кассу банка</w:t>
            </w:r>
          </w:p>
          <w:p w14:paraId="78F8E823" w14:textId="77777777" w:rsidR="00D82351" w:rsidRPr="00DE6D3E" w:rsidRDefault="00D82351" w:rsidP="00DE6D3E">
            <w:pPr>
              <w:jc w:val="both"/>
              <w:rPr>
                <w:rFonts w:ascii="Times New Roman" w:hAnsi="Times New Roman" w:cs="Times New Roman"/>
                <w:sz w:val="20"/>
                <w:szCs w:val="20"/>
              </w:rPr>
            </w:pPr>
            <w:r w:rsidRPr="00DE6D3E">
              <w:rPr>
                <w:rFonts w:ascii="Times New Roman" w:hAnsi="Times New Roman" w:cs="Times New Roman"/>
                <w:sz w:val="20"/>
                <w:szCs w:val="20"/>
              </w:rPr>
              <w:t>начиная с 9 апреля, с 20.05.2022 – иных видов валюты без ограничений</w:t>
            </w:r>
          </w:p>
          <w:p w14:paraId="0858BDAD" w14:textId="77777777" w:rsidR="00D82351" w:rsidRPr="00DE6D3E" w:rsidRDefault="00D82351" w:rsidP="00DE6D3E">
            <w:pPr>
              <w:jc w:val="both"/>
              <w:rPr>
                <w:rFonts w:ascii="Times New Roman" w:hAnsi="Times New Roman" w:cs="Times New Roman"/>
                <w:sz w:val="20"/>
                <w:szCs w:val="20"/>
              </w:rPr>
            </w:pPr>
          </w:p>
        </w:tc>
      </w:tr>
      <w:tr w:rsidR="00D82351" w:rsidRPr="00DE6D3E" w14:paraId="34E26BF8" w14:textId="77777777" w:rsidTr="00DE6D3E">
        <w:tc>
          <w:tcPr>
            <w:tcW w:w="218" w:type="pct"/>
          </w:tcPr>
          <w:p w14:paraId="47E30927" w14:textId="19561BA4" w:rsidR="00D82351" w:rsidRPr="00DE6D3E" w:rsidRDefault="00D82351" w:rsidP="00DE6D3E">
            <w:pPr>
              <w:jc w:val="both"/>
              <w:rPr>
                <w:rFonts w:ascii="Times New Roman" w:hAnsi="Times New Roman" w:cs="Times New Roman"/>
                <w:sz w:val="20"/>
                <w:szCs w:val="20"/>
              </w:rPr>
            </w:pPr>
            <w:r w:rsidRPr="00DE6D3E">
              <w:rPr>
                <w:rFonts w:ascii="Times New Roman" w:hAnsi="Times New Roman" w:cs="Times New Roman"/>
                <w:sz w:val="20"/>
                <w:szCs w:val="20"/>
              </w:rPr>
              <w:t>4</w:t>
            </w:r>
          </w:p>
        </w:tc>
        <w:tc>
          <w:tcPr>
            <w:tcW w:w="2218" w:type="pct"/>
          </w:tcPr>
          <w:p w14:paraId="636157DE" w14:textId="77777777" w:rsidR="00D82351" w:rsidRPr="00DE6D3E" w:rsidRDefault="00D82351" w:rsidP="00DE6D3E">
            <w:pPr>
              <w:jc w:val="both"/>
              <w:rPr>
                <w:rFonts w:ascii="Times New Roman" w:hAnsi="Times New Roman" w:cs="Times New Roman"/>
                <w:sz w:val="20"/>
                <w:szCs w:val="20"/>
              </w:rPr>
            </w:pPr>
            <w:r w:rsidRPr="00DE6D3E">
              <w:rPr>
                <w:rFonts w:ascii="Times New Roman" w:hAnsi="Times New Roman" w:cs="Times New Roman"/>
                <w:sz w:val="20"/>
                <w:szCs w:val="20"/>
              </w:rPr>
              <w:t>Дополнительные комиссии на совершение операций по покупке</w:t>
            </w:r>
          </w:p>
          <w:p w14:paraId="2874C554" w14:textId="77777777" w:rsidR="00D82351" w:rsidRPr="00DE6D3E" w:rsidRDefault="00D82351" w:rsidP="00DE6D3E">
            <w:pPr>
              <w:jc w:val="both"/>
              <w:rPr>
                <w:rFonts w:ascii="Times New Roman" w:hAnsi="Times New Roman" w:cs="Times New Roman"/>
                <w:sz w:val="20"/>
                <w:szCs w:val="20"/>
              </w:rPr>
            </w:pPr>
            <w:r w:rsidRPr="00DE6D3E">
              <w:rPr>
                <w:rFonts w:ascii="Times New Roman" w:hAnsi="Times New Roman" w:cs="Times New Roman"/>
                <w:sz w:val="20"/>
                <w:szCs w:val="20"/>
              </w:rPr>
              <w:t>отдельных видов иностранной валюты (USD, EUR, GBP)* в размере</w:t>
            </w:r>
          </w:p>
          <w:p w14:paraId="6BE2F402" w14:textId="2D8EBBAB" w:rsidR="00D82351" w:rsidRPr="00DE6D3E" w:rsidRDefault="00D82351" w:rsidP="00DE6D3E">
            <w:pPr>
              <w:jc w:val="both"/>
              <w:rPr>
                <w:rFonts w:ascii="Times New Roman" w:hAnsi="Times New Roman" w:cs="Times New Roman"/>
                <w:sz w:val="20"/>
                <w:szCs w:val="20"/>
              </w:rPr>
            </w:pPr>
            <w:r w:rsidRPr="00DE6D3E">
              <w:rPr>
                <w:rFonts w:ascii="Times New Roman" w:hAnsi="Times New Roman" w:cs="Times New Roman"/>
                <w:sz w:val="20"/>
                <w:szCs w:val="20"/>
              </w:rPr>
              <w:t>30%</w:t>
            </w:r>
          </w:p>
        </w:tc>
        <w:tc>
          <w:tcPr>
            <w:tcW w:w="2564" w:type="pct"/>
          </w:tcPr>
          <w:p w14:paraId="1A53CC37" w14:textId="77777777" w:rsidR="00D82351" w:rsidRPr="00DE6D3E" w:rsidRDefault="00D82351" w:rsidP="00DE6D3E">
            <w:pPr>
              <w:jc w:val="both"/>
              <w:rPr>
                <w:rFonts w:ascii="Times New Roman" w:hAnsi="Times New Roman" w:cs="Times New Roman"/>
                <w:sz w:val="20"/>
                <w:szCs w:val="20"/>
              </w:rPr>
            </w:pPr>
            <w:r w:rsidRPr="00DE6D3E">
              <w:rPr>
                <w:rFonts w:ascii="Times New Roman" w:hAnsi="Times New Roman" w:cs="Times New Roman"/>
                <w:sz w:val="20"/>
                <w:szCs w:val="20"/>
              </w:rPr>
              <w:t>Комиссия снижена сначала до уровня 12%, в данный момент не взимается</w:t>
            </w:r>
          </w:p>
          <w:p w14:paraId="7CB7DE91" w14:textId="77777777" w:rsidR="00D82351" w:rsidRPr="00DE6D3E" w:rsidRDefault="00D82351" w:rsidP="00DE6D3E">
            <w:pPr>
              <w:jc w:val="both"/>
              <w:rPr>
                <w:rFonts w:ascii="Times New Roman" w:hAnsi="Times New Roman" w:cs="Times New Roman"/>
                <w:sz w:val="20"/>
                <w:szCs w:val="20"/>
              </w:rPr>
            </w:pPr>
          </w:p>
        </w:tc>
      </w:tr>
    </w:tbl>
    <w:p w14:paraId="67D9E94C" w14:textId="77777777" w:rsidR="00D82351" w:rsidRDefault="00D82351" w:rsidP="00D82351">
      <w:pPr>
        <w:spacing w:after="0" w:line="360" w:lineRule="auto"/>
        <w:ind w:firstLine="709"/>
        <w:jc w:val="both"/>
        <w:rPr>
          <w:rFonts w:ascii="Times New Roman" w:hAnsi="Times New Roman" w:cs="Times New Roman"/>
          <w:sz w:val="28"/>
          <w:szCs w:val="28"/>
        </w:rPr>
      </w:pPr>
    </w:p>
    <w:p w14:paraId="2A52F047" w14:textId="17B72382" w:rsidR="00D82351" w:rsidRDefault="00D82351" w:rsidP="00D82351">
      <w:pPr>
        <w:spacing w:after="0" w:line="360" w:lineRule="auto"/>
        <w:ind w:firstLine="709"/>
        <w:jc w:val="both"/>
        <w:rPr>
          <w:rFonts w:ascii="Times New Roman" w:hAnsi="Times New Roman" w:cs="Times New Roman"/>
          <w:sz w:val="28"/>
          <w:szCs w:val="28"/>
        </w:rPr>
      </w:pPr>
      <w:r w:rsidRPr="00D82351">
        <w:rPr>
          <w:rFonts w:ascii="Times New Roman" w:hAnsi="Times New Roman" w:cs="Times New Roman"/>
          <w:sz w:val="28"/>
          <w:szCs w:val="28"/>
        </w:rPr>
        <w:t>Для снижения инфляционных рисков были предоставлены послабления импортерам, которые получили возможность покупать валюту с незначительным спредом к биржевому курсу</w:t>
      </w:r>
      <w:r>
        <w:rPr>
          <w:rFonts w:ascii="Times New Roman" w:hAnsi="Times New Roman" w:cs="Times New Roman"/>
          <w:sz w:val="28"/>
          <w:szCs w:val="28"/>
        </w:rPr>
        <w:t>.</w:t>
      </w:r>
    </w:p>
    <w:p w14:paraId="12779075" w14:textId="7B091F31" w:rsidR="00D82351" w:rsidRPr="00D82351" w:rsidRDefault="00D82351" w:rsidP="00DE6D3E">
      <w:pPr>
        <w:spacing w:after="0" w:line="360" w:lineRule="auto"/>
        <w:ind w:firstLine="709"/>
        <w:jc w:val="both"/>
        <w:rPr>
          <w:rFonts w:ascii="Times New Roman" w:hAnsi="Times New Roman" w:cs="Times New Roman"/>
          <w:sz w:val="28"/>
          <w:szCs w:val="28"/>
        </w:rPr>
      </w:pPr>
      <w:r w:rsidRPr="00D82351">
        <w:rPr>
          <w:rFonts w:ascii="Times New Roman" w:hAnsi="Times New Roman" w:cs="Times New Roman"/>
          <w:sz w:val="28"/>
          <w:szCs w:val="28"/>
        </w:rPr>
        <w:t xml:space="preserve">Реализация ответных мер изменила трансмиссию </w:t>
      </w:r>
      <w:proofErr w:type="spellStart"/>
      <w:r w:rsidRPr="00D82351">
        <w:rPr>
          <w:rFonts w:ascii="Times New Roman" w:hAnsi="Times New Roman" w:cs="Times New Roman"/>
          <w:sz w:val="28"/>
          <w:szCs w:val="28"/>
        </w:rPr>
        <w:t>санкционного</w:t>
      </w:r>
      <w:proofErr w:type="spellEnd"/>
      <w:r w:rsidRPr="00D82351">
        <w:rPr>
          <w:rFonts w:ascii="Times New Roman" w:hAnsi="Times New Roman" w:cs="Times New Roman"/>
          <w:sz w:val="28"/>
          <w:szCs w:val="28"/>
        </w:rPr>
        <w:t xml:space="preserve"> шока по валютному каналу. Спрос на валюту вырос со стороны банков и других финансовых компаний, которым была</w:t>
      </w:r>
      <w:r w:rsidR="00DE6D3E">
        <w:rPr>
          <w:rFonts w:ascii="Times New Roman" w:hAnsi="Times New Roman" w:cs="Times New Roman"/>
          <w:sz w:val="28"/>
          <w:szCs w:val="28"/>
        </w:rPr>
        <w:t xml:space="preserve"> </w:t>
      </w:r>
      <w:r w:rsidRPr="00D82351">
        <w:rPr>
          <w:rFonts w:ascii="Times New Roman" w:hAnsi="Times New Roman" w:cs="Times New Roman"/>
          <w:sz w:val="28"/>
          <w:szCs w:val="28"/>
        </w:rPr>
        <w:t>необходима валюта для закрытия своих валютных обязательств, в том числе по сделкам ПФИ</w:t>
      </w:r>
      <w:r w:rsidR="00DE6D3E">
        <w:rPr>
          <w:rFonts w:ascii="Times New Roman" w:hAnsi="Times New Roman" w:cs="Times New Roman"/>
          <w:sz w:val="28"/>
          <w:szCs w:val="28"/>
        </w:rPr>
        <w:t xml:space="preserve">, </w:t>
      </w:r>
      <w:r w:rsidRPr="00D82351">
        <w:rPr>
          <w:rFonts w:ascii="Times New Roman" w:hAnsi="Times New Roman" w:cs="Times New Roman"/>
          <w:sz w:val="28"/>
          <w:szCs w:val="28"/>
        </w:rPr>
        <w:t>что во многом обусловило резкий дефицит валюты на рынке. В апреле такая потребность уменьшилась, большая часть неисполненных сделок ПФИ была урегулирована, банки и другие финансовые компании перешли к нетто-продажам валюты.</w:t>
      </w:r>
    </w:p>
    <w:p w14:paraId="066B10F4" w14:textId="24E74E42" w:rsidR="00D82351" w:rsidRDefault="00D82351" w:rsidP="00DE6D3E">
      <w:pPr>
        <w:spacing w:after="0" w:line="360" w:lineRule="auto"/>
        <w:ind w:firstLine="709"/>
        <w:jc w:val="both"/>
        <w:rPr>
          <w:rFonts w:ascii="Times New Roman" w:hAnsi="Times New Roman" w:cs="Times New Roman"/>
          <w:sz w:val="28"/>
          <w:szCs w:val="28"/>
        </w:rPr>
      </w:pPr>
      <w:r w:rsidRPr="00D82351">
        <w:rPr>
          <w:rFonts w:ascii="Times New Roman" w:hAnsi="Times New Roman" w:cs="Times New Roman"/>
          <w:sz w:val="28"/>
          <w:szCs w:val="28"/>
        </w:rPr>
        <w:t>По мере накопления валюты на внутреннем рынке за счет продаж экспортеров, снижения спроса на валюту в условиях уменьшения импорта и сокращения обязательств перед</w:t>
      </w:r>
      <w:r>
        <w:rPr>
          <w:rFonts w:ascii="Times New Roman" w:hAnsi="Times New Roman" w:cs="Times New Roman"/>
          <w:sz w:val="28"/>
          <w:szCs w:val="28"/>
        </w:rPr>
        <w:t xml:space="preserve"> </w:t>
      </w:r>
      <w:r w:rsidRPr="00D82351">
        <w:rPr>
          <w:rFonts w:ascii="Times New Roman" w:hAnsi="Times New Roman" w:cs="Times New Roman"/>
          <w:sz w:val="28"/>
          <w:szCs w:val="28"/>
        </w:rPr>
        <w:t>иностранными инвесторами ситуация стабилизировалась, что позволило постепенно смягчить меры валютного контроля. Рынок валютных свопов также стабилизировался, оставшиеся</w:t>
      </w:r>
      <w:r w:rsidR="00DE6D3E">
        <w:rPr>
          <w:rFonts w:ascii="Times New Roman" w:hAnsi="Times New Roman" w:cs="Times New Roman"/>
          <w:sz w:val="28"/>
          <w:szCs w:val="28"/>
        </w:rPr>
        <w:t xml:space="preserve"> </w:t>
      </w:r>
      <w:r w:rsidRPr="00D82351">
        <w:rPr>
          <w:rFonts w:ascii="Times New Roman" w:hAnsi="Times New Roman" w:cs="Times New Roman"/>
          <w:sz w:val="28"/>
          <w:szCs w:val="28"/>
        </w:rPr>
        <w:t>участники сохраняли открытый объем позиций.</w:t>
      </w:r>
    </w:p>
    <w:p w14:paraId="285BB954" w14:textId="570C688A" w:rsidR="00514F44" w:rsidRPr="00514F44" w:rsidRDefault="00514F44" w:rsidP="00514F44">
      <w:pPr>
        <w:spacing w:after="0" w:line="360" w:lineRule="auto"/>
        <w:ind w:firstLine="709"/>
        <w:jc w:val="both"/>
        <w:rPr>
          <w:rFonts w:ascii="Times New Roman" w:hAnsi="Times New Roman" w:cs="Times New Roman"/>
          <w:sz w:val="28"/>
          <w:szCs w:val="28"/>
        </w:rPr>
      </w:pPr>
      <w:r w:rsidRPr="00514F44">
        <w:rPr>
          <w:rFonts w:ascii="Times New Roman" w:hAnsi="Times New Roman" w:cs="Times New Roman"/>
          <w:sz w:val="28"/>
          <w:szCs w:val="28"/>
        </w:rPr>
        <w:t xml:space="preserve">Введение </w:t>
      </w:r>
      <w:proofErr w:type="spellStart"/>
      <w:r w:rsidRPr="00514F44">
        <w:rPr>
          <w:rFonts w:ascii="Times New Roman" w:hAnsi="Times New Roman" w:cs="Times New Roman"/>
          <w:sz w:val="28"/>
          <w:szCs w:val="28"/>
        </w:rPr>
        <w:t>санкционных</w:t>
      </w:r>
      <w:proofErr w:type="spellEnd"/>
      <w:r w:rsidRPr="00514F44">
        <w:rPr>
          <w:rFonts w:ascii="Times New Roman" w:hAnsi="Times New Roman" w:cs="Times New Roman"/>
          <w:sz w:val="28"/>
          <w:szCs w:val="28"/>
        </w:rPr>
        <w:t xml:space="preserve"> ограничений первоначально привело к выходу иностранцев с российского рынка, а затем снижению валютной ликвидности </w:t>
      </w:r>
      <w:r w:rsidRPr="00514F44">
        <w:rPr>
          <w:rFonts w:ascii="Times New Roman" w:hAnsi="Times New Roman" w:cs="Times New Roman"/>
          <w:sz w:val="28"/>
          <w:szCs w:val="28"/>
        </w:rPr>
        <w:lastRenderedPageBreak/>
        <w:t>и росту волатильности курса рубля. Принятые валютные ограничения и меры валютного контроля позволили стабилизировать ситуацию.</w:t>
      </w:r>
    </w:p>
    <w:p w14:paraId="3E5F6764" w14:textId="77777777" w:rsidR="00DE6D3E" w:rsidRPr="00DE6D3E" w:rsidRDefault="00DE6D3E" w:rsidP="00DE6D3E">
      <w:pPr>
        <w:spacing w:after="0" w:line="360" w:lineRule="auto"/>
        <w:ind w:firstLine="709"/>
        <w:jc w:val="both"/>
        <w:rPr>
          <w:rFonts w:ascii="Times New Roman" w:hAnsi="Times New Roman" w:cs="Times New Roman"/>
          <w:sz w:val="28"/>
          <w:szCs w:val="28"/>
        </w:rPr>
      </w:pPr>
      <w:r w:rsidRPr="00DE6D3E">
        <w:rPr>
          <w:rFonts w:ascii="Times New Roman" w:hAnsi="Times New Roman" w:cs="Times New Roman"/>
          <w:sz w:val="28"/>
          <w:szCs w:val="28"/>
        </w:rPr>
        <w:t xml:space="preserve">Переход к новой экономической реальности в рамках </w:t>
      </w:r>
      <w:proofErr w:type="spellStart"/>
      <w:r w:rsidRPr="00DE6D3E">
        <w:rPr>
          <w:rFonts w:ascii="Times New Roman" w:hAnsi="Times New Roman" w:cs="Times New Roman"/>
          <w:sz w:val="28"/>
          <w:szCs w:val="28"/>
        </w:rPr>
        <w:t>санкционного</w:t>
      </w:r>
      <w:proofErr w:type="spellEnd"/>
      <w:r w:rsidRPr="00DE6D3E">
        <w:rPr>
          <w:rFonts w:ascii="Times New Roman" w:hAnsi="Times New Roman" w:cs="Times New Roman"/>
          <w:sz w:val="28"/>
          <w:szCs w:val="28"/>
        </w:rPr>
        <w:t xml:space="preserve"> давления сопровождается сменой парадигмы существования российского валютного рынка, а также рядом сопутствующих рисков.</w:t>
      </w:r>
    </w:p>
    <w:p w14:paraId="48B72767" w14:textId="77777777" w:rsidR="00DE6D3E" w:rsidRDefault="00DE6D3E" w:rsidP="00DE6D3E">
      <w:pPr>
        <w:spacing w:after="0" w:line="360" w:lineRule="auto"/>
        <w:ind w:firstLine="709"/>
        <w:jc w:val="both"/>
        <w:rPr>
          <w:rFonts w:ascii="Times New Roman" w:hAnsi="Times New Roman" w:cs="Times New Roman"/>
          <w:sz w:val="28"/>
          <w:szCs w:val="28"/>
        </w:rPr>
      </w:pPr>
      <w:r w:rsidRPr="00DE6D3E">
        <w:rPr>
          <w:rFonts w:ascii="Times New Roman" w:hAnsi="Times New Roman" w:cs="Times New Roman"/>
          <w:sz w:val="28"/>
          <w:szCs w:val="28"/>
        </w:rPr>
        <w:t>Основной тенденцией российского валютного рынка в ближайшей перспективе будет снижение роли доллара США и евро во всех аспектах экономической деятельности при возрастающей роли валют дружественных стран и рубля. Это будет происходить на фоне значительного сокращения экспортно-импортных отношений с западными партнерами.</w:t>
      </w:r>
    </w:p>
    <w:p w14:paraId="66181B06" w14:textId="34AF6B61" w:rsidR="00DE6D3E" w:rsidRPr="00DE6D3E" w:rsidRDefault="00DE6D3E" w:rsidP="00DE6D3E">
      <w:pPr>
        <w:spacing w:after="0" w:line="360" w:lineRule="auto"/>
        <w:ind w:firstLine="709"/>
        <w:jc w:val="both"/>
        <w:rPr>
          <w:rFonts w:ascii="Times New Roman" w:hAnsi="Times New Roman" w:cs="Times New Roman"/>
          <w:sz w:val="28"/>
          <w:szCs w:val="28"/>
        </w:rPr>
      </w:pPr>
      <w:r w:rsidRPr="00DE6D3E">
        <w:rPr>
          <w:rFonts w:ascii="Times New Roman" w:hAnsi="Times New Roman" w:cs="Times New Roman"/>
          <w:sz w:val="28"/>
          <w:szCs w:val="28"/>
        </w:rPr>
        <w:t>Значительное</w:t>
      </w:r>
      <w:r>
        <w:rPr>
          <w:rFonts w:ascii="Times New Roman" w:hAnsi="Times New Roman" w:cs="Times New Roman"/>
          <w:sz w:val="28"/>
          <w:szCs w:val="28"/>
        </w:rPr>
        <w:t xml:space="preserve"> </w:t>
      </w:r>
      <w:r w:rsidRPr="00DE6D3E">
        <w:rPr>
          <w:rFonts w:ascii="Times New Roman" w:hAnsi="Times New Roman" w:cs="Times New Roman"/>
          <w:sz w:val="28"/>
          <w:szCs w:val="28"/>
        </w:rPr>
        <w:t>влияние на уменьшение роли доллара США и евро будут оказывать риски расчетов в данных</w:t>
      </w:r>
      <w:r>
        <w:rPr>
          <w:rFonts w:ascii="Times New Roman" w:hAnsi="Times New Roman" w:cs="Times New Roman"/>
          <w:sz w:val="28"/>
          <w:szCs w:val="28"/>
        </w:rPr>
        <w:t xml:space="preserve"> </w:t>
      </w:r>
      <w:r w:rsidRPr="00DE6D3E">
        <w:rPr>
          <w:rFonts w:ascii="Times New Roman" w:hAnsi="Times New Roman" w:cs="Times New Roman"/>
          <w:sz w:val="28"/>
          <w:szCs w:val="28"/>
        </w:rPr>
        <w:t>валютах для всех российских контрагентов, валютный контроль и переход на рублевые расчеты при оплате европейскими потребителями поставок российского газа. Перспективным вектором развития валютных отношений станет постепенное снижение объемов использования</w:t>
      </w:r>
      <w:r>
        <w:rPr>
          <w:rFonts w:ascii="Times New Roman" w:hAnsi="Times New Roman" w:cs="Times New Roman"/>
          <w:sz w:val="28"/>
          <w:szCs w:val="28"/>
        </w:rPr>
        <w:t xml:space="preserve"> </w:t>
      </w:r>
      <w:r w:rsidRPr="00DE6D3E">
        <w:rPr>
          <w:rFonts w:ascii="Times New Roman" w:hAnsi="Times New Roman" w:cs="Times New Roman"/>
          <w:sz w:val="28"/>
          <w:szCs w:val="28"/>
        </w:rPr>
        <w:t>валют недружественных стран за счет развития инфраструктуры платежей в национальных валютах.</w:t>
      </w:r>
    </w:p>
    <w:p w14:paraId="60D8E61F" w14:textId="4F914DEB" w:rsidR="00DE6D3E" w:rsidRDefault="00DE6D3E" w:rsidP="00DE6D3E">
      <w:pPr>
        <w:spacing w:after="0" w:line="360" w:lineRule="auto"/>
        <w:ind w:firstLine="709"/>
        <w:jc w:val="both"/>
        <w:rPr>
          <w:rFonts w:ascii="Times New Roman" w:hAnsi="Times New Roman" w:cs="Times New Roman"/>
          <w:sz w:val="28"/>
          <w:szCs w:val="28"/>
        </w:rPr>
      </w:pPr>
      <w:r w:rsidRPr="00DE6D3E">
        <w:rPr>
          <w:rFonts w:ascii="Times New Roman" w:hAnsi="Times New Roman" w:cs="Times New Roman"/>
          <w:sz w:val="28"/>
          <w:szCs w:val="28"/>
        </w:rPr>
        <w:t xml:space="preserve">Тенденцию </w:t>
      </w:r>
      <w:proofErr w:type="spellStart"/>
      <w:r w:rsidRPr="00DE6D3E">
        <w:rPr>
          <w:rFonts w:ascii="Times New Roman" w:hAnsi="Times New Roman" w:cs="Times New Roman"/>
          <w:sz w:val="28"/>
          <w:szCs w:val="28"/>
        </w:rPr>
        <w:t>девалютизации</w:t>
      </w:r>
      <w:proofErr w:type="spellEnd"/>
      <w:r w:rsidRPr="00DE6D3E">
        <w:rPr>
          <w:rFonts w:ascii="Times New Roman" w:hAnsi="Times New Roman" w:cs="Times New Roman"/>
          <w:sz w:val="28"/>
          <w:szCs w:val="28"/>
        </w:rPr>
        <w:t xml:space="preserve"> продолжит демонстрировать как банковский сектор, так и сектор домохозяйств. Из-за изоляции валютного рынка на фоне отсутствия нерезидентов у банков при наличии валютных пассивов и активов создаются дополнительные риски, так как они</w:t>
      </w:r>
      <w:r>
        <w:rPr>
          <w:rFonts w:ascii="Times New Roman" w:hAnsi="Times New Roman" w:cs="Times New Roman"/>
          <w:sz w:val="28"/>
          <w:szCs w:val="28"/>
        </w:rPr>
        <w:t xml:space="preserve"> </w:t>
      </w:r>
      <w:r w:rsidRPr="00DE6D3E">
        <w:rPr>
          <w:rFonts w:ascii="Times New Roman" w:hAnsi="Times New Roman" w:cs="Times New Roman"/>
          <w:sz w:val="28"/>
          <w:szCs w:val="28"/>
        </w:rPr>
        <w:t>лишены возможности хеджировать свою валютную позицию. Наличие дополнительных рисков будет способствовать естественному сокращению банковских балансов в валютах недружественных стран.</w:t>
      </w:r>
    </w:p>
    <w:p w14:paraId="3F42F29C" w14:textId="56CCB545" w:rsidR="00DE6D3E" w:rsidRDefault="00DE6D3E" w:rsidP="00E658DC">
      <w:pPr>
        <w:spacing w:after="0" w:line="360" w:lineRule="auto"/>
        <w:ind w:firstLine="709"/>
        <w:jc w:val="both"/>
        <w:rPr>
          <w:rFonts w:ascii="Times New Roman" w:hAnsi="Times New Roman" w:cs="Times New Roman"/>
          <w:sz w:val="28"/>
          <w:szCs w:val="28"/>
        </w:rPr>
      </w:pPr>
      <w:proofErr w:type="spellStart"/>
      <w:r w:rsidRPr="00DE6D3E">
        <w:rPr>
          <w:rFonts w:ascii="Times New Roman" w:hAnsi="Times New Roman" w:cs="Times New Roman"/>
          <w:sz w:val="28"/>
          <w:szCs w:val="28"/>
        </w:rPr>
        <w:t>Девалютизации</w:t>
      </w:r>
      <w:proofErr w:type="spellEnd"/>
      <w:r w:rsidRPr="00DE6D3E">
        <w:rPr>
          <w:rFonts w:ascii="Times New Roman" w:hAnsi="Times New Roman" w:cs="Times New Roman"/>
          <w:sz w:val="28"/>
          <w:szCs w:val="28"/>
        </w:rPr>
        <w:t xml:space="preserve"> банковского сектора может содействовать политика Банка России: в апреле 2022 г. после восстановления ситуации с ликвидностью были повышены</w:t>
      </w:r>
      <w:r>
        <w:rPr>
          <w:rFonts w:ascii="Times New Roman" w:hAnsi="Times New Roman" w:cs="Times New Roman"/>
          <w:sz w:val="28"/>
          <w:szCs w:val="28"/>
        </w:rPr>
        <w:t xml:space="preserve"> </w:t>
      </w:r>
      <w:r w:rsidRPr="00DE6D3E">
        <w:rPr>
          <w:rFonts w:ascii="Times New Roman" w:hAnsi="Times New Roman" w:cs="Times New Roman"/>
          <w:sz w:val="28"/>
          <w:szCs w:val="28"/>
        </w:rPr>
        <w:t xml:space="preserve">нормативы обязательных резервов по валютным обязательствам – с 2 до 4%. Ускорить </w:t>
      </w:r>
      <w:proofErr w:type="spellStart"/>
      <w:r w:rsidRPr="00DE6D3E">
        <w:rPr>
          <w:rFonts w:ascii="Times New Roman" w:hAnsi="Times New Roman" w:cs="Times New Roman"/>
          <w:sz w:val="28"/>
          <w:szCs w:val="28"/>
        </w:rPr>
        <w:t>девалютизацию</w:t>
      </w:r>
      <w:proofErr w:type="spellEnd"/>
      <w:r w:rsidRPr="00DE6D3E">
        <w:rPr>
          <w:rFonts w:ascii="Times New Roman" w:hAnsi="Times New Roman" w:cs="Times New Roman"/>
          <w:sz w:val="28"/>
          <w:szCs w:val="28"/>
        </w:rPr>
        <w:t xml:space="preserve"> активов и пассивов экономических субъектов могло бы создание правовых возможностей по установлению отрицательных процентных ставок по депозитам юридических</w:t>
      </w:r>
      <w:r>
        <w:rPr>
          <w:rFonts w:ascii="Times New Roman" w:hAnsi="Times New Roman" w:cs="Times New Roman"/>
          <w:sz w:val="28"/>
          <w:szCs w:val="28"/>
        </w:rPr>
        <w:t xml:space="preserve"> </w:t>
      </w:r>
      <w:r w:rsidRPr="00DE6D3E">
        <w:rPr>
          <w:rFonts w:ascii="Times New Roman" w:hAnsi="Times New Roman" w:cs="Times New Roman"/>
          <w:sz w:val="28"/>
          <w:szCs w:val="28"/>
        </w:rPr>
        <w:t>лиц в долларах США и евро.</w:t>
      </w:r>
    </w:p>
    <w:p w14:paraId="7D54E06A" w14:textId="6B97D8AD" w:rsidR="00DE6D3E" w:rsidRDefault="00DE6D3E" w:rsidP="00DE6D3E">
      <w:pPr>
        <w:spacing w:after="0" w:line="360" w:lineRule="auto"/>
        <w:jc w:val="center"/>
        <w:rPr>
          <w:rFonts w:ascii="Times New Roman" w:hAnsi="Times New Roman" w:cs="Times New Roman"/>
          <w:b/>
          <w:bCs/>
          <w:sz w:val="28"/>
          <w:szCs w:val="28"/>
        </w:rPr>
      </w:pPr>
      <w:r w:rsidRPr="00DE6D3E">
        <w:rPr>
          <w:rFonts w:ascii="Times New Roman" w:hAnsi="Times New Roman" w:cs="Times New Roman"/>
          <w:b/>
          <w:bCs/>
          <w:sz w:val="28"/>
          <w:szCs w:val="28"/>
        </w:rPr>
        <w:lastRenderedPageBreak/>
        <w:t>ЗАКЛЮЧЕНИЕ</w:t>
      </w:r>
    </w:p>
    <w:p w14:paraId="3B60687F" w14:textId="7C95AF84" w:rsidR="00DE6D3E" w:rsidRDefault="00DE6D3E" w:rsidP="00DE6D3E">
      <w:pPr>
        <w:spacing w:after="0" w:line="360" w:lineRule="auto"/>
        <w:ind w:firstLine="709"/>
        <w:jc w:val="center"/>
        <w:rPr>
          <w:rFonts w:ascii="Times New Roman" w:hAnsi="Times New Roman" w:cs="Times New Roman"/>
          <w:b/>
          <w:bCs/>
          <w:sz w:val="28"/>
          <w:szCs w:val="28"/>
        </w:rPr>
      </w:pPr>
    </w:p>
    <w:p w14:paraId="0909F1E4" w14:textId="77777777" w:rsidR="00846471" w:rsidRDefault="00846471" w:rsidP="008464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рынке производных финансовых инструментов постоянно появляются новые виды </w:t>
      </w:r>
      <w:proofErr w:type="spellStart"/>
      <w:r>
        <w:rPr>
          <w:rFonts w:ascii="Times New Roman" w:hAnsi="Times New Roman" w:cs="Times New Roman"/>
          <w:sz w:val="28"/>
          <w:szCs w:val="28"/>
        </w:rPr>
        <w:t>деривативов</w:t>
      </w:r>
      <w:proofErr w:type="spellEnd"/>
      <w:r>
        <w:rPr>
          <w:rFonts w:ascii="Times New Roman" w:hAnsi="Times New Roman" w:cs="Times New Roman"/>
          <w:sz w:val="28"/>
          <w:szCs w:val="28"/>
        </w:rPr>
        <w:t>, адаптированных к индивидуальным потребностям участников рынка и позволяющие осуществлять более полное покрытие риска.</w:t>
      </w:r>
    </w:p>
    <w:p w14:paraId="36A4B10E" w14:textId="666281EE" w:rsidR="00846471" w:rsidRDefault="00526573" w:rsidP="008464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Валютные </w:t>
      </w:r>
      <w:proofErr w:type="spellStart"/>
      <w:r>
        <w:rPr>
          <w:rFonts w:ascii="Times New Roman" w:hAnsi="Times New Roman" w:cs="Times New Roman"/>
          <w:sz w:val="28"/>
          <w:szCs w:val="28"/>
        </w:rPr>
        <w:t>д</w:t>
      </w:r>
      <w:r w:rsidR="00846471">
        <w:rPr>
          <w:rFonts w:ascii="Times New Roman" w:hAnsi="Times New Roman" w:cs="Times New Roman"/>
          <w:sz w:val="28"/>
          <w:szCs w:val="28"/>
        </w:rPr>
        <w:t>еривативы</w:t>
      </w:r>
      <w:proofErr w:type="spellEnd"/>
      <w:r w:rsidR="00846471">
        <w:rPr>
          <w:rFonts w:ascii="Times New Roman" w:hAnsi="Times New Roman" w:cs="Times New Roman"/>
          <w:sz w:val="28"/>
          <w:szCs w:val="28"/>
        </w:rPr>
        <w:t xml:space="preserve"> являются дополнительным эффективным инструментов минимизации валютных рисков. Данные инструменты могут быть подобраны компанией исходя из её определённых целей. Однако, стоит отметить, что у компании не всегда есть возможность воспользоваться </w:t>
      </w:r>
      <w:proofErr w:type="spellStart"/>
      <w:r w:rsidR="00846471">
        <w:rPr>
          <w:rFonts w:ascii="Times New Roman" w:hAnsi="Times New Roman" w:cs="Times New Roman"/>
          <w:sz w:val="28"/>
          <w:szCs w:val="28"/>
        </w:rPr>
        <w:t>деривативом</w:t>
      </w:r>
      <w:proofErr w:type="spellEnd"/>
      <w:r w:rsidR="00846471">
        <w:rPr>
          <w:rFonts w:ascii="Times New Roman" w:hAnsi="Times New Roman" w:cs="Times New Roman"/>
          <w:sz w:val="28"/>
          <w:szCs w:val="28"/>
        </w:rPr>
        <w:t>, так как на рынке не всегда присутствуют приемлемые для неё предложения.</w:t>
      </w:r>
    </w:p>
    <w:p w14:paraId="2743683A" w14:textId="77777777" w:rsidR="00526573" w:rsidRDefault="00526573" w:rsidP="005265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точки зрения работы, новый контекст вынуждает рассматривать адаптацию и смягчение правил, чтобы способствовать более эффективному управлению рисками в попытке смягчить воздействие пандемии на участников. Например, оцениваются возможности сделать сроки осуществления и получения платежей и поставок, связанных с этими контрактами, более гибкими; Другое предложение состоит в том, чтобы пересмотреть понятие «форс-мажор», чтобы рассматривать его как одну из причин дефолта по платежам, которая может быть покрыта кредитными </w:t>
      </w:r>
      <w:proofErr w:type="spellStart"/>
      <w:r>
        <w:rPr>
          <w:rFonts w:ascii="Times New Roman" w:hAnsi="Times New Roman" w:cs="Times New Roman"/>
          <w:sz w:val="28"/>
          <w:szCs w:val="28"/>
        </w:rPr>
        <w:t>деривативами</w:t>
      </w:r>
      <w:proofErr w:type="spellEnd"/>
      <w:r>
        <w:rPr>
          <w:rFonts w:ascii="Times New Roman" w:hAnsi="Times New Roman" w:cs="Times New Roman"/>
          <w:sz w:val="28"/>
          <w:szCs w:val="28"/>
        </w:rPr>
        <w:t>, хотя еще рано говорить об изменениях, которые произойдут. на этом рынке.</w:t>
      </w:r>
    </w:p>
    <w:p w14:paraId="273D1D01" w14:textId="77777777" w:rsidR="00526573" w:rsidRDefault="00526573" w:rsidP="005265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Российский деривативный рынок гораздо более молодой по сравнению с рынками других стран и не обладает масштабными накопленными проблемами, с которыми пришлось столкнуться регуляторам в мире. Это позволяло учитывать сложившуюся мировую практику при развитии рынка ПФИ, а также принимать решения по регулированию с учетом особенностей развития российского рынка.</w:t>
      </w:r>
    </w:p>
    <w:p w14:paraId="157B63ED" w14:textId="0D306F5A" w:rsidR="00DE6D3E" w:rsidRDefault="00526573" w:rsidP="00DE6D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Текущая ситуация на рынке валютных опционов характеризуется ограниченными объемами заключенных сделок, поэтому не несет значимых рисков для устойчивости курса рубля.</w:t>
      </w:r>
    </w:p>
    <w:p w14:paraId="2C7EC4C5" w14:textId="77777777" w:rsidR="00526573" w:rsidRDefault="00526573" w:rsidP="005265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Основной тенденцией российского валютного рынка в ближайшей перспективе будет снижение роли доллара США и евро во всех аспектах экономической деятельности при возрастающей роли валют дружественных стран и рубля. Это будет происходить на фоне значительного сокращения экспортно-импортных отношений с западными партнерами.</w:t>
      </w:r>
    </w:p>
    <w:p w14:paraId="164F955B" w14:textId="77777777" w:rsidR="00526573" w:rsidRDefault="00526573" w:rsidP="005265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Значительное влияние на уменьшение роли доллара США и евро будут оказывать риски расчетов в данных валютах для всех российских контрагентов, валютный контроль и переход на рублевые расчеты при оплате европейскими потребителями поставок российского газа. Перспективным вектором развития валютных отношений станет постепенное снижение объемов использования валют недружественных стран за счет развития инфраструктуры платежей в национальных валютах.</w:t>
      </w:r>
    </w:p>
    <w:p w14:paraId="11AD767C" w14:textId="77777777" w:rsidR="00526573" w:rsidRDefault="00526573" w:rsidP="00526573">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Девалютизации</w:t>
      </w:r>
      <w:proofErr w:type="spellEnd"/>
      <w:r>
        <w:rPr>
          <w:rFonts w:ascii="Times New Roman" w:hAnsi="Times New Roman" w:cs="Times New Roman"/>
          <w:sz w:val="28"/>
          <w:szCs w:val="28"/>
        </w:rPr>
        <w:t xml:space="preserve"> банковского сектора может содействовать политика Банка России: в апреле 2022 г. после восстановления ситуации с ликвидностью были повышены нормативы обязательных резервов по валютным обязательствам – с 2 до 4%. Ускорить </w:t>
      </w:r>
      <w:proofErr w:type="spellStart"/>
      <w:r>
        <w:rPr>
          <w:rFonts w:ascii="Times New Roman" w:hAnsi="Times New Roman" w:cs="Times New Roman"/>
          <w:sz w:val="28"/>
          <w:szCs w:val="28"/>
        </w:rPr>
        <w:t>девалютизацию</w:t>
      </w:r>
      <w:proofErr w:type="spellEnd"/>
      <w:r>
        <w:rPr>
          <w:rFonts w:ascii="Times New Roman" w:hAnsi="Times New Roman" w:cs="Times New Roman"/>
          <w:sz w:val="28"/>
          <w:szCs w:val="28"/>
        </w:rPr>
        <w:t xml:space="preserve"> активов и пассивов экономических субъектов могло бы создание правовых возможностей по установлению отрицательных процентных ставок по депозитам юридических лиц в долларах США и евро.</w:t>
      </w:r>
    </w:p>
    <w:p w14:paraId="162C78C2" w14:textId="77777777" w:rsidR="00526573" w:rsidRDefault="00526573" w:rsidP="00DE6D3E">
      <w:pPr>
        <w:spacing w:after="0" w:line="360" w:lineRule="auto"/>
        <w:ind w:firstLine="709"/>
        <w:jc w:val="both"/>
        <w:rPr>
          <w:rFonts w:ascii="Times New Roman" w:hAnsi="Times New Roman" w:cs="Times New Roman"/>
          <w:sz w:val="28"/>
          <w:szCs w:val="28"/>
        </w:rPr>
      </w:pPr>
    </w:p>
    <w:p w14:paraId="2BF48358" w14:textId="54A1B220" w:rsidR="00526573" w:rsidRDefault="00526573">
      <w:pPr>
        <w:rPr>
          <w:rFonts w:ascii="Times New Roman" w:hAnsi="Times New Roman" w:cs="Times New Roman"/>
          <w:sz w:val="28"/>
          <w:szCs w:val="28"/>
        </w:rPr>
      </w:pPr>
      <w:r>
        <w:rPr>
          <w:rFonts w:ascii="Times New Roman" w:hAnsi="Times New Roman" w:cs="Times New Roman"/>
          <w:sz w:val="28"/>
          <w:szCs w:val="28"/>
        </w:rPr>
        <w:br w:type="page"/>
      </w:r>
    </w:p>
    <w:p w14:paraId="5A3B6903" w14:textId="3EDC9ADD" w:rsidR="005F7ADA" w:rsidRPr="00526573" w:rsidRDefault="00526573" w:rsidP="00526573">
      <w:pPr>
        <w:spacing w:after="0" w:line="360" w:lineRule="auto"/>
        <w:jc w:val="center"/>
        <w:rPr>
          <w:rFonts w:ascii="Times New Roman" w:hAnsi="Times New Roman" w:cs="Times New Roman"/>
          <w:b/>
          <w:bCs/>
          <w:sz w:val="28"/>
          <w:szCs w:val="28"/>
        </w:rPr>
      </w:pPr>
      <w:r w:rsidRPr="00526573">
        <w:rPr>
          <w:rFonts w:ascii="Times New Roman" w:hAnsi="Times New Roman" w:cs="Times New Roman"/>
          <w:b/>
          <w:bCs/>
          <w:sz w:val="28"/>
          <w:szCs w:val="28"/>
        </w:rPr>
        <w:lastRenderedPageBreak/>
        <w:t>СПИСОК ИСПОЛЬЗОВАННЫХ ИСТОЧНИКОВ</w:t>
      </w:r>
    </w:p>
    <w:p w14:paraId="1383EF93" w14:textId="478AA149" w:rsidR="005F7ADA" w:rsidRDefault="005F7ADA" w:rsidP="00DE6D3E">
      <w:pPr>
        <w:spacing w:after="0" w:line="360" w:lineRule="auto"/>
        <w:ind w:firstLine="709"/>
        <w:jc w:val="both"/>
        <w:rPr>
          <w:rFonts w:ascii="Times New Roman" w:hAnsi="Times New Roman" w:cs="Times New Roman"/>
          <w:sz w:val="28"/>
          <w:szCs w:val="28"/>
        </w:rPr>
      </w:pPr>
    </w:p>
    <w:p w14:paraId="0EDC06C6" w14:textId="77777777" w:rsidR="006B21F2" w:rsidRPr="006B21F2" w:rsidRDefault="006B21F2" w:rsidP="006B21F2">
      <w:pPr>
        <w:pStyle w:val="a6"/>
        <w:numPr>
          <w:ilvl w:val="0"/>
          <w:numId w:val="3"/>
        </w:numPr>
        <w:spacing w:after="0" w:line="360" w:lineRule="auto"/>
        <w:ind w:left="0" w:firstLine="709"/>
        <w:jc w:val="both"/>
        <w:rPr>
          <w:rFonts w:ascii="Times New Roman" w:hAnsi="Times New Roman" w:cs="Times New Roman"/>
          <w:sz w:val="28"/>
          <w:szCs w:val="28"/>
        </w:rPr>
      </w:pPr>
      <w:r w:rsidRPr="006B21F2">
        <w:rPr>
          <w:rFonts w:ascii="Times New Roman" w:hAnsi="Times New Roman" w:cs="Times New Roman"/>
          <w:sz w:val="28"/>
          <w:szCs w:val="28"/>
        </w:rPr>
        <w:t xml:space="preserve">Бородач, Ю. В. Инновации российского рынка производных финансовых инструментов: направления развития и влияние на экономическую стабильность / Ю. В. Бородач // Финансы и кредит. – 2015. – № 44. – С. 40. </w:t>
      </w:r>
    </w:p>
    <w:p w14:paraId="29FCA576" w14:textId="4FFCB453" w:rsidR="006B21F2" w:rsidRPr="006B21F2" w:rsidRDefault="006B21F2" w:rsidP="006B21F2">
      <w:pPr>
        <w:pStyle w:val="a6"/>
        <w:numPr>
          <w:ilvl w:val="0"/>
          <w:numId w:val="3"/>
        </w:numPr>
        <w:spacing w:after="0" w:line="360" w:lineRule="auto"/>
        <w:ind w:left="0" w:firstLine="709"/>
        <w:jc w:val="both"/>
        <w:rPr>
          <w:rFonts w:ascii="Times New Roman" w:hAnsi="Times New Roman" w:cs="Times New Roman"/>
          <w:sz w:val="28"/>
          <w:szCs w:val="28"/>
        </w:rPr>
      </w:pPr>
      <w:proofErr w:type="spellStart"/>
      <w:r w:rsidRPr="006B21F2">
        <w:rPr>
          <w:rFonts w:ascii="Times New Roman" w:hAnsi="Times New Roman" w:cs="Times New Roman"/>
          <w:sz w:val="28"/>
          <w:szCs w:val="28"/>
        </w:rPr>
        <w:t>Боташева</w:t>
      </w:r>
      <w:proofErr w:type="spellEnd"/>
      <w:r w:rsidR="00941755">
        <w:rPr>
          <w:rFonts w:ascii="Times New Roman" w:hAnsi="Times New Roman" w:cs="Times New Roman"/>
          <w:sz w:val="28"/>
          <w:szCs w:val="28"/>
        </w:rPr>
        <w:t>,</w:t>
      </w:r>
      <w:r w:rsidRPr="006B21F2">
        <w:rPr>
          <w:rFonts w:ascii="Times New Roman" w:hAnsi="Times New Roman" w:cs="Times New Roman"/>
          <w:sz w:val="28"/>
          <w:szCs w:val="28"/>
        </w:rPr>
        <w:t xml:space="preserve"> Л.</w:t>
      </w:r>
      <w:r w:rsidR="00941755">
        <w:rPr>
          <w:rFonts w:ascii="Times New Roman" w:hAnsi="Times New Roman" w:cs="Times New Roman"/>
          <w:sz w:val="28"/>
          <w:szCs w:val="28"/>
        </w:rPr>
        <w:t xml:space="preserve"> </w:t>
      </w:r>
      <w:r w:rsidRPr="006B21F2">
        <w:rPr>
          <w:rFonts w:ascii="Times New Roman" w:hAnsi="Times New Roman" w:cs="Times New Roman"/>
          <w:sz w:val="28"/>
          <w:szCs w:val="28"/>
        </w:rPr>
        <w:t xml:space="preserve">Х., Особенности управления рисками в организациях металлургической отрасли/ </w:t>
      </w:r>
      <w:proofErr w:type="spellStart"/>
      <w:r w:rsidRPr="006B21F2">
        <w:rPr>
          <w:rFonts w:ascii="Times New Roman" w:hAnsi="Times New Roman" w:cs="Times New Roman"/>
          <w:sz w:val="28"/>
          <w:szCs w:val="28"/>
        </w:rPr>
        <w:t>Боташева</w:t>
      </w:r>
      <w:proofErr w:type="spellEnd"/>
      <w:r w:rsidRPr="006B21F2">
        <w:rPr>
          <w:rFonts w:ascii="Times New Roman" w:hAnsi="Times New Roman" w:cs="Times New Roman"/>
          <w:sz w:val="28"/>
          <w:szCs w:val="28"/>
        </w:rPr>
        <w:t xml:space="preserve"> Л.</w:t>
      </w:r>
      <w:r w:rsidR="00941755">
        <w:rPr>
          <w:rFonts w:ascii="Times New Roman" w:hAnsi="Times New Roman" w:cs="Times New Roman"/>
          <w:sz w:val="28"/>
          <w:szCs w:val="28"/>
        </w:rPr>
        <w:t xml:space="preserve"> </w:t>
      </w:r>
      <w:r w:rsidRPr="006B21F2">
        <w:rPr>
          <w:rFonts w:ascii="Times New Roman" w:hAnsi="Times New Roman" w:cs="Times New Roman"/>
          <w:sz w:val="28"/>
          <w:szCs w:val="28"/>
        </w:rPr>
        <w:t xml:space="preserve">Х., </w:t>
      </w:r>
      <w:proofErr w:type="spellStart"/>
      <w:r w:rsidRPr="006B21F2">
        <w:rPr>
          <w:rFonts w:ascii="Times New Roman" w:hAnsi="Times New Roman" w:cs="Times New Roman"/>
          <w:sz w:val="28"/>
          <w:szCs w:val="28"/>
        </w:rPr>
        <w:t>Желтенков</w:t>
      </w:r>
      <w:proofErr w:type="spellEnd"/>
      <w:r w:rsidRPr="006B21F2">
        <w:rPr>
          <w:rFonts w:ascii="Times New Roman" w:hAnsi="Times New Roman" w:cs="Times New Roman"/>
          <w:sz w:val="28"/>
          <w:szCs w:val="28"/>
        </w:rPr>
        <w:t xml:space="preserve"> А. В., Бурова Е. А. // Вестник МГОУ. Серия: Экономика. 2018. №3. – С. 46. </w:t>
      </w:r>
    </w:p>
    <w:p w14:paraId="5C6456F0" w14:textId="77777777" w:rsidR="006B21F2" w:rsidRPr="006B21F2" w:rsidRDefault="006B21F2" w:rsidP="006B21F2">
      <w:pPr>
        <w:pStyle w:val="a6"/>
        <w:numPr>
          <w:ilvl w:val="0"/>
          <w:numId w:val="3"/>
        </w:numPr>
        <w:spacing w:after="0" w:line="360" w:lineRule="auto"/>
        <w:ind w:left="0" w:firstLine="709"/>
        <w:jc w:val="both"/>
        <w:rPr>
          <w:rFonts w:ascii="Times New Roman" w:hAnsi="Times New Roman" w:cs="Times New Roman"/>
          <w:sz w:val="28"/>
          <w:szCs w:val="28"/>
        </w:rPr>
      </w:pPr>
      <w:r w:rsidRPr="006B21F2">
        <w:rPr>
          <w:rFonts w:ascii="Times New Roman" w:hAnsi="Times New Roman" w:cs="Times New Roman"/>
          <w:sz w:val="28"/>
          <w:szCs w:val="28"/>
        </w:rPr>
        <w:t>Ваганова, О. В. Влияние экономических санкций на инновационное развитие России/ О. В. Ваганова // Научные ведомости Белгородского государственного университета Экономика. Информатика, Т16, №1, март 2019. – 21-31.</w:t>
      </w:r>
    </w:p>
    <w:p w14:paraId="10682270" w14:textId="3A675796" w:rsidR="006B21F2" w:rsidRPr="006B21F2" w:rsidRDefault="006B21F2" w:rsidP="006B21F2">
      <w:pPr>
        <w:pStyle w:val="a6"/>
        <w:numPr>
          <w:ilvl w:val="0"/>
          <w:numId w:val="3"/>
        </w:numPr>
        <w:spacing w:after="0" w:line="360" w:lineRule="auto"/>
        <w:ind w:left="0" w:firstLine="709"/>
        <w:jc w:val="both"/>
        <w:rPr>
          <w:rFonts w:ascii="Times New Roman" w:hAnsi="Times New Roman" w:cs="Times New Roman"/>
          <w:sz w:val="28"/>
          <w:szCs w:val="28"/>
        </w:rPr>
      </w:pPr>
      <w:r w:rsidRPr="006B21F2">
        <w:rPr>
          <w:rFonts w:ascii="Times New Roman" w:hAnsi="Times New Roman" w:cs="Times New Roman"/>
          <w:sz w:val="28"/>
          <w:szCs w:val="28"/>
        </w:rPr>
        <w:t>Галанов, В. А. Производные финансовые инструменты : учебник / В.</w:t>
      </w:r>
      <w:r w:rsidR="00941755">
        <w:rPr>
          <w:rFonts w:ascii="Times New Roman" w:hAnsi="Times New Roman" w:cs="Times New Roman"/>
          <w:sz w:val="28"/>
          <w:szCs w:val="28"/>
        </w:rPr>
        <w:t xml:space="preserve"> </w:t>
      </w:r>
      <w:r w:rsidRPr="006B21F2">
        <w:rPr>
          <w:rFonts w:ascii="Times New Roman" w:hAnsi="Times New Roman" w:cs="Times New Roman"/>
          <w:sz w:val="28"/>
          <w:szCs w:val="28"/>
        </w:rPr>
        <w:t xml:space="preserve">А. Галанов. – 2-е </w:t>
      </w:r>
      <w:proofErr w:type="spellStart"/>
      <w:r w:rsidRPr="006B21F2">
        <w:rPr>
          <w:rFonts w:ascii="Times New Roman" w:hAnsi="Times New Roman" w:cs="Times New Roman"/>
          <w:sz w:val="28"/>
          <w:szCs w:val="28"/>
        </w:rPr>
        <w:t>изд</w:t>
      </w:r>
      <w:proofErr w:type="spellEnd"/>
      <w:r w:rsidRPr="006B21F2">
        <w:rPr>
          <w:rFonts w:ascii="Times New Roman" w:hAnsi="Times New Roman" w:cs="Times New Roman"/>
          <w:sz w:val="28"/>
          <w:szCs w:val="28"/>
        </w:rPr>
        <w:t xml:space="preserve">, </w:t>
      </w:r>
      <w:proofErr w:type="spellStart"/>
      <w:r w:rsidRPr="006B21F2">
        <w:rPr>
          <w:rFonts w:ascii="Times New Roman" w:hAnsi="Times New Roman" w:cs="Times New Roman"/>
          <w:sz w:val="28"/>
          <w:szCs w:val="28"/>
        </w:rPr>
        <w:t>перераб</w:t>
      </w:r>
      <w:proofErr w:type="spellEnd"/>
      <w:r w:rsidRPr="006B21F2">
        <w:rPr>
          <w:rFonts w:ascii="Times New Roman" w:hAnsi="Times New Roman" w:cs="Times New Roman"/>
          <w:sz w:val="28"/>
          <w:szCs w:val="28"/>
        </w:rPr>
        <w:t xml:space="preserve">. и доп. – Москва : ИНФРА-М, 2017. – 221 с. </w:t>
      </w:r>
    </w:p>
    <w:p w14:paraId="05FDCFB9" w14:textId="4E21332C" w:rsidR="006B21F2" w:rsidRPr="006B21F2" w:rsidRDefault="006B21F2" w:rsidP="006B21F2">
      <w:pPr>
        <w:pStyle w:val="a6"/>
        <w:numPr>
          <w:ilvl w:val="0"/>
          <w:numId w:val="3"/>
        </w:numPr>
        <w:spacing w:after="0" w:line="360" w:lineRule="auto"/>
        <w:ind w:left="0" w:firstLine="709"/>
        <w:jc w:val="both"/>
        <w:rPr>
          <w:rFonts w:ascii="Times New Roman" w:hAnsi="Times New Roman" w:cs="Times New Roman"/>
          <w:sz w:val="28"/>
          <w:szCs w:val="28"/>
        </w:rPr>
      </w:pPr>
      <w:proofErr w:type="spellStart"/>
      <w:r w:rsidRPr="006B21F2">
        <w:rPr>
          <w:rFonts w:ascii="Times New Roman" w:hAnsi="Times New Roman" w:cs="Times New Roman"/>
          <w:sz w:val="28"/>
          <w:szCs w:val="28"/>
        </w:rPr>
        <w:t>Заернюк</w:t>
      </w:r>
      <w:proofErr w:type="spellEnd"/>
      <w:r w:rsidR="00941755">
        <w:rPr>
          <w:rFonts w:ascii="Times New Roman" w:hAnsi="Times New Roman" w:cs="Times New Roman"/>
          <w:sz w:val="28"/>
          <w:szCs w:val="28"/>
        </w:rPr>
        <w:t>,</w:t>
      </w:r>
      <w:r w:rsidRPr="006B21F2">
        <w:rPr>
          <w:rFonts w:ascii="Times New Roman" w:hAnsi="Times New Roman" w:cs="Times New Roman"/>
          <w:sz w:val="28"/>
          <w:szCs w:val="28"/>
        </w:rPr>
        <w:t xml:space="preserve"> В.</w:t>
      </w:r>
      <w:r w:rsidR="00941755">
        <w:rPr>
          <w:rFonts w:ascii="Times New Roman" w:hAnsi="Times New Roman" w:cs="Times New Roman"/>
          <w:sz w:val="28"/>
          <w:szCs w:val="28"/>
        </w:rPr>
        <w:t xml:space="preserve"> </w:t>
      </w:r>
      <w:r w:rsidRPr="006B21F2">
        <w:rPr>
          <w:rFonts w:ascii="Times New Roman" w:hAnsi="Times New Roman" w:cs="Times New Roman"/>
          <w:sz w:val="28"/>
          <w:szCs w:val="28"/>
        </w:rPr>
        <w:t xml:space="preserve">М., Методологические подходы к оценке валютного риска золотодобывающих предприятий/ </w:t>
      </w:r>
      <w:proofErr w:type="spellStart"/>
      <w:r w:rsidRPr="006B21F2">
        <w:rPr>
          <w:rFonts w:ascii="Times New Roman" w:hAnsi="Times New Roman" w:cs="Times New Roman"/>
          <w:sz w:val="28"/>
          <w:szCs w:val="28"/>
        </w:rPr>
        <w:t>Заернюк</w:t>
      </w:r>
      <w:proofErr w:type="spellEnd"/>
      <w:r w:rsidRPr="006B21F2">
        <w:rPr>
          <w:rFonts w:ascii="Times New Roman" w:hAnsi="Times New Roman" w:cs="Times New Roman"/>
          <w:sz w:val="28"/>
          <w:szCs w:val="28"/>
        </w:rPr>
        <w:t xml:space="preserve"> В.</w:t>
      </w:r>
      <w:r w:rsidR="00941755">
        <w:rPr>
          <w:rFonts w:ascii="Times New Roman" w:hAnsi="Times New Roman" w:cs="Times New Roman"/>
          <w:sz w:val="28"/>
          <w:szCs w:val="28"/>
        </w:rPr>
        <w:t xml:space="preserve"> </w:t>
      </w:r>
      <w:r w:rsidRPr="006B21F2">
        <w:rPr>
          <w:rFonts w:ascii="Times New Roman" w:hAnsi="Times New Roman" w:cs="Times New Roman"/>
          <w:sz w:val="28"/>
          <w:szCs w:val="28"/>
        </w:rPr>
        <w:t xml:space="preserve">М., </w:t>
      </w:r>
      <w:proofErr w:type="spellStart"/>
      <w:r w:rsidRPr="006B21F2">
        <w:rPr>
          <w:rFonts w:ascii="Times New Roman" w:hAnsi="Times New Roman" w:cs="Times New Roman"/>
          <w:sz w:val="28"/>
          <w:szCs w:val="28"/>
        </w:rPr>
        <w:t>Снитко</w:t>
      </w:r>
      <w:proofErr w:type="spellEnd"/>
      <w:r w:rsidRPr="006B21F2">
        <w:rPr>
          <w:rFonts w:ascii="Times New Roman" w:hAnsi="Times New Roman" w:cs="Times New Roman"/>
          <w:sz w:val="28"/>
          <w:szCs w:val="28"/>
        </w:rPr>
        <w:t xml:space="preserve"> Н.</w:t>
      </w:r>
      <w:r w:rsidR="00941755">
        <w:rPr>
          <w:rFonts w:ascii="Times New Roman" w:hAnsi="Times New Roman" w:cs="Times New Roman"/>
          <w:sz w:val="28"/>
          <w:szCs w:val="28"/>
        </w:rPr>
        <w:t xml:space="preserve"> </w:t>
      </w:r>
      <w:r w:rsidRPr="006B21F2">
        <w:rPr>
          <w:rFonts w:ascii="Times New Roman" w:hAnsi="Times New Roman" w:cs="Times New Roman"/>
          <w:sz w:val="28"/>
          <w:szCs w:val="28"/>
        </w:rPr>
        <w:t>О. // Финансовая аналитика: проблемы и решения. 2018. №2. – С.171.</w:t>
      </w:r>
    </w:p>
    <w:p w14:paraId="7516A60C" w14:textId="248EF349" w:rsidR="006B21F2" w:rsidRPr="006B21F2" w:rsidRDefault="006B21F2" w:rsidP="006B21F2">
      <w:pPr>
        <w:pStyle w:val="a6"/>
        <w:numPr>
          <w:ilvl w:val="0"/>
          <w:numId w:val="3"/>
        </w:numPr>
        <w:spacing w:after="0" w:line="360" w:lineRule="auto"/>
        <w:ind w:left="0" w:firstLine="709"/>
        <w:jc w:val="both"/>
        <w:rPr>
          <w:rFonts w:ascii="Times New Roman" w:hAnsi="Times New Roman" w:cs="Times New Roman"/>
          <w:sz w:val="28"/>
          <w:szCs w:val="28"/>
        </w:rPr>
      </w:pPr>
      <w:r w:rsidRPr="006B21F2">
        <w:rPr>
          <w:rFonts w:ascii="Times New Roman" w:hAnsi="Times New Roman" w:cs="Times New Roman"/>
          <w:sz w:val="28"/>
          <w:szCs w:val="28"/>
        </w:rPr>
        <w:t>Каримова, Т. Г. Производные финансовые инструменты: текст лекций / Т.</w:t>
      </w:r>
      <w:r w:rsidR="00941755">
        <w:rPr>
          <w:rFonts w:ascii="Times New Roman" w:hAnsi="Times New Roman" w:cs="Times New Roman"/>
          <w:sz w:val="28"/>
          <w:szCs w:val="28"/>
        </w:rPr>
        <w:t xml:space="preserve"> </w:t>
      </w:r>
      <w:r w:rsidRPr="006B21F2">
        <w:rPr>
          <w:rFonts w:ascii="Times New Roman" w:hAnsi="Times New Roman" w:cs="Times New Roman"/>
          <w:sz w:val="28"/>
          <w:szCs w:val="28"/>
        </w:rPr>
        <w:t xml:space="preserve">Г. Каримова. – Челябинск: Издательский центр </w:t>
      </w:r>
      <w:proofErr w:type="spellStart"/>
      <w:r w:rsidRPr="006B21F2">
        <w:rPr>
          <w:rFonts w:ascii="Times New Roman" w:hAnsi="Times New Roman" w:cs="Times New Roman"/>
          <w:sz w:val="28"/>
          <w:szCs w:val="28"/>
        </w:rPr>
        <w:t>ЮУрГУ</w:t>
      </w:r>
      <w:proofErr w:type="spellEnd"/>
      <w:r w:rsidRPr="006B21F2">
        <w:rPr>
          <w:rFonts w:ascii="Times New Roman" w:hAnsi="Times New Roman" w:cs="Times New Roman"/>
          <w:sz w:val="28"/>
          <w:szCs w:val="28"/>
        </w:rPr>
        <w:t>. 2014. – 85 с.</w:t>
      </w:r>
    </w:p>
    <w:p w14:paraId="00ED2342" w14:textId="77777777" w:rsidR="006B21F2" w:rsidRPr="006B21F2" w:rsidRDefault="006B21F2" w:rsidP="006B21F2">
      <w:pPr>
        <w:pStyle w:val="a6"/>
        <w:numPr>
          <w:ilvl w:val="0"/>
          <w:numId w:val="3"/>
        </w:numPr>
        <w:spacing w:after="0" w:line="360" w:lineRule="auto"/>
        <w:ind w:left="0" w:firstLine="709"/>
        <w:jc w:val="both"/>
        <w:rPr>
          <w:rFonts w:ascii="Times New Roman" w:hAnsi="Times New Roman" w:cs="Times New Roman"/>
          <w:sz w:val="28"/>
          <w:szCs w:val="28"/>
        </w:rPr>
      </w:pPr>
      <w:proofErr w:type="spellStart"/>
      <w:r w:rsidRPr="006B21F2">
        <w:rPr>
          <w:rFonts w:ascii="Times New Roman" w:hAnsi="Times New Roman" w:cs="Times New Roman"/>
          <w:sz w:val="28"/>
          <w:szCs w:val="28"/>
        </w:rPr>
        <w:t>Красоченков</w:t>
      </w:r>
      <w:proofErr w:type="spellEnd"/>
      <w:r w:rsidRPr="006B21F2">
        <w:rPr>
          <w:rFonts w:ascii="Times New Roman" w:hAnsi="Times New Roman" w:cs="Times New Roman"/>
          <w:sz w:val="28"/>
          <w:szCs w:val="28"/>
        </w:rPr>
        <w:t xml:space="preserve">, С., Федосеева, Т. Перспективные направления развития российского рынка производных финансовых инструментов / С. </w:t>
      </w:r>
      <w:proofErr w:type="spellStart"/>
      <w:r w:rsidRPr="006B21F2">
        <w:rPr>
          <w:rFonts w:ascii="Times New Roman" w:hAnsi="Times New Roman" w:cs="Times New Roman"/>
          <w:sz w:val="28"/>
          <w:szCs w:val="28"/>
        </w:rPr>
        <w:t>Кра-соченков</w:t>
      </w:r>
      <w:proofErr w:type="spellEnd"/>
      <w:r w:rsidRPr="006B21F2">
        <w:rPr>
          <w:rFonts w:ascii="Times New Roman" w:hAnsi="Times New Roman" w:cs="Times New Roman"/>
          <w:sz w:val="28"/>
          <w:szCs w:val="28"/>
        </w:rPr>
        <w:t>, Т. Федосеева // Научные записки молодых исследователей. –2016. – №6. – С. 21–26.</w:t>
      </w:r>
    </w:p>
    <w:p w14:paraId="246E490F" w14:textId="6B227928" w:rsidR="006B21F2" w:rsidRPr="006B21F2" w:rsidRDefault="006B21F2" w:rsidP="006B21F2">
      <w:pPr>
        <w:pStyle w:val="a6"/>
        <w:numPr>
          <w:ilvl w:val="0"/>
          <w:numId w:val="3"/>
        </w:numPr>
        <w:spacing w:after="0" w:line="360" w:lineRule="auto"/>
        <w:ind w:left="0" w:firstLine="709"/>
        <w:jc w:val="both"/>
        <w:rPr>
          <w:rFonts w:ascii="Times New Roman" w:hAnsi="Times New Roman" w:cs="Times New Roman"/>
          <w:sz w:val="28"/>
          <w:szCs w:val="28"/>
        </w:rPr>
      </w:pPr>
      <w:r w:rsidRPr="006B21F2">
        <w:rPr>
          <w:rFonts w:ascii="Times New Roman" w:hAnsi="Times New Roman" w:cs="Times New Roman"/>
          <w:sz w:val="28"/>
          <w:szCs w:val="28"/>
        </w:rPr>
        <w:t>Лобанова</w:t>
      </w:r>
      <w:r w:rsidR="00941755">
        <w:rPr>
          <w:rFonts w:ascii="Times New Roman" w:hAnsi="Times New Roman" w:cs="Times New Roman"/>
          <w:sz w:val="28"/>
          <w:szCs w:val="28"/>
        </w:rPr>
        <w:t>,</w:t>
      </w:r>
      <w:r w:rsidRPr="006B21F2">
        <w:rPr>
          <w:rFonts w:ascii="Times New Roman" w:hAnsi="Times New Roman" w:cs="Times New Roman"/>
          <w:sz w:val="28"/>
          <w:szCs w:val="28"/>
        </w:rPr>
        <w:t xml:space="preserve"> М.</w:t>
      </w:r>
      <w:r w:rsidR="00941755">
        <w:rPr>
          <w:rFonts w:ascii="Times New Roman" w:hAnsi="Times New Roman" w:cs="Times New Roman"/>
          <w:sz w:val="28"/>
          <w:szCs w:val="28"/>
        </w:rPr>
        <w:t xml:space="preserve"> </w:t>
      </w:r>
      <w:r w:rsidRPr="006B21F2">
        <w:rPr>
          <w:rFonts w:ascii="Times New Roman" w:hAnsi="Times New Roman" w:cs="Times New Roman"/>
          <w:sz w:val="28"/>
          <w:szCs w:val="28"/>
        </w:rPr>
        <w:t xml:space="preserve">А. Российский рынок </w:t>
      </w:r>
      <w:proofErr w:type="spellStart"/>
      <w:r w:rsidRPr="006B21F2">
        <w:rPr>
          <w:rFonts w:ascii="Times New Roman" w:hAnsi="Times New Roman" w:cs="Times New Roman"/>
          <w:sz w:val="28"/>
          <w:szCs w:val="28"/>
        </w:rPr>
        <w:t>деривативов</w:t>
      </w:r>
      <w:proofErr w:type="spellEnd"/>
      <w:r w:rsidRPr="006B21F2">
        <w:rPr>
          <w:rFonts w:ascii="Times New Roman" w:hAnsi="Times New Roman" w:cs="Times New Roman"/>
          <w:sz w:val="28"/>
          <w:szCs w:val="28"/>
        </w:rPr>
        <w:t xml:space="preserve">: особенности развития и проблемы интеграции в мировую финансовую систему // </w:t>
      </w:r>
      <w:proofErr w:type="spellStart"/>
      <w:r w:rsidRPr="006B21F2">
        <w:rPr>
          <w:rFonts w:ascii="Times New Roman" w:hAnsi="Times New Roman" w:cs="Times New Roman"/>
          <w:sz w:val="28"/>
          <w:szCs w:val="28"/>
        </w:rPr>
        <w:t>Иннов</w:t>
      </w:r>
      <w:proofErr w:type="spellEnd"/>
      <w:r w:rsidRPr="006B21F2">
        <w:rPr>
          <w:rFonts w:ascii="Times New Roman" w:hAnsi="Times New Roman" w:cs="Times New Roman"/>
          <w:sz w:val="28"/>
          <w:szCs w:val="28"/>
        </w:rPr>
        <w:t xml:space="preserve">: электронный научный журнал, 2018. </w:t>
      </w:r>
      <w:r w:rsidRPr="006B21F2">
        <w:rPr>
          <w:rFonts w:ascii="Times New Roman" w:hAnsi="Times New Roman" w:cs="Times New Roman"/>
          <w:sz w:val="28"/>
          <w:szCs w:val="28"/>
          <w:lang w:val="en-US"/>
        </w:rPr>
        <w:t xml:space="preserve">№6 (39). </w:t>
      </w:r>
    </w:p>
    <w:p w14:paraId="35F59320" w14:textId="58035052" w:rsidR="006B21F2" w:rsidRPr="006B21F2" w:rsidRDefault="006B21F2" w:rsidP="006B21F2">
      <w:pPr>
        <w:pStyle w:val="a6"/>
        <w:numPr>
          <w:ilvl w:val="0"/>
          <w:numId w:val="3"/>
        </w:numPr>
        <w:spacing w:after="0" w:line="360" w:lineRule="auto"/>
        <w:ind w:left="0" w:firstLine="709"/>
        <w:jc w:val="both"/>
        <w:rPr>
          <w:rFonts w:ascii="Times New Roman" w:hAnsi="Times New Roman" w:cs="Times New Roman"/>
          <w:sz w:val="28"/>
          <w:szCs w:val="28"/>
        </w:rPr>
      </w:pPr>
      <w:proofErr w:type="spellStart"/>
      <w:r w:rsidRPr="006B21F2">
        <w:rPr>
          <w:rFonts w:ascii="Times New Roman" w:hAnsi="Times New Roman" w:cs="Times New Roman"/>
          <w:sz w:val="28"/>
          <w:szCs w:val="28"/>
        </w:rPr>
        <w:t>Макшанова</w:t>
      </w:r>
      <w:proofErr w:type="spellEnd"/>
      <w:r w:rsidRPr="006B21F2">
        <w:rPr>
          <w:rFonts w:ascii="Times New Roman" w:hAnsi="Times New Roman" w:cs="Times New Roman"/>
          <w:sz w:val="28"/>
          <w:szCs w:val="28"/>
        </w:rPr>
        <w:t>, А. В. Производные финансовые инструменты: понятие, виды и основные стратегии использования / А.</w:t>
      </w:r>
      <w:r w:rsidR="00941755">
        <w:rPr>
          <w:rFonts w:ascii="Times New Roman" w:hAnsi="Times New Roman" w:cs="Times New Roman"/>
          <w:sz w:val="28"/>
          <w:szCs w:val="28"/>
        </w:rPr>
        <w:t xml:space="preserve"> </w:t>
      </w:r>
      <w:r w:rsidRPr="006B21F2">
        <w:rPr>
          <w:rFonts w:ascii="Times New Roman" w:hAnsi="Times New Roman" w:cs="Times New Roman"/>
          <w:sz w:val="28"/>
          <w:szCs w:val="28"/>
        </w:rPr>
        <w:t xml:space="preserve">В. </w:t>
      </w:r>
      <w:proofErr w:type="spellStart"/>
      <w:r w:rsidRPr="006B21F2">
        <w:rPr>
          <w:rFonts w:ascii="Times New Roman" w:hAnsi="Times New Roman" w:cs="Times New Roman"/>
          <w:sz w:val="28"/>
          <w:szCs w:val="28"/>
        </w:rPr>
        <w:t>Макшанова</w:t>
      </w:r>
      <w:proofErr w:type="spellEnd"/>
      <w:r w:rsidRPr="006B21F2">
        <w:rPr>
          <w:rFonts w:ascii="Times New Roman" w:hAnsi="Times New Roman" w:cs="Times New Roman"/>
          <w:sz w:val="28"/>
          <w:szCs w:val="28"/>
        </w:rPr>
        <w:t xml:space="preserve"> // Молодой ученый. 2014. – №11. – С. 214–216. </w:t>
      </w:r>
    </w:p>
    <w:p w14:paraId="291A0D54" w14:textId="2C9EAAFF" w:rsidR="006B21F2" w:rsidRPr="006B21F2" w:rsidRDefault="006B21F2" w:rsidP="006B21F2">
      <w:pPr>
        <w:pStyle w:val="a6"/>
        <w:numPr>
          <w:ilvl w:val="0"/>
          <w:numId w:val="3"/>
        </w:numPr>
        <w:spacing w:after="0" w:line="360" w:lineRule="auto"/>
        <w:ind w:left="0" w:firstLine="709"/>
        <w:jc w:val="both"/>
        <w:rPr>
          <w:rFonts w:ascii="Times New Roman" w:hAnsi="Times New Roman" w:cs="Times New Roman"/>
          <w:sz w:val="28"/>
          <w:szCs w:val="28"/>
        </w:rPr>
      </w:pPr>
      <w:r w:rsidRPr="006B21F2">
        <w:rPr>
          <w:rFonts w:ascii="Times New Roman" w:hAnsi="Times New Roman" w:cs="Times New Roman"/>
          <w:sz w:val="28"/>
          <w:szCs w:val="28"/>
        </w:rPr>
        <w:lastRenderedPageBreak/>
        <w:t>Международные валютно-кредитные отношения – Электронное учебное пособие / В.</w:t>
      </w:r>
      <w:r w:rsidR="00941755">
        <w:rPr>
          <w:rFonts w:ascii="Times New Roman" w:hAnsi="Times New Roman" w:cs="Times New Roman"/>
          <w:sz w:val="28"/>
          <w:szCs w:val="28"/>
        </w:rPr>
        <w:t xml:space="preserve"> </w:t>
      </w:r>
      <w:r w:rsidRPr="006B21F2">
        <w:rPr>
          <w:rFonts w:ascii="Times New Roman" w:hAnsi="Times New Roman" w:cs="Times New Roman"/>
          <w:sz w:val="28"/>
          <w:szCs w:val="28"/>
        </w:rPr>
        <w:t xml:space="preserve">В. Заболоцкая. </w:t>
      </w:r>
      <w:r w:rsidR="00941755">
        <w:rPr>
          <w:rFonts w:ascii="Times New Roman" w:hAnsi="Times New Roman" w:cs="Times New Roman"/>
          <w:sz w:val="28"/>
          <w:szCs w:val="28"/>
        </w:rPr>
        <w:t xml:space="preserve">– </w:t>
      </w:r>
      <w:r w:rsidRPr="006B21F2">
        <w:rPr>
          <w:rFonts w:ascii="Times New Roman" w:hAnsi="Times New Roman" w:cs="Times New Roman"/>
          <w:sz w:val="28"/>
          <w:szCs w:val="28"/>
        </w:rPr>
        <w:t xml:space="preserve">3-е изд., </w:t>
      </w:r>
      <w:proofErr w:type="spellStart"/>
      <w:r w:rsidRPr="006B21F2">
        <w:rPr>
          <w:rFonts w:ascii="Times New Roman" w:hAnsi="Times New Roman" w:cs="Times New Roman"/>
          <w:sz w:val="28"/>
          <w:szCs w:val="28"/>
        </w:rPr>
        <w:t>перераб</w:t>
      </w:r>
      <w:proofErr w:type="spellEnd"/>
      <w:r w:rsidRPr="006B21F2">
        <w:rPr>
          <w:rFonts w:ascii="Times New Roman" w:hAnsi="Times New Roman" w:cs="Times New Roman"/>
          <w:sz w:val="28"/>
          <w:szCs w:val="28"/>
        </w:rPr>
        <w:t xml:space="preserve">. и доп. – Майкоп : </w:t>
      </w:r>
      <w:proofErr w:type="spellStart"/>
      <w:r w:rsidRPr="006B21F2">
        <w:rPr>
          <w:rFonts w:ascii="Times New Roman" w:hAnsi="Times New Roman" w:cs="Times New Roman"/>
          <w:sz w:val="28"/>
          <w:szCs w:val="28"/>
        </w:rPr>
        <w:t>ЭлИТ</w:t>
      </w:r>
      <w:proofErr w:type="spellEnd"/>
      <w:r w:rsidRPr="006B21F2">
        <w:rPr>
          <w:rFonts w:ascii="Times New Roman" w:hAnsi="Times New Roman" w:cs="Times New Roman"/>
          <w:sz w:val="28"/>
          <w:szCs w:val="28"/>
        </w:rPr>
        <w:t xml:space="preserve">, 2016. – 1 электрон. </w:t>
      </w:r>
      <w:proofErr w:type="spellStart"/>
      <w:r w:rsidRPr="006B21F2">
        <w:rPr>
          <w:rFonts w:ascii="Times New Roman" w:hAnsi="Times New Roman" w:cs="Times New Roman"/>
          <w:sz w:val="28"/>
          <w:szCs w:val="28"/>
        </w:rPr>
        <w:t>опт.диск</w:t>
      </w:r>
      <w:proofErr w:type="spellEnd"/>
      <w:r w:rsidRPr="006B21F2">
        <w:rPr>
          <w:rFonts w:ascii="Times New Roman" w:hAnsi="Times New Roman" w:cs="Times New Roman"/>
          <w:sz w:val="28"/>
          <w:szCs w:val="28"/>
        </w:rPr>
        <w:t xml:space="preserve"> (CD-R).</w:t>
      </w:r>
    </w:p>
    <w:p w14:paraId="677E1173" w14:textId="348C5D22" w:rsidR="006B21F2" w:rsidRPr="006B21F2" w:rsidRDefault="006B21F2" w:rsidP="006B21F2">
      <w:pPr>
        <w:pStyle w:val="a6"/>
        <w:numPr>
          <w:ilvl w:val="0"/>
          <w:numId w:val="3"/>
        </w:numPr>
        <w:spacing w:after="0" w:line="360" w:lineRule="auto"/>
        <w:ind w:left="0" w:firstLine="709"/>
        <w:jc w:val="both"/>
        <w:rPr>
          <w:rFonts w:ascii="Times New Roman" w:hAnsi="Times New Roman" w:cs="Times New Roman"/>
          <w:sz w:val="28"/>
          <w:szCs w:val="28"/>
        </w:rPr>
      </w:pPr>
      <w:r w:rsidRPr="006B21F2">
        <w:rPr>
          <w:rFonts w:ascii="Times New Roman" w:hAnsi="Times New Roman" w:cs="Times New Roman"/>
          <w:sz w:val="28"/>
          <w:szCs w:val="28"/>
        </w:rPr>
        <w:t>Мельникова</w:t>
      </w:r>
      <w:r w:rsidR="00941755">
        <w:rPr>
          <w:rFonts w:ascii="Times New Roman" w:hAnsi="Times New Roman" w:cs="Times New Roman"/>
          <w:sz w:val="28"/>
          <w:szCs w:val="28"/>
        </w:rPr>
        <w:t>,</w:t>
      </w:r>
      <w:r w:rsidRPr="006B21F2">
        <w:rPr>
          <w:rFonts w:ascii="Times New Roman" w:hAnsi="Times New Roman" w:cs="Times New Roman"/>
          <w:sz w:val="28"/>
          <w:szCs w:val="28"/>
        </w:rPr>
        <w:t xml:space="preserve"> Н.</w:t>
      </w:r>
      <w:r w:rsidR="00941755">
        <w:rPr>
          <w:rFonts w:ascii="Times New Roman" w:hAnsi="Times New Roman" w:cs="Times New Roman"/>
          <w:sz w:val="28"/>
          <w:szCs w:val="28"/>
        </w:rPr>
        <w:t xml:space="preserve"> </w:t>
      </w:r>
      <w:r w:rsidRPr="006B21F2">
        <w:rPr>
          <w:rFonts w:ascii="Times New Roman" w:hAnsi="Times New Roman" w:cs="Times New Roman"/>
          <w:sz w:val="28"/>
          <w:szCs w:val="28"/>
        </w:rPr>
        <w:t xml:space="preserve">С., </w:t>
      </w:r>
      <w:proofErr w:type="spellStart"/>
      <w:r w:rsidRPr="006B21F2">
        <w:rPr>
          <w:rFonts w:ascii="Times New Roman" w:hAnsi="Times New Roman" w:cs="Times New Roman"/>
          <w:sz w:val="28"/>
          <w:szCs w:val="28"/>
        </w:rPr>
        <w:t>Коннова</w:t>
      </w:r>
      <w:proofErr w:type="spellEnd"/>
      <w:r w:rsidR="00941755">
        <w:rPr>
          <w:rFonts w:ascii="Times New Roman" w:hAnsi="Times New Roman" w:cs="Times New Roman"/>
          <w:sz w:val="28"/>
          <w:szCs w:val="28"/>
        </w:rPr>
        <w:t>,</w:t>
      </w:r>
      <w:r w:rsidRPr="006B21F2">
        <w:rPr>
          <w:rFonts w:ascii="Times New Roman" w:hAnsi="Times New Roman" w:cs="Times New Roman"/>
          <w:sz w:val="28"/>
          <w:szCs w:val="28"/>
        </w:rPr>
        <w:t xml:space="preserve"> А.</w:t>
      </w:r>
      <w:r w:rsidR="00941755">
        <w:rPr>
          <w:rFonts w:ascii="Times New Roman" w:hAnsi="Times New Roman" w:cs="Times New Roman"/>
          <w:sz w:val="28"/>
          <w:szCs w:val="28"/>
        </w:rPr>
        <w:t xml:space="preserve"> </w:t>
      </w:r>
      <w:r w:rsidRPr="006B21F2">
        <w:rPr>
          <w:rFonts w:ascii="Times New Roman" w:hAnsi="Times New Roman" w:cs="Times New Roman"/>
          <w:sz w:val="28"/>
          <w:szCs w:val="28"/>
        </w:rPr>
        <w:t xml:space="preserve">В., </w:t>
      </w:r>
      <w:proofErr w:type="spellStart"/>
      <w:r w:rsidRPr="006B21F2">
        <w:rPr>
          <w:rFonts w:ascii="Times New Roman" w:hAnsi="Times New Roman" w:cs="Times New Roman"/>
          <w:sz w:val="28"/>
          <w:szCs w:val="28"/>
        </w:rPr>
        <w:t>Логвинова</w:t>
      </w:r>
      <w:proofErr w:type="spellEnd"/>
      <w:r w:rsidR="00941755">
        <w:rPr>
          <w:rFonts w:ascii="Times New Roman" w:hAnsi="Times New Roman" w:cs="Times New Roman"/>
          <w:sz w:val="28"/>
          <w:szCs w:val="28"/>
        </w:rPr>
        <w:t>,</w:t>
      </w:r>
      <w:r w:rsidRPr="006B21F2">
        <w:rPr>
          <w:rFonts w:ascii="Times New Roman" w:hAnsi="Times New Roman" w:cs="Times New Roman"/>
          <w:sz w:val="28"/>
          <w:szCs w:val="28"/>
        </w:rPr>
        <w:t xml:space="preserve"> А.</w:t>
      </w:r>
      <w:r w:rsidR="00941755">
        <w:rPr>
          <w:rFonts w:ascii="Times New Roman" w:hAnsi="Times New Roman" w:cs="Times New Roman"/>
          <w:sz w:val="28"/>
          <w:szCs w:val="28"/>
        </w:rPr>
        <w:t xml:space="preserve"> </w:t>
      </w:r>
      <w:r w:rsidRPr="006B21F2">
        <w:rPr>
          <w:rFonts w:ascii="Times New Roman" w:hAnsi="Times New Roman" w:cs="Times New Roman"/>
          <w:sz w:val="28"/>
          <w:szCs w:val="28"/>
        </w:rPr>
        <w:t xml:space="preserve">С. Проблемы и пути их решения на рынке производных финансовых инструментов в современных условиях // Научный результат. Экономические исследования. 2019. №2. – С. 59. </w:t>
      </w:r>
    </w:p>
    <w:p w14:paraId="6A7062FC" w14:textId="77777777" w:rsidR="006B21F2" w:rsidRPr="006B21F2" w:rsidRDefault="006B21F2" w:rsidP="006B21F2">
      <w:pPr>
        <w:pStyle w:val="a6"/>
        <w:numPr>
          <w:ilvl w:val="0"/>
          <w:numId w:val="3"/>
        </w:numPr>
        <w:spacing w:after="0" w:line="360" w:lineRule="auto"/>
        <w:ind w:left="0" w:firstLine="709"/>
        <w:jc w:val="both"/>
        <w:rPr>
          <w:rFonts w:ascii="Times New Roman" w:hAnsi="Times New Roman" w:cs="Times New Roman"/>
          <w:sz w:val="28"/>
          <w:szCs w:val="28"/>
        </w:rPr>
      </w:pPr>
      <w:r w:rsidRPr="006B21F2">
        <w:rPr>
          <w:rFonts w:ascii="Times New Roman" w:hAnsi="Times New Roman" w:cs="Times New Roman"/>
          <w:sz w:val="28"/>
          <w:szCs w:val="28"/>
        </w:rPr>
        <w:t>О видах производных финансовых инструментов : Указание Банка России от 16.02.2015 № 3565-у (зарегистрировано в Минюсте России 27.03.2015 № 36575)</w:t>
      </w:r>
    </w:p>
    <w:p w14:paraId="74924133" w14:textId="77777777" w:rsidR="006B21F2" w:rsidRPr="006B21F2" w:rsidRDefault="006B21F2" w:rsidP="006B21F2">
      <w:pPr>
        <w:pStyle w:val="a6"/>
        <w:numPr>
          <w:ilvl w:val="0"/>
          <w:numId w:val="3"/>
        </w:numPr>
        <w:spacing w:after="0" w:line="360" w:lineRule="auto"/>
        <w:ind w:left="0" w:firstLine="709"/>
        <w:jc w:val="both"/>
        <w:rPr>
          <w:rFonts w:ascii="Times New Roman" w:hAnsi="Times New Roman" w:cs="Times New Roman"/>
          <w:sz w:val="28"/>
          <w:szCs w:val="28"/>
        </w:rPr>
      </w:pPr>
      <w:r w:rsidRPr="006B21F2">
        <w:rPr>
          <w:rFonts w:ascii="Times New Roman" w:hAnsi="Times New Roman" w:cs="Times New Roman"/>
          <w:sz w:val="28"/>
          <w:szCs w:val="28"/>
        </w:rPr>
        <w:t>О рынке ценных бумаг : Федеральный закон от 22.04.1996 № 39-ФЗ</w:t>
      </w:r>
    </w:p>
    <w:p w14:paraId="29DC31B2" w14:textId="5E12C01E" w:rsidR="006B21F2" w:rsidRPr="006B21F2" w:rsidRDefault="006B21F2" w:rsidP="006B21F2">
      <w:pPr>
        <w:pStyle w:val="a6"/>
        <w:numPr>
          <w:ilvl w:val="0"/>
          <w:numId w:val="3"/>
        </w:numPr>
        <w:spacing w:after="0" w:line="360" w:lineRule="auto"/>
        <w:ind w:left="0" w:firstLine="709"/>
        <w:jc w:val="both"/>
        <w:rPr>
          <w:rFonts w:ascii="Times New Roman" w:hAnsi="Times New Roman" w:cs="Times New Roman"/>
          <w:sz w:val="28"/>
          <w:szCs w:val="28"/>
        </w:rPr>
      </w:pPr>
      <w:r w:rsidRPr="006B21F2">
        <w:rPr>
          <w:rFonts w:ascii="Times New Roman" w:hAnsi="Times New Roman" w:cs="Times New Roman"/>
          <w:sz w:val="28"/>
          <w:szCs w:val="28"/>
        </w:rPr>
        <w:t>Плеханова Н.</w:t>
      </w:r>
      <w:r w:rsidR="00941755">
        <w:rPr>
          <w:rFonts w:ascii="Times New Roman" w:hAnsi="Times New Roman" w:cs="Times New Roman"/>
          <w:sz w:val="28"/>
          <w:szCs w:val="28"/>
        </w:rPr>
        <w:t xml:space="preserve"> </w:t>
      </w:r>
      <w:r w:rsidRPr="006B21F2">
        <w:rPr>
          <w:rFonts w:ascii="Times New Roman" w:hAnsi="Times New Roman" w:cs="Times New Roman"/>
          <w:sz w:val="28"/>
          <w:szCs w:val="28"/>
        </w:rPr>
        <w:t xml:space="preserve">А Валютные риски : Виды, Причины возникновения и методы страхования // Экономические науки : </w:t>
      </w:r>
      <w:r w:rsidRPr="006B21F2">
        <w:rPr>
          <w:rFonts w:ascii="Times New Roman" w:hAnsi="Times New Roman" w:cs="Times New Roman"/>
          <w:sz w:val="28"/>
          <w:szCs w:val="28"/>
          <w:lang w:val="en-US"/>
        </w:rPr>
        <w:t>VIII</w:t>
      </w:r>
      <w:r w:rsidRPr="006B21F2">
        <w:rPr>
          <w:rFonts w:ascii="Times New Roman" w:hAnsi="Times New Roman" w:cs="Times New Roman"/>
          <w:sz w:val="28"/>
          <w:szCs w:val="28"/>
        </w:rPr>
        <w:t xml:space="preserve"> Международная студенческая научная конференция Студенческий научный форум, 2016</w:t>
      </w:r>
    </w:p>
    <w:p w14:paraId="7F6B505A" w14:textId="79A28972" w:rsidR="006B21F2" w:rsidRPr="006B21F2" w:rsidRDefault="006B21F2" w:rsidP="006B21F2">
      <w:pPr>
        <w:pStyle w:val="a6"/>
        <w:numPr>
          <w:ilvl w:val="0"/>
          <w:numId w:val="3"/>
        </w:numPr>
        <w:spacing w:after="0" w:line="360" w:lineRule="auto"/>
        <w:ind w:left="0" w:firstLine="709"/>
        <w:jc w:val="both"/>
        <w:rPr>
          <w:rFonts w:ascii="Times New Roman" w:hAnsi="Times New Roman" w:cs="Times New Roman"/>
          <w:sz w:val="28"/>
          <w:szCs w:val="28"/>
        </w:rPr>
      </w:pPr>
      <w:r w:rsidRPr="006B21F2">
        <w:rPr>
          <w:rFonts w:ascii="Times New Roman" w:hAnsi="Times New Roman" w:cs="Times New Roman"/>
          <w:sz w:val="28"/>
          <w:szCs w:val="28"/>
        </w:rPr>
        <w:t xml:space="preserve">Полтева, Т. В., Лукьянова, Е. С. Практика применения </w:t>
      </w:r>
      <w:proofErr w:type="spellStart"/>
      <w:r w:rsidRPr="006B21F2">
        <w:rPr>
          <w:rFonts w:ascii="Times New Roman" w:hAnsi="Times New Roman" w:cs="Times New Roman"/>
          <w:sz w:val="28"/>
          <w:szCs w:val="28"/>
        </w:rPr>
        <w:t>деривативов</w:t>
      </w:r>
      <w:proofErr w:type="spellEnd"/>
      <w:r w:rsidRPr="006B21F2">
        <w:rPr>
          <w:rFonts w:ascii="Times New Roman" w:hAnsi="Times New Roman" w:cs="Times New Roman"/>
          <w:sz w:val="28"/>
          <w:szCs w:val="28"/>
        </w:rPr>
        <w:t xml:space="preserve"> как инструмента хеджирования рисков / Т. В. Полтева, Е. С. Лукьянова // Вестник НГИЭИ. 2015. – №1. – С. 69–74.</w:t>
      </w:r>
    </w:p>
    <w:p w14:paraId="52F692F7" w14:textId="77777777" w:rsidR="006B21F2" w:rsidRPr="006B21F2" w:rsidRDefault="006B21F2" w:rsidP="006B21F2">
      <w:pPr>
        <w:pStyle w:val="a6"/>
        <w:numPr>
          <w:ilvl w:val="0"/>
          <w:numId w:val="3"/>
        </w:numPr>
        <w:spacing w:after="0" w:line="360" w:lineRule="auto"/>
        <w:ind w:left="0" w:firstLine="709"/>
        <w:jc w:val="both"/>
        <w:rPr>
          <w:rFonts w:ascii="Times New Roman" w:hAnsi="Times New Roman" w:cs="Times New Roman"/>
          <w:sz w:val="28"/>
          <w:szCs w:val="28"/>
        </w:rPr>
      </w:pPr>
      <w:r w:rsidRPr="006B21F2">
        <w:rPr>
          <w:rFonts w:ascii="Times New Roman" w:hAnsi="Times New Roman" w:cs="Times New Roman"/>
          <w:sz w:val="28"/>
          <w:szCs w:val="28"/>
        </w:rPr>
        <w:t>Прудникова, А. А. Развитие рынка производных финансовых инструментов и проблемы его регулирования / А. А. Прудникова // Региональные проблемы преобразования экономики. 2015. – №5. – С. 63–70.</w:t>
      </w:r>
    </w:p>
    <w:p w14:paraId="5870FAC0" w14:textId="4CE76168" w:rsidR="006B21F2" w:rsidRPr="006B21F2" w:rsidRDefault="006B21F2" w:rsidP="006B21F2">
      <w:pPr>
        <w:pStyle w:val="a6"/>
        <w:numPr>
          <w:ilvl w:val="0"/>
          <w:numId w:val="3"/>
        </w:numPr>
        <w:spacing w:after="0" w:line="360" w:lineRule="auto"/>
        <w:ind w:left="0" w:firstLine="709"/>
        <w:jc w:val="both"/>
        <w:rPr>
          <w:rFonts w:ascii="Times New Roman" w:hAnsi="Times New Roman" w:cs="Times New Roman"/>
          <w:sz w:val="28"/>
          <w:szCs w:val="28"/>
        </w:rPr>
      </w:pPr>
      <w:proofErr w:type="spellStart"/>
      <w:r w:rsidRPr="006B21F2">
        <w:rPr>
          <w:rFonts w:ascii="Times New Roman" w:hAnsi="Times New Roman" w:cs="Times New Roman"/>
          <w:sz w:val="28"/>
          <w:szCs w:val="28"/>
        </w:rPr>
        <w:t>Татьянников</w:t>
      </w:r>
      <w:proofErr w:type="spellEnd"/>
      <w:r w:rsidRPr="006B21F2">
        <w:rPr>
          <w:rFonts w:ascii="Times New Roman" w:hAnsi="Times New Roman" w:cs="Times New Roman"/>
          <w:sz w:val="28"/>
          <w:szCs w:val="28"/>
        </w:rPr>
        <w:t>,</w:t>
      </w:r>
      <w:r>
        <w:rPr>
          <w:rFonts w:ascii="Times New Roman" w:hAnsi="Times New Roman" w:cs="Times New Roman"/>
          <w:sz w:val="28"/>
          <w:szCs w:val="28"/>
        </w:rPr>
        <w:t xml:space="preserve"> </w:t>
      </w:r>
      <w:r w:rsidRPr="006B21F2">
        <w:rPr>
          <w:rFonts w:ascii="Times New Roman" w:hAnsi="Times New Roman" w:cs="Times New Roman"/>
          <w:sz w:val="28"/>
          <w:szCs w:val="28"/>
        </w:rPr>
        <w:t xml:space="preserve">В. А. Фьючерсный договор (контракт): современные особенности обращения / В. А. </w:t>
      </w:r>
      <w:proofErr w:type="spellStart"/>
      <w:r w:rsidRPr="006B21F2">
        <w:rPr>
          <w:rFonts w:ascii="Times New Roman" w:hAnsi="Times New Roman" w:cs="Times New Roman"/>
          <w:sz w:val="28"/>
          <w:szCs w:val="28"/>
        </w:rPr>
        <w:t>Татьянников</w:t>
      </w:r>
      <w:proofErr w:type="spellEnd"/>
      <w:r w:rsidRPr="006B21F2">
        <w:rPr>
          <w:rFonts w:ascii="Times New Roman" w:hAnsi="Times New Roman" w:cs="Times New Roman"/>
          <w:sz w:val="28"/>
          <w:szCs w:val="28"/>
        </w:rPr>
        <w:t xml:space="preserve"> // Управленец. 2017. – №3. – С. 62–67.</w:t>
      </w:r>
    </w:p>
    <w:p w14:paraId="01507C9C" w14:textId="57066927" w:rsidR="006B21F2" w:rsidRPr="006B21F2" w:rsidRDefault="006B21F2" w:rsidP="006B21F2">
      <w:pPr>
        <w:pStyle w:val="a6"/>
        <w:numPr>
          <w:ilvl w:val="0"/>
          <w:numId w:val="3"/>
        </w:numPr>
        <w:spacing w:after="0" w:line="360" w:lineRule="auto"/>
        <w:ind w:left="0" w:firstLine="709"/>
        <w:jc w:val="both"/>
        <w:rPr>
          <w:rFonts w:ascii="Times New Roman" w:hAnsi="Times New Roman" w:cs="Times New Roman"/>
          <w:sz w:val="28"/>
          <w:szCs w:val="28"/>
        </w:rPr>
      </w:pPr>
      <w:r w:rsidRPr="006B21F2">
        <w:rPr>
          <w:rFonts w:ascii="Times New Roman" w:hAnsi="Times New Roman" w:cs="Times New Roman"/>
          <w:sz w:val="28"/>
          <w:szCs w:val="28"/>
        </w:rPr>
        <w:t>Федосов</w:t>
      </w:r>
      <w:r>
        <w:rPr>
          <w:rFonts w:ascii="Times New Roman" w:hAnsi="Times New Roman" w:cs="Times New Roman"/>
          <w:sz w:val="28"/>
          <w:szCs w:val="28"/>
        </w:rPr>
        <w:t>,</w:t>
      </w:r>
      <w:r w:rsidRPr="006B21F2">
        <w:rPr>
          <w:rFonts w:ascii="Times New Roman" w:hAnsi="Times New Roman" w:cs="Times New Roman"/>
          <w:sz w:val="28"/>
          <w:szCs w:val="28"/>
        </w:rPr>
        <w:t xml:space="preserve"> Е.</w:t>
      </w:r>
      <w:r>
        <w:rPr>
          <w:rFonts w:ascii="Times New Roman" w:hAnsi="Times New Roman" w:cs="Times New Roman"/>
          <w:sz w:val="28"/>
          <w:szCs w:val="28"/>
        </w:rPr>
        <w:t xml:space="preserve"> </w:t>
      </w:r>
      <w:r w:rsidRPr="006B21F2">
        <w:rPr>
          <w:rFonts w:ascii="Times New Roman" w:hAnsi="Times New Roman" w:cs="Times New Roman"/>
          <w:sz w:val="28"/>
          <w:szCs w:val="28"/>
        </w:rPr>
        <w:t>М. Управление валютными рисками: подходы и методы. – Санкт-Петербург, 2017.</w:t>
      </w:r>
    </w:p>
    <w:p w14:paraId="07C90C85" w14:textId="2BFCEA0A" w:rsidR="006B21F2" w:rsidRPr="006B21F2" w:rsidRDefault="006B21F2" w:rsidP="006B21F2">
      <w:pPr>
        <w:pStyle w:val="a6"/>
        <w:numPr>
          <w:ilvl w:val="0"/>
          <w:numId w:val="3"/>
        </w:numPr>
        <w:spacing w:after="0" w:line="360" w:lineRule="auto"/>
        <w:ind w:left="0" w:firstLine="709"/>
        <w:jc w:val="both"/>
        <w:rPr>
          <w:rFonts w:ascii="Times New Roman" w:hAnsi="Times New Roman" w:cs="Times New Roman"/>
          <w:sz w:val="28"/>
          <w:szCs w:val="28"/>
        </w:rPr>
      </w:pPr>
      <w:r w:rsidRPr="006B21F2">
        <w:rPr>
          <w:rFonts w:ascii="Times New Roman" w:hAnsi="Times New Roman" w:cs="Times New Roman"/>
          <w:sz w:val="28"/>
          <w:szCs w:val="28"/>
        </w:rPr>
        <w:t>Худякова Т.</w:t>
      </w:r>
      <w:r>
        <w:rPr>
          <w:rFonts w:ascii="Times New Roman" w:hAnsi="Times New Roman" w:cs="Times New Roman"/>
          <w:sz w:val="28"/>
          <w:szCs w:val="28"/>
        </w:rPr>
        <w:t xml:space="preserve"> </w:t>
      </w:r>
      <w:r w:rsidRPr="006B21F2">
        <w:rPr>
          <w:rFonts w:ascii="Times New Roman" w:hAnsi="Times New Roman" w:cs="Times New Roman"/>
          <w:sz w:val="28"/>
          <w:szCs w:val="28"/>
        </w:rPr>
        <w:t xml:space="preserve">А., Глинских И.Е. Влияние колебаний валютного рынка на состояние Российской туристической отрасли // Вестник НГИЭИ. 2018. №5 (84). – </w:t>
      </w:r>
      <w:r w:rsidRPr="006B21F2">
        <w:rPr>
          <w:rFonts w:ascii="Times New Roman" w:hAnsi="Times New Roman" w:cs="Times New Roman"/>
          <w:sz w:val="28"/>
          <w:szCs w:val="28"/>
          <w:lang w:val="en-US"/>
        </w:rPr>
        <w:t>C</w:t>
      </w:r>
      <w:r w:rsidRPr="006B21F2">
        <w:rPr>
          <w:rFonts w:ascii="Times New Roman" w:hAnsi="Times New Roman" w:cs="Times New Roman"/>
          <w:sz w:val="28"/>
          <w:szCs w:val="28"/>
        </w:rPr>
        <w:t xml:space="preserve">.81-82. </w:t>
      </w:r>
    </w:p>
    <w:p w14:paraId="6635FC6A" w14:textId="77777777" w:rsidR="006B21F2" w:rsidRPr="006B21F2" w:rsidRDefault="006B21F2" w:rsidP="006B21F2">
      <w:pPr>
        <w:pStyle w:val="a6"/>
        <w:numPr>
          <w:ilvl w:val="0"/>
          <w:numId w:val="3"/>
        </w:numPr>
        <w:spacing w:after="0" w:line="360" w:lineRule="auto"/>
        <w:ind w:left="0" w:firstLine="709"/>
        <w:jc w:val="both"/>
        <w:rPr>
          <w:rFonts w:ascii="Times New Roman" w:hAnsi="Times New Roman" w:cs="Times New Roman"/>
          <w:sz w:val="28"/>
          <w:szCs w:val="28"/>
          <w:lang w:val="en-US"/>
        </w:rPr>
      </w:pPr>
      <w:r w:rsidRPr="006B21F2">
        <w:rPr>
          <w:rFonts w:ascii="Times New Roman" w:hAnsi="Times New Roman" w:cs="Times New Roman"/>
          <w:sz w:val="28"/>
          <w:szCs w:val="28"/>
          <w:lang w:val="en-US"/>
        </w:rPr>
        <w:t>European Market Infrastructure Regulation (EMIR) – URL http://www.fsa.gov.uk.</w:t>
      </w:r>
    </w:p>
    <w:p w14:paraId="00D8D84E" w14:textId="40215250" w:rsidR="00526573" w:rsidRPr="006B21F2" w:rsidRDefault="006B21F2" w:rsidP="006B21F2">
      <w:pPr>
        <w:pStyle w:val="a6"/>
        <w:numPr>
          <w:ilvl w:val="0"/>
          <w:numId w:val="3"/>
        </w:numPr>
        <w:spacing w:after="0" w:line="360" w:lineRule="auto"/>
        <w:ind w:left="0" w:firstLine="709"/>
        <w:jc w:val="both"/>
        <w:rPr>
          <w:rFonts w:ascii="Times New Roman" w:hAnsi="Times New Roman" w:cs="Times New Roman"/>
          <w:sz w:val="28"/>
          <w:szCs w:val="28"/>
          <w:lang w:val="en-US"/>
        </w:rPr>
      </w:pPr>
      <w:r w:rsidRPr="006B21F2">
        <w:rPr>
          <w:rFonts w:ascii="Times New Roman" w:hAnsi="Times New Roman" w:cs="Times New Roman"/>
          <w:sz w:val="28"/>
          <w:szCs w:val="28"/>
          <w:lang w:val="en-US"/>
        </w:rPr>
        <w:lastRenderedPageBreak/>
        <w:t>Morris, G. D. Finance Director’s Handbook (fifth edition) / Glynis Morris, Sonia McKay, Andrea Oates. – Treasury Management, 2009, – P. 933-948</w:t>
      </w:r>
    </w:p>
    <w:sectPr w:rsidR="00526573" w:rsidRPr="006B21F2" w:rsidSect="001209C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7444F" w14:textId="77777777" w:rsidR="00A9099B" w:rsidRDefault="00A9099B" w:rsidP="00B847BA">
      <w:pPr>
        <w:spacing w:after="0" w:line="240" w:lineRule="auto"/>
      </w:pPr>
      <w:r>
        <w:separator/>
      </w:r>
    </w:p>
  </w:endnote>
  <w:endnote w:type="continuationSeparator" w:id="0">
    <w:p w14:paraId="7648D2C4" w14:textId="77777777" w:rsidR="00A9099B" w:rsidRDefault="00A9099B" w:rsidP="00B84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2835668"/>
      <w:docPartObj>
        <w:docPartGallery w:val="Page Numbers (Bottom of Page)"/>
        <w:docPartUnique/>
      </w:docPartObj>
    </w:sdtPr>
    <w:sdtEndPr/>
    <w:sdtContent>
      <w:p w14:paraId="480026CC" w14:textId="1A7E01A2" w:rsidR="00B847BA" w:rsidRPr="00B847BA" w:rsidRDefault="00B847BA" w:rsidP="00B847BA">
        <w:pPr>
          <w:pStyle w:val="a9"/>
          <w:jc w:val="center"/>
          <w:rPr>
            <w:rFonts w:ascii="Times New Roman" w:hAnsi="Times New Roman" w:cs="Times New Roman"/>
            <w:sz w:val="24"/>
            <w:szCs w:val="24"/>
          </w:rPr>
        </w:pPr>
        <w:r w:rsidRPr="00B847BA">
          <w:rPr>
            <w:rFonts w:ascii="Times New Roman" w:hAnsi="Times New Roman" w:cs="Times New Roman"/>
            <w:sz w:val="24"/>
            <w:szCs w:val="24"/>
          </w:rPr>
          <w:fldChar w:fldCharType="begin"/>
        </w:r>
        <w:r w:rsidRPr="00B847BA">
          <w:rPr>
            <w:rFonts w:ascii="Times New Roman" w:hAnsi="Times New Roman" w:cs="Times New Roman"/>
            <w:sz w:val="24"/>
            <w:szCs w:val="24"/>
          </w:rPr>
          <w:instrText>PAGE   \* MERGEFORMAT</w:instrText>
        </w:r>
        <w:r w:rsidRPr="00B847BA">
          <w:rPr>
            <w:rFonts w:ascii="Times New Roman" w:hAnsi="Times New Roman" w:cs="Times New Roman"/>
            <w:sz w:val="24"/>
            <w:szCs w:val="24"/>
          </w:rPr>
          <w:fldChar w:fldCharType="separate"/>
        </w:r>
        <w:r w:rsidRPr="00B847BA">
          <w:rPr>
            <w:rFonts w:ascii="Times New Roman" w:hAnsi="Times New Roman" w:cs="Times New Roman"/>
            <w:sz w:val="24"/>
            <w:szCs w:val="24"/>
          </w:rPr>
          <w:t>2</w:t>
        </w:r>
        <w:r w:rsidRPr="00B847B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99181" w14:textId="77777777" w:rsidR="00A9099B" w:rsidRDefault="00A9099B" w:rsidP="00B847BA">
      <w:pPr>
        <w:spacing w:after="0" w:line="240" w:lineRule="auto"/>
      </w:pPr>
      <w:r>
        <w:separator/>
      </w:r>
    </w:p>
  </w:footnote>
  <w:footnote w:type="continuationSeparator" w:id="0">
    <w:p w14:paraId="51CC19BF" w14:textId="77777777" w:rsidR="00A9099B" w:rsidRDefault="00A9099B" w:rsidP="00B84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21C1"/>
    <w:multiLevelType w:val="hybridMultilevel"/>
    <w:tmpl w:val="5CDAA4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9C44EC7"/>
    <w:multiLevelType w:val="hybridMultilevel"/>
    <w:tmpl w:val="EE946936"/>
    <w:lvl w:ilvl="0" w:tplc="889E8A1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4BE026AA"/>
    <w:multiLevelType w:val="multilevel"/>
    <w:tmpl w:val="FFFFFFFF"/>
    <w:lvl w:ilvl="0">
      <w:start w:val="1"/>
      <w:numFmt w:val="decimal"/>
      <w:lvlText w:val="%1"/>
      <w:lvlJc w:val="left"/>
      <w:pPr>
        <w:ind w:left="422" w:hanging="422"/>
      </w:pPr>
      <w:rPr>
        <w:rFonts w:hint="default"/>
      </w:rPr>
    </w:lvl>
    <w:lvl w:ilvl="1">
      <w:start w:val="1"/>
      <w:numFmt w:val="decimal"/>
      <w:lvlText w:val="%1.%2"/>
      <w:lvlJc w:val="left"/>
      <w:pPr>
        <w:ind w:left="1131" w:hanging="42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914509586">
    <w:abstractNumId w:val="1"/>
  </w:num>
  <w:num w:numId="2" w16cid:durableId="2019042955">
    <w:abstractNumId w:val="1"/>
  </w:num>
  <w:num w:numId="3" w16cid:durableId="1448037935">
    <w:abstractNumId w:val="0"/>
  </w:num>
  <w:num w:numId="4" w16cid:durableId="154222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90"/>
    <w:rsid w:val="00034B10"/>
    <w:rsid w:val="00075F4E"/>
    <w:rsid w:val="000E19DF"/>
    <w:rsid w:val="001209CC"/>
    <w:rsid w:val="00165CE3"/>
    <w:rsid w:val="0019178D"/>
    <w:rsid w:val="001F155C"/>
    <w:rsid w:val="001F4218"/>
    <w:rsid w:val="002F4C71"/>
    <w:rsid w:val="00321D54"/>
    <w:rsid w:val="00330E44"/>
    <w:rsid w:val="00356202"/>
    <w:rsid w:val="003C01AA"/>
    <w:rsid w:val="003E16DC"/>
    <w:rsid w:val="004073DC"/>
    <w:rsid w:val="00514F44"/>
    <w:rsid w:val="00526573"/>
    <w:rsid w:val="00542ED0"/>
    <w:rsid w:val="00576869"/>
    <w:rsid w:val="005C2687"/>
    <w:rsid w:val="005F7ADA"/>
    <w:rsid w:val="006A79A8"/>
    <w:rsid w:val="006B21F2"/>
    <w:rsid w:val="006D3AC5"/>
    <w:rsid w:val="006F5F5F"/>
    <w:rsid w:val="006F6190"/>
    <w:rsid w:val="00702358"/>
    <w:rsid w:val="00722D00"/>
    <w:rsid w:val="00725C7A"/>
    <w:rsid w:val="0081459A"/>
    <w:rsid w:val="00844341"/>
    <w:rsid w:val="00846471"/>
    <w:rsid w:val="008B43D6"/>
    <w:rsid w:val="008C32A1"/>
    <w:rsid w:val="008C6C14"/>
    <w:rsid w:val="00941755"/>
    <w:rsid w:val="00954125"/>
    <w:rsid w:val="009623BC"/>
    <w:rsid w:val="009B7988"/>
    <w:rsid w:val="009C3741"/>
    <w:rsid w:val="00A11272"/>
    <w:rsid w:val="00A20917"/>
    <w:rsid w:val="00A50C39"/>
    <w:rsid w:val="00A9099B"/>
    <w:rsid w:val="00A931A2"/>
    <w:rsid w:val="00A974DE"/>
    <w:rsid w:val="00AD3521"/>
    <w:rsid w:val="00B847BA"/>
    <w:rsid w:val="00BF7F53"/>
    <w:rsid w:val="00C64B37"/>
    <w:rsid w:val="00CD1049"/>
    <w:rsid w:val="00CF70BC"/>
    <w:rsid w:val="00D51D18"/>
    <w:rsid w:val="00D5235C"/>
    <w:rsid w:val="00D8173B"/>
    <w:rsid w:val="00D82351"/>
    <w:rsid w:val="00D835D1"/>
    <w:rsid w:val="00DE6D3E"/>
    <w:rsid w:val="00E658DC"/>
    <w:rsid w:val="00E93CFA"/>
    <w:rsid w:val="00EC48AE"/>
    <w:rsid w:val="00ED66C3"/>
    <w:rsid w:val="00F06BAD"/>
    <w:rsid w:val="00F32AF9"/>
    <w:rsid w:val="00FA0BAC"/>
    <w:rsid w:val="00FD03D4"/>
    <w:rsid w:val="00FE2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2375"/>
  <w15:chartTrackingRefBased/>
  <w15:docId w15:val="{C2807F9E-5F33-4FCE-A067-BE11855C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2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26573"/>
    <w:rPr>
      <w:color w:val="0563C1" w:themeColor="hyperlink"/>
      <w:u w:val="single"/>
    </w:rPr>
  </w:style>
  <w:style w:type="character" w:styleId="a5">
    <w:name w:val="Unresolved Mention"/>
    <w:basedOn w:val="a0"/>
    <w:uiPriority w:val="99"/>
    <w:semiHidden/>
    <w:unhideWhenUsed/>
    <w:rsid w:val="00526573"/>
    <w:rPr>
      <w:color w:val="605E5C"/>
      <w:shd w:val="clear" w:color="auto" w:fill="E1DFDD"/>
    </w:rPr>
  </w:style>
  <w:style w:type="paragraph" w:styleId="a6">
    <w:name w:val="List Paragraph"/>
    <w:basedOn w:val="a"/>
    <w:uiPriority w:val="34"/>
    <w:qFormat/>
    <w:rsid w:val="006B21F2"/>
    <w:pPr>
      <w:ind w:left="720"/>
      <w:contextualSpacing/>
    </w:pPr>
  </w:style>
  <w:style w:type="paragraph" w:styleId="a7">
    <w:name w:val="header"/>
    <w:basedOn w:val="a"/>
    <w:link w:val="a8"/>
    <w:uiPriority w:val="99"/>
    <w:unhideWhenUsed/>
    <w:rsid w:val="00B847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47BA"/>
  </w:style>
  <w:style w:type="paragraph" w:styleId="a9">
    <w:name w:val="footer"/>
    <w:basedOn w:val="a"/>
    <w:link w:val="aa"/>
    <w:uiPriority w:val="99"/>
    <w:unhideWhenUsed/>
    <w:rsid w:val="00B847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84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8598">
      <w:bodyDiv w:val="1"/>
      <w:marLeft w:val="0"/>
      <w:marRight w:val="0"/>
      <w:marTop w:val="0"/>
      <w:marBottom w:val="0"/>
      <w:divBdr>
        <w:top w:val="none" w:sz="0" w:space="0" w:color="auto"/>
        <w:left w:val="none" w:sz="0" w:space="0" w:color="auto"/>
        <w:bottom w:val="none" w:sz="0" w:space="0" w:color="auto"/>
        <w:right w:val="none" w:sz="0" w:space="0" w:color="auto"/>
      </w:divBdr>
    </w:div>
    <w:div w:id="55861304">
      <w:bodyDiv w:val="1"/>
      <w:marLeft w:val="0"/>
      <w:marRight w:val="0"/>
      <w:marTop w:val="0"/>
      <w:marBottom w:val="0"/>
      <w:divBdr>
        <w:top w:val="none" w:sz="0" w:space="0" w:color="auto"/>
        <w:left w:val="none" w:sz="0" w:space="0" w:color="auto"/>
        <w:bottom w:val="none" w:sz="0" w:space="0" w:color="auto"/>
        <w:right w:val="none" w:sz="0" w:space="0" w:color="auto"/>
      </w:divBdr>
    </w:div>
    <w:div w:id="200558308">
      <w:bodyDiv w:val="1"/>
      <w:marLeft w:val="0"/>
      <w:marRight w:val="0"/>
      <w:marTop w:val="0"/>
      <w:marBottom w:val="0"/>
      <w:divBdr>
        <w:top w:val="none" w:sz="0" w:space="0" w:color="auto"/>
        <w:left w:val="none" w:sz="0" w:space="0" w:color="auto"/>
        <w:bottom w:val="none" w:sz="0" w:space="0" w:color="auto"/>
        <w:right w:val="none" w:sz="0" w:space="0" w:color="auto"/>
      </w:divBdr>
    </w:div>
    <w:div w:id="334503778">
      <w:bodyDiv w:val="1"/>
      <w:marLeft w:val="0"/>
      <w:marRight w:val="0"/>
      <w:marTop w:val="0"/>
      <w:marBottom w:val="0"/>
      <w:divBdr>
        <w:top w:val="none" w:sz="0" w:space="0" w:color="auto"/>
        <w:left w:val="none" w:sz="0" w:space="0" w:color="auto"/>
        <w:bottom w:val="none" w:sz="0" w:space="0" w:color="auto"/>
        <w:right w:val="none" w:sz="0" w:space="0" w:color="auto"/>
      </w:divBdr>
    </w:div>
    <w:div w:id="1227449949">
      <w:bodyDiv w:val="1"/>
      <w:marLeft w:val="0"/>
      <w:marRight w:val="0"/>
      <w:marTop w:val="0"/>
      <w:marBottom w:val="0"/>
      <w:divBdr>
        <w:top w:val="none" w:sz="0" w:space="0" w:color="auto"/>
        <w:left w:val="none" w:sz="0" w:space="0" w:color="auto"/>
        <w:bottom w:val="none" w:sz="0" w:space="0" w:color="auto"/>
        <w:right w:val="none" w:sz="0" w:space="0" w:color="auto"/>
      </w:divBdr>
    </w:div>
    <w:div w:id="1529684545">
      <w:bodyDiv w:val="1"/>
      <w:marLeft w:val="0"/>
      <w:marRight w:val="0"/>
      <w:marTop w:val="0"/>
      <w:marBottom w:val="0"/>
      <w:divBdr>
        <w:top w:val="none" w:sz="0" w:space="0" w:color="auto"/>
        <w:left w:val="none" w:sz="0" w:space="0" w:color="auto"/>
        <w:bottom w:val="none" w:sz="0" w:space="0" w:color="auto"/>
        <w:right w:val="none" w:sz="0" w:space="0" w:color="auto"/>
      </w:divBdr>
    </w:div>
    <w:div w:id="1676804417">
      <w:bodyDiv w:val="1"/>
      <w:marLeft w:val="0"/>
      <w:marRight w:val="0"/>
      <w:marTop w:val="0"/>
      <w:marBottom w:val="0"/>
      <w:divBdr>
        <w:top w:val="none" w:sz="0" w:space="0" w:color="auto"/>
        <w:left w:val="none" w:sz="0" w:space="0" w:color="auto"/>
        <w:bottom w:val="none" w:sz="0" w:space="0" w:color="auto"/>
        <w:right w:val="none" w:sz="0" w:space="0" w:color="auto"/>
      </w:divBdr>
    </w:div>
    <w:div w:id="1812332555">
      <w:bodyDiv w:val="1"/>
      <w:marLeft w:val="0"/>
      <w:marRight w:val="0"/>
      <w:marTop w:val="0"/>
      <w:marBottom w:val="0"/>
      <w:divBdr>
        <w:top w:val="none" w:sz="0" w:space="0" w:color="auto"/>
        <w:left w:val="none" w:sz="0" w:space="0" w:color="auto"/>
        <w:bottom w:val="none" w:sz="0" w:space="0" w:color="auto"/>
        <w:right w:val="none" w:sz="0" w:space="0" w:color="auto"/>
      </w:divBdr>
    </w:div>
    <w:div w:id="1851336093">
      <w:bodyDiv w:val="1"/>
      <w:marLeft w:val="0"/>
      <w:marRight w:val="0"/>
      <w:marTop w:val="0"/>
      <w:marBottom w:val="0"/>
      <w:divBdr>
        <w:top w:val="none" w:sz="0" w:space="0" w:color="auto"/>
        <w:left w:val="none" w:sz="0" w:space="0" w:color="auto"/>
        <w:bottom w:val="none" w:sz="0" w:space="0" w:color="auto"/>
        <w:right w:val="none" w:sz="0" w:space="0" w:color="auto"/>
      </w:divBdr>
    </w:div>
    <w:div w:id="186693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11414</Words>
  <Characters>65063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Элина Дмитренко</dc:creator>
  <cp:keywords/>
  <dc:description/>
  <cp:lastModifiedBy>Элина Владимировна Дмитренко</cp:lastModifiedBy>
  <cp:revision>2</cp:revision>
  <dcterms:created xsi:type="dcterms:W3CDTF">2022-07-04T10:09:00Z</dcterms:created>
  <dcterms:modified xsi:type="dcterms:W3CDTF">2022-07-04T10:09:00Z</dcterms:modified>
</cp:coreProperties>
</file>