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8E" w:rsidRPr="008D548E" w:rsidRDefault="008D548E" w:rsidP="008D5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БЛИННИКОВА ЕЛЕНА АНАТОЛЬЕВНА</w:t>
      </w:r>
      <w:r w:rsidRPr="008D548E"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ru-RU"/>
        </w:rPr>
        <w:t> </w:t>
      </w:r>
      <w:r w:rsidRPr="008D548E"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ru-RU"/>
        </w:rPr>
        <w:br/>
      </w:r>
      <w:r w:rsidRPr="008D548E">
        <w:rPr>
          <w:rFonts w:ascii="Tahoma" w:eastAsia="Times New Roman" w:hAnsi="Tahoma" w:cs="Tahoma"/>
          <w:i/>
          <w:iCs/>
          <w:color w:val="000000"/>
          <w:sz w:val="16"/>
          <w:szCs w:val="16"/>
          <w:shd w:val="clear" w:color="auto" w:fill="FFFFFF"/>
          <w:lang w:eastAsia="ru-RU"/>
        </w:rPr>
        <w:t>Кубанский социально-экономический институт,</w:t>
      </w:r>
      <w:r w:rsidRPr="008D548E">
        <w:rPr>
          <w:rFonts w:ascii="Tahoma" w:eastAsia="Times New Roman" w:hAnsi="Tahoma" w:cs="Tahoma"/>
          <w:i/>
          <w:iCs/>
          <w:color w:val="000000"/>
          <w:sz w:val="16"/>
          <w:szCs w:val="16"/>
          <w:shd w:val="clear" w:color="auto" w:fill="FFFFFF"/>
          <w:lang w:eastAsia="ru-RU"/>
        </w:rPr>
        <w:br/>
        <w:t>кафедра экономики (Краснодар)</w:t>
      </w:r>
      <w:r w:rsidRPr="008D548E"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ru-RU"/>
        </w:rPr>
        <w:t> </w:t>
      </w:r>
      <w:r w:rsidRPr="008D548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250"/>
      </w:tblGrid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vAlign w:val="bottom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250" w:type="dxa"/>
            <w:shd w:val="clear" w:color="auto" w:fill="FFFFFF"/>
            <w:vAlign w:val="bottom"/>
            <w:hideMark/>
          </w:tcPr>
          <w:p w:rsidR="008D548E" w:rsidRPr="008D548E" w:rsidRDefault="008D548E" w:rsidP="008D54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Публикация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Цитирований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D548E" w:rsidRPr="008D548E" w:rsidRDefault="003121C0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pict>
                <v:rect id="_x0000_i1025" style="width:467.75pt;height:.75pt" o:hralign="center" o:hrstd="t" o:hrnoshade="t" o:hr="t" fillcolor="black" stroked="f"/>
              </w:pict>
            </w:r>
          </w:p>
        </w:tc>
      </w:tr>
    </w:tbl>
    <w:p w:rsidR="008D548E" w:rsidRPr="008D548E" w:rsidRDefault="008D548E" w:rsidP="008D5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"/>
        <w:gridCol w:w="7800"/>
        <w:gridCol w:w="450"/>
      </w:tblGrid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СТАНОВЛЕНИЕ ТЕХНОПАРКОВ В КРАСНОДАРСКОМ КРАЕ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Блинникова Е.А.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Экономика. Право. Печать. Вестник КСЭИ. 2014. № 2 (62). С. 229-232.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РЫНОЧНЫЕ ИНСТРУМЕНТЫ ПОДДЕРЖАНИЯ И РАЗВИТИЯ ВЕНЧУРНЫХ ИНВЕСТИЦИЙ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Дердуга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В.В., Макаренко Ю.Г., Блинникова Е.А.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Экономика. Право. Печать. Вестник КСЭИ. 2014. № 2 (62). С. 245-250.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ОСОБЕННОСТИ МЕТОДИКИ ПРЕПОДАВАНИЯ ДИСЦИПЛИНЫ «ОСНОВЫ ФИНАНСОВО-ЭКОНОМИЧЕСКИХ РАСЧЕТОВ»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Блинникова Е.А.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Экономика. Право. Печать. Вестник КСЭИ. 2014. № 3-4 (6364). С. 291-293.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КОНЦЕПЦИЯ «РАЗВИТИЯ ИННОВАЦИОННОЙ ДЕЯТЕЛЬНОСТИ В КРАСНОДАРСКОМ КРАЕ НА 2011-2013 Г.»ПРОБЛЕМЫ, ПУТИ РЕШЕНИЯ, ГОСУДАРСТВЕННАЯ ПОДДЕРЖКА И ПЕРВЫЕ ИТОГИ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Блинникова Е.А.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Вестник Академии знаний. 2013. № 1 (4). С. 25-29.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ПРОГРАММНО-ЦЕЛЕВАЯ СТРАТЕГИЯ ИННОВАЦИОННОГО РАЗВИТИЯ АПК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Нечаев В.И.,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Керашев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Бершицкий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Ю.И., Артемова Е.И.,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Барчо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М.Х., Ворошилова И.В., Кравченко Н.П.,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Михайлушкин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П.В., Попок Л.Е., Резниченко С.М., Сухарева О.А., Фетисов С.Д.,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Хатуов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Д.Х., Магомедов А.Н.Д.,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Санду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И.С., Блинникова Е.А.,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Таймасханов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Х.Э.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коллективная монография / Майкоп, 2011.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РАЗВИТИЕ ИННОВАЦИОННЫХ ПРОЦЕССОВ В АПК: ВОПРОСЫ СТИМУЛИРОВАНИЯ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Трошин А.С.,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Ушачев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И.Г.,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Санду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И.С., Прокопьев Г.С., Свободин В.А.,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Илюхина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Р.В., Косолапова М.В.,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Демишкевич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Г.М., Большакова В.В., Бондаренко Т.Г.,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Боташева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Л.Х., Гасанова Х.Н.,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Рыженкова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Н.Е.,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Таймасханов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Х.Э.,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Харебава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А.Р.,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Чепик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Д.А., Тарасова Л.П.,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Масленков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И.Н.,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Мурая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Л.И., Воробьева Н.В. и др.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Москва, 2011.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ОРГАНИЗАЦИОННО-ЭКОНОМИЧЕСКИЕ АСПЕКТЫ СОВЕРШЕНСТВОВАНИЯ ГОСУДАРСТВЕННОЙ ПОЛИТИКИ В ОБЛАСТИ ОХРАНЫ И ЗАЩИТЫ РЕЗУЛЬТАТОВ НАУЧНО-ТЕХНИЧЕСКОЙ ДЕЯТЕЛЬНОСТИ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Ушачев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И.Г.,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Санду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И.С., Прокопьев Г.С.,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Илюхина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Р.В., Косолапова М.В.,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Демишкевич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Г.М., Большакова В.В.,</w:t>
            </w:r>
            <w:r w:rsidR="00944A2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Блинникова Е.А.,</w:t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Бондаренко Т.Г.,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Боташева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Л.Х., Гасанова Х.Н.,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Рыженкова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Н.Е.,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Таймасханов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Х.Э.,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Харебава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А.Р.,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Чепик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Д.А., Тарасова Л.П.,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Масленков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И.Н.,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Мурая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Л.И., Воробьева Н.В., Иларионова Г.А.,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Лагвилава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Н.В. и др.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Москва, 2011.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ОРГАНИЗАЦИОННО-ЭКОНОМИЧЕСКИЕ МЕХАНИЗМЫ СТИМУЛИРОВАНИЯ УЧАСТНИКОВ ИННОВАЦИОННОГО ПРОЦЕССА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Ушачев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И.Г.,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Санду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И.С., Прокопьев Г.С., Свободин В.А.,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Илюхина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Р.В., Косолапова М.В.,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Демишкевич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Г.М., Большакова В.В., </w:t>
            </w:r>
            <w:r w:rsidR="00944A2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Блинникова Е.А., </w:t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Бондаренко Т.Г.,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Боташева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Л.Х., Гасанова Х.Н.,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Рыженкова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Н.Е.,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Таймасханов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Х.Э.,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Харебава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А.Р.,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Чепик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Д.А., Тарасова Л.П.,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Масленков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И.Н.,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Мурая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Л.И., Воробьева Н.В., Губанова Н.Ю. и др.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Москва, 2011.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НАЛОГОВОЕ СТИМУЛИРОВАНИЕ ИННОВАЦИОННОЙ ДЕЯТЕЛЬНОСТИ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Блинникова Е.А.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Экономика. Право. Печать. Вестник КСЭИ. 2011. № 1-3 (47-49). С. 5-11.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РАЗВИТИЕ ИННОВАЦИОННОЙ ДЕЯТЕЛЬНОСТИ В РАСТЕНИЕВОДСТВЕ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Нечаев В.И., Алтухов А.И., Медведев А.М., Блинникова Е.А., Кравченко Н.П., Малахов И.А.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Москва, 2010.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СИСТЕМА СЕМЕНОВОДСТВА СЕЛЬСКОХОЗЯЙСТВЕННЫХ КУЛЬТУР В РОССИЙСКОЙ ФЕДЕРАЦИИ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Нечаев В.И., Алтухов А.И., Медведев А.М., Березкин А.Н., Полунин Г.А., Смирнова Л.А., Кравченко Н.П., Малахов И.А., Блинникова Е.А.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Москва, 2010.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МЕТОДИЧЕСКИЕ ПОДХОДЫ К ОЦЕНКЕ ЭФФЕКТИВНОСТИ ИННОВАЦИОННОЙ ДЕЯТЕЛЬНОСТИ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Блинникова Е.А.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Экономика. Право. Печать. Вестник КСЭИ. 2010. № 1-3 (41-43). С. 39-42.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ОРГАНИЗАЦИОННО-ЭКОНОМИЧЕСКИЕ НАПРАВЛЕНИЯ И МЕХАНИЗМЫ РАЗВИТИЯ ИННОВАЦИОННОЙ ДЕЯТЕЛЬНОСТИ В РАСТЕНИЕВОДСТВЕ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Блинникова Е.А.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автореферат диссертации на соискание ученой степени кандидата экономических наук / Кубанский государственный аграрный университет. Краснодар, 2009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ОРГАНИЗАЦИОННО-ЭКОНОМИЧЕСКИЕ НАПРАВЛЕНИЯ И МЕХАНИЗМЫ РАЗВИТИЯ ИННОВАЦИОННОЙ ДЕЯТЕЛЬНОСТИ В РАСТЕНИЕВОДСТВЕ (ПО МАТЕРИАЛАМ КРАСНОДАРСКОГО КРАЯ)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Блинникова Е.А.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диссертация на соискание ученой степени кандидата экономических наук / Кубанский государственный аграрный университет. Краснодар, 2009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НЕКОТОРЫЕ ОРГАНИЗАЦИОННО-ПРАВОВЫЕ АСПЕКТЫ СОВЕРШЕНСТВОВАНИЯ СЕМЕНОВОДСТВА СЕЛЬСКОХОЗЯЙСТВЕННЫХ РАСТЕНИЙ В РОССИЙСКОЙ ФЕДЕРАЦИИ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Нечаев В.И., Малахов И.А., Медведев Ю.А., Блинникова Е.А.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Труды Кубанского государственного аграрного университета. 2008. № 14. С. 7-10.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ГОСУДАРСТВЕННОЕ РЕГУЛИРОВАНИЕ - ОСНОВА УСТОЙЧИВОГО РАЗВИТИЯ РЕГИОНАЛЬНОГО АПК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Нечаев B.И., Блинникова Е.А.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Труды Кубанского государственного аграрного университета. 2008. № 12. С. 7-11.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УСТОЙЧИВОЕ РАЗВИТИЕ АПК РЕГИОНА НА ОСНОВЕ ИННОВАЦИОННО-ИНВЕСТИЦИОННОЙ ДЕЯТЕЛЬНОСТИ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Нечаев В.И., Блинникова Е.А.,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Сайфетдинова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Н.Р.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Никоновские</w:t>
            </w:r>
            <w:proofErr w:type="spellEnd"/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чтения. 2008. № 13. С. 87-89.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ИНФОРМАЦИОННЫЕ СИСТЕМЫ И ТЕХНОЛОГИИ ЭЛЕКТРОННОГО ДОКУМЕНТООБОРОТА ЦЕНТРАЛЬНОГО БАНКА РФ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Блинникова Е.А.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Экономика. Право. Печать. Вестник КСЭИ. 2008. № 1-3 (35-37). С. 9-12.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ВОПРОСЫ СОВЕРШЕНСТВОВАНИЯ ЗАКОНОДАТЕЛЬСТВА ПО ОХРАНЕ И ИСПОЛЬЗОВАНИЮ СЕЛЕКЦИОННЫХ ДОСТИЖЕНИЙ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Нечаев В.И., Моисеев В.В., Блинникова Е.А.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Актуальные проблемы экономического развития АПК в связи со вступлением в ВТО. Материалы научно-практической конференции. 2007. С. 130-137.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УПРАВЛЕНИЕ РАЗВИТИЕМ АПК КРАСНОДАРСКОГО КРАЯ (ПРОБЛЕМЫ И </w:t>
            </w:r>
            <w:proofErr w:type="gramStart"/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ПЕРСПЕКТИВЫ)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Нечаев</w:t>
            </w:r>
            <w:proofErr w:type="gram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В.И., Моисеев В.В., Блинникова Е.А.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Региональные аспекты развития агропромышленного комплекса в Южном федеральном округе (опыт, проблемы и перспективы реализации национального проекта). сборник материалов Международной научно-практической конференции. Северо-Кавказская академия государственной службы. 2007. С. 174-176.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ОСНОВНЫЕ ПРОБЛЕМЫ РАЗВИТИЯ АПК КРАСНОДАРСКОГО КРАЯ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Нечаев В.И., Артемова Е.И., </w:t>
            </w:r>
            <w:proofErr w:type="spellStart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Гаряев</w:t>
            </w:r>
            <w:proofErr w:type="spellEnd"/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С.А., Блинникова Е.А., Калашников А.А.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Экономика России в условиях глобализации и вступления в ВТО. Сборник материалов Международной научно-практической конференции. 2007. С. 263-270.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ОРГАНИЗАЦИОННО-ЭКОНОМИЧЕСКИЕ ОСНОВЫ СЕЛЕКЦИИ И СЕМЕНОВОДСТВА ЗЕРНОВЫХ КУЛЬТУР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Блинникова Е.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АПК: Экономика, управление. 2007. № 11. С. 58-60.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ОРГАНИЗАЦИЯ ЕДИНОЙ СИСТЕМЫ СЕЛЕКЦИИ И ПРОМЫШЛЕННОГО СЕМЕНОВОДСТВА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Моисеев В.В., Блинникова Е.А.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Труды Кубанского государственного аграрного университета. 2007. № 6. С. 51-57.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СОВЕРШЕНСТВОВАНИЕ ЦЕНООБРАЗОВАНИЯ НА СЕМЕНА НОВЫХ СОРТОВ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Блинникова Е.А., Марков А.В.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Труды Кубанского государственного аграрного университета. 2007. № 7. С. 56-59.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СЕМЕНОВОДСТВО НА ИННОВАЦИОННОМ ЭТАПЕ РАЗВИТИЯ ЗЕРНОВОГО ХОЗЯЙСТВА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Блинникова Е.А.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Экономика сельского хозяйства России. 2007. № 8. С. 30-31.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РИС - ПЕРСПЕКТИВНАЯ КУЛЬТУРА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Малахов И.А., Блинникова Е.А.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Экономика сельского хозяйства России. 2007. № 10. С. 37-38.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ПРИОРИТЕТНЫЙ НАЦИОНАЛЬНЫЙ ПРОЕКТ- РАЗВИТИЕ АПК» В КРАСНОДАРСКОМ КРАЕ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Нечаев В.И., Блинникова Е.А.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Экономика сельскохозяйственных и перерабатывающих предприятий. 2007. № 11. С. 4-7.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8D548E" w:rsidRPr="008D548E" w:rsidTr="008D54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80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ОСНОВНЫЕ НАПРАВЛЕНИЯ ПОВЫШЕНИЯ УСТОЙЧИВОСТИ И ЭФФЕКТИВНОСТИ ЗЕРНОВОГО ПРОИЗВОДСТВА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D548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Нечаев В.И., Моисеев В.В., Бондаренко В.В., Черных Г.В., Блинникова Е.А., Ковтуненко Б.В.</w:t>
            </w: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Краснодар, 2006.</w:t>
            </w:r>
          </w:p>
        </w:tc>
        <w:tc>
          <w:tcPr>
            <w:tcW w:w="450" w:type="dxa"/>
            <w:shd w:val="clear" w:color="auto" w:fill="FFFFFF"/>
            <w:hideMark/>
          </w:tcPr>
          <w:p w:rsidR="008D548E" w:rsidRPr="008D548E" w:rsidRDefault="008D548E" w:rsidP="008D54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D548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</w:t>
            </w:r>
          </w:p>
        </w:tc>
      </w:tr>
    </w:tbl>
    <w:p w:rsidR="00B851A1" w:rsidRDefault="00944A26" w:rsidP="00C76D6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Pr="00944A26">
        <w:rPr>
          <w:rFonts w:ascii="Tahoma" w:hAnsi="Tahoma" w:cs="Tahoma"/>
          <w:sz w:val="16"/>
          <w:szCs w:val="16"/>
        </w:rPr>
        <w:t>29</w:t>
      </w:r>
      <w:r>
        <w:rPr>
          <w:rFonts w:ascii="Tahoma" w:hAnsi="Tahoma" w:cs="Tahoma"/>
          <w:sz w:val="16"/>
          <w:szCs w:val="16"/>
        </w:rPr>
        <w:t xml:space="preserve">    </w:t>
      </w:r>
      <w:r w:rsidRPr="000B334C">
        <w:rPr>
          <w:rFonts w:ascii="Tahoma" w:hAnsi="Tahoma" w:cs="Tahoma"/>
          <w:b/>
          <w:sz w:val="16"/>
          <w:szCs w:val="16"/>
        </w:rPr>
        <w:t xml:space="preserve">УСЛОВИЯ И ФАКТОРЫ УСТОЙЧИВОГО СОЦИАЛЬНО-ЭКОНОМИЧЕСКОГО РАЗВИТИЯ РЕГИОНА В УСЛОВИЯХ </w:t>
      </w:r>
      <w:r w:rsidR="000B334C">
        <w:rPr>
          <w:rFonts w:ascii="Tahoma" w:hAnsi="Tahoma" w:cs="Tahoma"/>
          <w:b/>
          <w:sz w:val="16"/>
          <w:szCs w:val="16"/>
        </w:rPr>
        <w:t xml:space="preserve">    </w:t>
      </w:r>
      <w:r w:rsidR="00C76D63">
        <w:rPr>
          <w:rFonts w:ascii="Tahoma" w:hAnsi="Tahoma" w:cs="Tahoma"/>
          <w:b/>
          <w:sz w:val="16"/>
          <w:szCs w:val="16"/>
        </w:rPr>
        <w:t xml:space="preserve">   </w:t>
      </w:r>
      <w:r w:rsidRPr="000B334C">
        <w:rPr>
          <w:rFonts w:ascii="Tahoma" w:hAnsi="Tahoma" w:cs="Tahoma"/>
          <w:b/>
          <w:sz w:val="16"/>
          <w:szCs w:val="16"/>
        </w:rPr>
        <w:t>РЫНКА</w:t>
      </w:r>
      <w:r w:rsidR="000B334C">
        <w:rPr>
          <w:rFonts w:ascii="Tahoma" w:hAnsi="Tahoma" w:cs="Tahoma"/>
          <w:b/>
          <w:sz w:val="16"/>
          <w:szCs w:val="16"/>
        </w:rPr>
        <w:t xml:space="preserve"> </w:t>
      </w:r>
    </w:p>
    <w:p w:rsidR="00944A26" w:rsidRDefault="00944A26" w:rsidP="00944A26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Лукьянов В.И., </w:t>
      </w:r>
      <w:proofErr w:type="spellStart"/>
      <w:r>
        <w:rPr>
          <w:rFonts w:ascii="Tahoma" w:hAnsi="Tahoma" w:cs="Tahoma"/>
          <w:sz w:val="16"/>
          <w:szCs w:val="16"/>
        </w:rPr>
        <w:t>Хуако</w:t>
      </w:r>
      <w:proofErr w:type="spellEnd"/>
      <w:r>
        <w:rPr>
          <w:rFonts w:ascii="Tahoma" w:hAnsi="Tahoma" w:cs="Tahoma"/>
          <w:sz w:val="16"/>
          <w:szCs w:val="16"/>
        </w:rPr>
        <w:t xml:space="preserve"> Х.Ш., </w:t>
      </w:r>
      <w:proofErr w:type="spellStart"/>
      <w:r>
        <w:rPr>
          <w:rFonts w:ascii="Tahoma" w:hAnsi="Tahoma" w:cs="Tahoma"/>
          <w:sz w:val="16"/>
          <w:szCs w:val="16"/>
        </w:rPr>
        <w:t>Байдецкая</w:t>
      </w:r>
      <w:proofErr w:type="spellEnd"/>
      <w:r>
        <w:rPr>
          <w:rFonts w:ascii="Tahoma" w:hAnsi="Tahoma" w:cs="Tahoma"/>
          <w:sz w:val="16"/>
          <w:szCs w:val="16"/>
        </w:rPr>
        <w:t xml:space="preserve"> Е.А. Научный центр пропаганды и внедрение инноваций. Министерство</w:t>
      </w:r>
    </w:p>
    <w:p w:rsidR="00944A26" w:rsidRDefault="00944A26" w:rsidP="00944A26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образования и науки Российской Федерации Кубанский социально-экономический институт. Монография.</w:t>
      </w:r>
    </w:p>
    <w:p w:rsidR="00944A26" w:rsidRDefault="00944A26" w:rsidP="00944A26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Краснодар, 2015. </w:t>
      </w:r>
    </w:p>
    <w:p w:rsidR="00944A26" w:rsidRDefault="00944A2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</w:t>
      </w:r>
    </w:p>
    <w:p w:rsidR="003121C0" w:rsidRDefault="003121C0">
      <w:pPr>
        <w:rPr>
          <w:rFonts w:ascii="Tahoma" w:hAnsi="Tahoma" w:cs="Tahoma"/>
          <w:sz w:val="16"/>
          <w:szCs w:val="16"/>
        </w:rPr>
      </w:pPr>
    </w:p>
    <w:p w:rsidR="003121C0" w:rsidRDefault="003121C0" w:rsidP="003121C0">
      <w:pPr>
        <w:spacing w:after="0" w:line="24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lastRenderedPageBreak/>
        <w:t xml:space="preserve">30  </w:t>
      </w:r>
      <w:r w:rsidRPr="003121C0">
        <w:rPr>
          <w:rFonts w:ascii="Tahoma" w:hAnsi="Tahoma" w:cs="Tahoma"/>
          <w:b/>
          <w:sz w:val="16"/>
          <w:szCs w:val="16"/>
        </w:rPr>
        <w:t>МЕТОД</w:t>
      </w:r>
      <w:proofErr w:type="gramEnd"/>
      <w:r w:rsidRPr="003121C0">
        <w:rPr>
          <w:rFonts w:ascii="Tahoma" w:hAnsi="Tahoma" w:cs="Tahoma"/>
          <w:b/>
          <w:sz w:val="16"/>
          <w:szCs w:val="16"/>
        </w:rPr>
        <w:t xml:space="preserve"> НАИМЕНЬШИХ КВАДРАТОВ, КАК МЕТОД ПРОГНОЗА БУДУЩИХ ПОТОКОВ. </w:t>
      </w:r>
    </w:p>
    <w:p w:rsidR="003121C0" w:rsidRDefault="003121C0" w:rsidP="003121C0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</w:t>
      </w:r>
      <w:proofErr w:type="spellStart"/>
      <w:r>
        <w:rPr>
          <w:rFonts w:ascii="Tahoma" w:hAnsi="Tahoma" w:cs="Tahoma"/>
          <w:sz w:val="16"/>
          <w:szCs w:val="16"/>
        </w:rPr>
        <w:t>Байдецкая</w:t>
      </w:r>
      <w:proofErr w:type="spellEnd"/>
      <w:r>
        <w:rPr>
          <w:rFonts w:ascii="Tahoma" w:hAnsi="Tahoma" w:cs="Tahoma"/>
          <w:sz w:val="16"/>
          <w:szCs w:val="16"/>
        </w:rPr>
        <w:t xml:space="preserve"> Е.А., </w:t>
      </w:r>
      <w:proofErr w:type="spellStart"/>
      <w:r>
        <w:rPr>
          <w:rFonts w:ascii="Tahoma" w:hAnsi="Tahoma" w:cs="Tahoma"/>
          <w:sz w:val="16"/>
          <w:szCs w:val="16"/>
        </w:rPr>
        <w:t>Шамрай</w:t>
      </w:r>
      <w:proofErr w:type="spellEnd"/>
      <w:r>
        <w:rPr>
          <w:rFonts w:ascii="Tahoma" w:hAnsi="Tahoma" w:cs="Tahoma"/>
          <w:sz w:val="16"/>
          <w:szCs w:val="16"/>
        </w:rPr>
        <w:t xml:space="preserve"> И.Н.</w:t>
      </w:r>
    </w:p>
    <w:p w:rsidR="003121C0" w:rsidRDefault="003121C0" w:rsidP="003121C0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Краснодар, 2018.</w:t>
      </w:r>
    </w:p>
    <w:p w:rsidR="00944A26" w:rsidRPr="00944A26" w:rsidRDefault="003121C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31   </w:t>
      </w:r>
      <w:r w:rsidRPr="003121C0">
        <w:rPr>
          <w:rFonts w:ascii="Tahoma" w:hAnsi="Tahoma" w:cs="Tahoma"/>
          <w:sz w:val="16"/>
          <w:szCs w:val="16"/>
        </w:rPr>
        <w:t>Три метода определения корректной ста</w:t>
      </w:r>
      <w:r>
        <w:rPr>
          <w:rFonts w:ascii="Tahoma" w:hAnsi="Tahoma" w:cs="Tahoma"/>
          <w:sz w:val="16"/>
          <w:szCs w:val="16"/>
        </w:rPr>
        <w:t>вки дисконтирования инвестицион</w:t>
      </w:r>
      <w:r w:rsidRPr="003121C0">
        <w:rPr>
          <w:rFonts w:ascii="Tahoma" w:hAnsi="Tahoma" w:cs="Tahoma"/>
          <w:sz w:val="16"/>
          <w:szCs w:val="16"/>
        </w:rPr>
        <w:t>ного проекта.</w:t>
      </w:r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Байдецкая</w:t>
      </w:r>
      <w:proofErr w:type="spellEnd"/>
      <w:r>
        <w:rPr>
          <w:rFonts w:ascii="Tahoma" w:hAnsi="Tahoma" w:cs="Tahoma"/>
          <w:sz w:val="16"/>
          <w:szCs w:val="16"/>
        </w:rPr>
        <w:t xml:space="preserve"> Е.А, </w:t>
      </w:r>
      <w:proofErr w:type="spellStart"/>
      <w:r>
        <w:rPr>
          <w:rFonts w:ascii="Tahoma" w:hAnsi="Tahoma" w:cs="Tahoma"/>
          <w:sz w:val="16"/>
          <w:szCs w:val="16"/>
        </w:rPr>
        <w:t>Шамрай</w:t>
      </w:r>
      <w:proofErr w:type="spellEnd"/>
      <w:r>
        <w:rPr>
          <w:rFonts w:ascii="Tahoma" w:hAnsi="Tahoma" w:cs="Tahoma"/>
          <w:sz w:val="16"/>
          <w:szCs w:val="16"/>
        </w:rPr>
        <w:t xml:space="preserve"> И.Н.</w:t>
      </w:r>
      <w:bookmarkStart w:id="0" w:name="_GoBack"/>
      <w:bookmarkEnd w:id="0"/>
    </w:p>
    <w:sectPr w:rsidR="00944A26" w:rsidRPr="0094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8E"/>
    <w:rsid w:val="000001E0"/>
    <w:rsid w:val="00014D77"/>
    <w:rsid w:val="0003191E"/>
    <w:rsid w:val="00035B30"/>
    <w:rsid w:val="000416D2"/>
    <w:rsid w:val="00054310"/>
    <w:rsid w:val="00060FB2"/>
    <w:rsid w:val="00071209"/>
    <w:rsid w:val="00085B4D"/>
    <w:rsid w:val="000A0827"/>
    <w:rsid w:val="000A0937"/>
    <w:rsid w:val="000B334C"/>
    <w:rsid w:val="000E4F1E"/>
    <w:rsid w:val="00100C42"/>
    <w:rsid w:val="00106D63"/>
    <w:rsid w:val="00127ADB"/>
    <w:rsid w:val="00153E4F"/>
    <w:rsid w:val="00156A80"/>
    <w:rsid w:val="00157E24"/>
    <w:rsid w:val="001A3DEB"/>
    <w:rsid w:val="001A4212"/>
    <w:rsid w:val="001A6AAB"/>
    <w:rsid w:val="001B5EB1"/>
    <w:rsid w:val="00215AFE"/>
    <w:rsid w:val="002217C6"/>
    <w:rsid w:val="002237E2"/>
    <w:rsid w:val="00224FA5"/>
    <w:rsid w:val="0022644A"/>
    <w:rsid w:val="00227F52"/>
    <w:rsid w:val="002307F3"/>
    <w:rsid w:val="002352EE"/>
    <w:rsid w:val="00246D83"/>
    <w:rsid w:val="002A7667"/>
    <w:rsid w:val="002B329A"/>
    <w:rsid w:val="002D2544"/>
    <w:rsid w:val="002E5ADC"/>
    <w:rsid w:val="00310F65"/>
    <w:rsid w:val="003121C0"/>
    <w:rsid w:val="003413F5"/>
    <w:rsid w:val="00341F59"/>
    <w:rsid w:val="003534C2"/>
    <w:rsid w:val="00371F03"/>
    <w:rsid w:val="003741ED"/>
    <w:rsid w:val="00375256"/>
    <w:rsid w:val="0038585E"/>
    <w:rsid w:val="00386F9D"/>
    <w:rsid w:val="003A0EAC"/>
    <w:rsid w:val="003B25AE"/>
    <w:rsid w:val="003C72DC"/>
    <w:rsid w:val="003E31CA"/>
    <w:rsid w:val="003E3423"/>
    <w:rsid w:val="003F1046"/>
    <w:rsid w:val="003F3172"/>
    <w:rsid w:val="003F695C"/>
    <w:rsid w:val="00401B7F"/>
    <w:rsid w:val="00413760"/>
    <w:rsid w:val="00424F13"/>
    <w:rsid w:val="00427B0E"/>
    <w:rsid w:val="004378E3"/>
    <w:rsid w:val="00452E7B"/>
    <w:rsid w:val="0045467F"/>
    <w:rsid w:val="00455B65"/>
    <w:rsid w:val="00462377"/>
    <w:rsid w:val="004630A7"/>
    <w:rsid w:val="004769AF"/>
    <w:rsid w:val="004A22E2"/>
    <w:rsid w:val="004B7AE7"/>
    <w:rsid w:val="004C07FC"/>
    <w:rsid w:val="004C396B"/>
    <w:rsid w:val="004D0C01"/>
    <w:rsid w:val="004D0D5D"/>
    <w:rsid w:val="004D1B0B"/>
    <w:rsid w:val="004E6B65"/>
    <w:rsid w:val="00542CDF"/>
    <w:rsid w:val="00544466"/>
    <w:rsid w:val="005671C4"/>
    <w:rsid w:val="00570F0A"/>
    <w:rsid w:val="005C57D2"/>
    <w:rsid w:val="005C7EA7"/>
    <w:rsid w:val="005F4BEC"/>
    <w:rsid w:val="005F6183"/>
    <w:rsid w:val="0061581A"/>
    <w:rsid w:val="006278E3"/>
    <w:rsid w:val="006322FB"/>
    <w:rsid w:val="0064238D"/>
    <w:rsid w:val="006764B2"/>
    <w:rsid w:val="00677AB7"/>
    <w:rsid w:val="006865EF"/>
    <w:rsid w:val="0069481A"/>
    <w:rsid w:val="006A209B"/>
    <w:rsid w:val="006B0874"/>
    <w:rsid w:val="006B7822"/>
    <w:rsid w:val="006C79C9"/>
    <w:rsid w:val="006D2318"/>
    <w:rsid w:val="006D497B"/>
    <w:rsid w:val="006D637A"/>
    <w:rsid w:val="006E1C15"/>
    <w:rsid w:val="006E2AF7"/>
    <w:rsid w:val="006E40AA"/>
    <w:rsid w:val="00706CB4"/>
    <w:rsid w:val="007322D8"/>
    <w:rsid w:val="00737BB0"/>
    <w:rsid w:val="00767A98"/>
    <w:rsid w:val="00767C47"/>
    <w:rsid w:val="00791942"/>
    <w:rsid w:val="007A5D83"/>
    <w:rsid w:val="007B5008"/>
    <w:rsid w:val="007D719D"/>
    <w:rsid w:val="007E208B"/>
    <w:rsid w:val="007F4203"/>
    <w:rsid w:val="0080286D"/>
    <w:rsid w:val="00816159"/>
    <w:rsid w:val="0082533A"/>
    <w:rsid w:val="00855E79"/>
    <w:rsid w:val="00872609"/>
    <w:rsid w:val="00885512"/>
    <w:rsid w:val="00887879"/>
    <w:rsid w:val="0089001A"/>
    <w:rsid w:val="008D1BFD"/>
    <w:rsid w:val="008D1D80"/>
    <w:rsid w:val="008D548E"/>
    <w:rsid w:val="008E40BF"/>
    <w:rsid w:val="008F793B"/>
    <w:rsid w:val="009013DA"/>
    <w:rsid w:val="00901487"/>
    <w:rsid w:val="00903C38"/>
    <w:rsid w:val="0090452F"/>
    <w:rsid w:val="0093190A"/>
    <w:rsid w:val="0093506A"/>
    <w:rsid w:val="00944A26"/>
    <w:rsid w:val="00944F3E"/>
    <w:rsid w:val="00953641"/>
    <w:rsid w:val="0095410D"/>
    <w:rsid w:val="009A2452"/>
    <w:rsid w:val="009A41ED"/>
    <w:rsid w:val="009C1576"/>
    <w:rsid w:val="009D6573"/>
    <w:rsid w:val="009D7F9A"/>
    <w:rsid w:val="00A255A4"/>
    <w:rsid w:val="00A27779"/>
    <w:rsid w:val="00A30839"/>
    <w:rsid w:val="00A32BCB"/>
    <w:rsid w:val="00A352EA"/>
    <w:rsid w:val="00A56F8D"/>
    <w:rsid w:val="00A6247C"/>
    <w:rsid w:val="00A7077C"/>
    <w:rsid w:val="00A775B4"/>
    <w:rsid w:val="00A93928"/>
    <w:rsid w:val="00A9624B"/>
    <w:rsid w:val="00AB56A0"/>
    <w:rsid w:val="00AC0849"/>
    <w:rsid w:val="00AC5BDB"/>
    <w:rsid w:val="00AD24EF"/>
    <w:rsid w:val="00AE3EDE"/>
    <w:rsid w:val="00B22810"/>
    <w:rsid w:val="00B22C37"/>
    <w:rsid w:val="00B240E9"/>
    <w:rsid w:val="00B27F44"/>
    <w:rsid w:val="00B54C3F"/>
    <w:rsid w:val="00B55C29"/>
    <w:rsid w:val="00B6446B"/>
    <w:rsid w:val="00B65155"/>
    <w:rsid w:val="00B721C2"/>
    <w:rsid w:val="00B7311F"/>
    <w:rsid w:val="00B851A1"/>
    <w:rsid w:val="00B86736"/>
    <w:rsid w:val="00BA0853"/>
    <w:rsid w:val="00BA1562"/>
    <w:rsid w:val="00BB14EF"/>
    <w:rsid w:val="00BC3797"/>
    <w:rsid w:val="00BC3C20"/>
    <w:rsid w:val="00BC5872"/>
    <w:rsid w:val="00BE1CDE"/>
    <w:rsid w:val="00BF6918"/>
    <w:rsid w:val="00C04AB1"/>
    <w:rsid w:val="00C077B1"/>
    <w:rsid w:val="00C2092E"/>
    <w:rsid w:val="00C26602"/>
    <w:rsid w:val="00C372F0"/>
    <w:rsid w:val="00C52574"/>
    <w:rsid w:val="00C702AB"/>
    <w:rsid w:val="00C7262A"/>
    <w:rsid w:val="00C76D63"/>
    <w:rsid w:val="00C87CF3"/>
    <w:rsid w:val="00C90992"/>
    <w:rsid w:val="00C92905"/>
    <w:rsid w:val="00C92CC9"/>
    <w:rsid w:val="00CA7F1D"/>
    <w:rsid w:val="00CE6457"/>
    <w:rsid w:val="00CF48DC"/>
    <w:rsid w:val="00D11EA0"/>
    <w:rsid w:val="00D23996"/>
    <w:rsid w:val="00D25B2F"/>
    <w:rsid w:val="00D32C46"/>
    <w:rsid w:val="00D349BF"/>
    <w:rsid w:val="00D36DAF"/>
    <w:rsid w:val="00D43EFB"/>
    <w:rsid w:val="00D63355"/>
    <w:rsid w:val="00D7329F"/>
    <w:rsid w:val="00D75EA5"/>
    <w:rsid w:val="00D77158"/>
    <w:rsid w:val="00D855A8"/>
    <w:rsid w:val="00D96CFE"/>
    <w:rsid w:val="00DA07BC"/>
    <w:rsid w:val="00DA5536"/>
    <w:rsid w:val="00DB1B5A"/>
    <w:rsid w:val="00DC7250"/>
    <w:rsid w:val="00DF1C32"/>
    <w:rsid w:val="00E15D9E"/>
    <w:rsid w:val="00E301CD"/>
    <w:rsid w:val="00E31C42"/>
    <w:rsid w:val="00E35819"/>
    <w:rsid w:val="00E41CA5"/>
    <w:rsid w:val="00E4630F"/>
    <w:rsid w:val="00E52DEA"/>
    <w:rsid w:val="00E65D2A"/>
    <w:rsid w:val="00E75205"/>
    <w:rsid w:val="00E81558"/>
    <w:rsid w:val="00EA73EC"/>
    <w:rsid w:val="00EB09F4"/>
    <w:rsid w:val="00EB4965"/>
    <w:rsid w:val="00EC1E9D"/>
    <w:rsid w:val="00F06241"/>
    <w:rsid w:val="00F11EED"/>
    <w:rsid w:val="00F123F4"/>
    <w:rsid w:val="00F15E3B"/>
    <w:rsid w:val="00F44B8C"/>
    <w:rsid w:val="00F57BB8"/>
    <w:rsid w:val="00F6678D"/>
    <w:rsid w:val="00F81547"/>
    <w:rsid w:val="00F85DB8"/>
    <w:rsid w:val="00F97BE2"/>
    <w:rsid w:val="00FA7BB7"/>
    <w:rsid w:val="00FC6569"/>
    <w:rsid w:val="00FD0506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749DC11-C625-461B-8EE2-B5655D34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4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D5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Denis2</dc:creator>
  <cp:lastModifiedBy>Леонид</cp:lastModifiedBy>
  <cp:revision>4</cp:revision>
  <dcterms:created xsi:type="dcterms:W3CDTF">2016-10-24T12:35:00Z</dcterms:created>
  <dcterms:modified xsi:type="dcterms:W3CDTF">2019-12-06T07:37:00Z</dcterms:modified>
</cp:coreProperties>
</file>