
<file path=[Content_Types].xml><?xml version="1.0" encoding="utf-8"?>
<Types xmlns="http://schemas.openxmlformats.org/package/2006/content-types">
  <Default Extension="xlsx" ContentType="application/vnd.openxmlformats-officedocument.spreadsheetml.sheet"/>
  <Default Extension="xml" ContentType="application/xml"/>
  <Default Extension="bin" ContentType="application/vnd.openxmlformats-officedocument.oleObject"/>
  <Default Extension="png" ContentType="image/png"/>
  <Default Extension="jpeg" ContentType="image/jpeg"/>
  <Default Extension="xls" ContentType="application/vnd.ms-excel"/>
  <Default Extension="rels" ContentType="application/vnd.openxmlformats-package.relationships+xml"/>
  <Override PartName="/word/theme/theme1.xml" ContentType="application/vnd.openxmlformats-officedocument.theme+xml"/>
  <Override PartName="/word/ink/ink10.xml" ContentType="application/inkml+xml"/>
  <Override PartName="/word/charts/chart3.xml" ContentType="application/vnd.openxmlformats-officedocument.drawingml.chart+xml"/>
  <Override PartName="/word/ink/ink15.xml" ContentType="application/inkml+xml"/>
  <Override PartName="/word/ink/ink8.xml" ContentType="application/inkml+xml"/>
  <Override PartName="/word/footer1.xml" ContentType="application/vnd.openxmlformats-officedocument.wordprocessingml.footer+xml"/>
  <Override PartName="/word/numbering.xml" ContentType="application/vnd.openxmlformats-officedocument.wordprocessingml.numbering+xml"/>
  <Override PartName="/word/ink/ink11.xml" ContentType="application/inkml+xml"/>
  <Override PartName="/customXml/itemProps2.xml" ContentType="application/vnd.openxmlformats-officedocument.customXmlProperties+xml"/>
  <Override PartName="/word/charts/colors3.xml" ContentType="application/vnd.ms-office.chartcolorstyle+xml"/>
  <Override PartName="/word/ink/ink4.xml" ContentType="application/inkml+xml"/>
  <Override PartName="/word/settings.xml" ContentType="application/vnd.openxmlformats-officedocument.wordprocessingml.settings+xml"/>
  <Override PartName="/word/ink/ink19.xml" ContentType="application/inkml+xml"/>
  <Override PartName="/word/ink/ink14.xml" ContentType="application/inkml+xml"/>
  <Override PartName="/word/charts/chart4.xml" ContentType="application/vnd.openxmlformats-officedocument.drawingml.chart+xml"/>
  <Override PartName="/word/ink/ink3.xml" ContentType="application/inkml+xml"/>
  <Override PartName="/word/charts/colors4.xml" ContentType="application/vnd.ms-office.chartcolorstyle+xml"/>
  <Override PartName="/word/document.xml" ContentType="application/vnd.openxmlformats-officedocument.wordprocessingml.document.main+xml"/>
  <Override PartName="/word/charts/style1.xml" ContentType="application/vnd.ms-office.chartstyle+xml"/>
  <Override PartName="/customXml/itemProps1.xml" ContentType="application/vnd.openxmlformats-officedocument.customXmlProperties+xml"/>
  <Override PartName="/word/ink/ink7.xml" ContentType="application/inkml+xml"/>
  <Override PartName="/word/ink/ink23.xml" ContentType="application/inkml+xml"/>
  <Override PartName="/word/styles.xml" ContentType="application/vnd.openxmlformats-officedocument.wordprocessingml.styles+xml"/>
  <Override PartName="/docProps/app.xml" ContentType="application/vnd.openxmlformats-officedocument.extended-properties+xml"/>
  <Override PartName="/word/ink/ink21.xml" ContentType="application/inkml+xml"/>
  <Override PartName="/word/charts/colors1.xml" ContentType="application/vnd.ms-office.chartcolorstyle+xml"/>
  <Override PartName="/word/ink/ink1.xml" ContentType="application/inkml+xml"/>
  <Override PartName="/word/fontTable.xml" ContentType="application/vnd.openxmlformats-officedocument.wordprocessingml.fontTable+xml"/>
  <Override PartName="/word/ink/ink13.xml" ContentType="application/inkml+xml"/>
  <Override PartName="/docProps/core.xml" ContentType="application/vnd.openxmlformats-package.core-properties+xml"/>
  <Override PartName="/word/charts/chart1.xml" ContentType="application/vnd.openxmlformats-officedocument.drawingml.chart+xml"/>
  <Override PartName="/word/ink/ink18.xml" ContentType="application/inkml+xml"/>
  <Override PartName="/word/ink/ink2.xml" ContentType="application/inkml+xml"/>
  <Override PartName="/word/charts/style2.xml" ContentType="application/vnd.ms-office.chartstyle+xml"/>
  <Override PartName="/word/ink/ink22.xml" ContentType="application/inkml+xml"/>
  <Override PartName="/word/charts/style4.xml" ContentType="application/vnd.ms-office.chartstyle+xml"/>
  <Override PartName="/docProps/custom.xml" ContentType="application/vnd.openxmlformats-officedocument.custom-properties+xml"/>
  <Override PartName="/word/ink/ink6.xml" ContentType="application/inkml+xml"/>
  <Override PartName="/word/ink/ink20.xml" ContentType="application/inkml+xml"/>
  <Override PartName="/word/charts/colors2.xml" ContentType="application/vnd.ms-office.chartcolorstyle+xml"/>
  <Override PartName="/word/ink/ink16.xml" ContentType="application/inkml+xml"/>
  <Override PartName="/word/ink/ink12.xml" ContentType="application/inkml+xml"/>
  <Override PartName="/word/charts/chart2.xml" ContentType="application/vnd.openxmlformats-officedocument.drawingml.chart+xml"/>
  <Override PartName="/word/ink/ink17.xml" ContentType="application/inkml+xml"/>
  <Override PartName="/word/ink/ink9.xml" ContentType="application/inkml+xml"/>
  <Override PartName="/word/ink/ink5.xml" ContentType="application/inkml+xml"/>
  <Override PartName="/word/charts/style3.xml" ContentType="application/vnd.ms-office.chartstyle+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widowControl w:val="false"/>
        <w:autoSpaceDE w:val="false"/>
        <w:autoSpaceDN w:val="false"/>
        <w:adjustRightInd w:val="false"/>
        <w:spacing w:lineRule="auto" w:line="360"/>
        <w:jc w:val="center"/>
        <w:contextualSpacing/>
        <w:rPr>
          <w:rFonts w:cs="Times New Roman" w:eastAsia="Times New Roman"/>
          <w:szCs w:val="28"/>
          <w:lang w:eastAsia="ru-RU"/>
        </w:rPr>
      </w:pPr>
      <w:r>
        <w:rPr>
          <w:rFonts w:cs="Times New Roman" w:eastAsia="Times New Roman"/>
          <w:szCs w:val="28"/>
          <w:lang w:eastAsia="ru-RU"/>
        </w:rPr>
        <w:t xml:space="preserve">МИНИСТЕРСТВО НАУКИ И ВЫСШЕГО ОБРАЗОВАНИЯ </w:t>
      </w:r>
      <w:r>
        <w:rPr>
          <w:rFonts w:cs="Times New Roman" w:eastAsia="Times New Roman"/>
          <w:szCs w:val="28"/>
          <w:lang w:eastAsia="ru-RU"/>
        </w:rPr>
        <w:br/>
      </w:r>
      <w:r>
        <w:rPr>
          <w:rFonts w:cs="Times New Roman" w:eastAsia="Times New Roman"/>
          <w:szCs w:val="28"/>
          <w:lang w:eastAsia="ru-RU"/>
        </w:rPr>
        <w:t>РОССИЙСКОЙ ФЕДЕРАЦИИ</w:t>
      </w:r>
    </w:p>
    <w:p>
      <w:pPr>
        <w:pStyle w:val="style0"/>
        <w:widowControl w:val="false"/>
        <w:autoSpaceDE w:val="false"/>
        <w:autoSpaceDN w:val="false"/>
        <w:adjustRightInd w:val="false"/>
        <w:spacing w:lineRule="auto" w:line="360"/>
        <w:ind w:firstLine="567"/>
        <w:jc w:val="center"/>
        <w:contextualSpacing/>
        <w:rPr>
          <w:rFonts w:cs="Times New Roman" w:eastAsia="Times New Roman"/>
          <w:szCs w:val="28"/>
          <w:lang w:eastAsia="ru-RU"/>
        </w:rPr>
      </w:pPr>
      <w:r>
        <w:rPr>
          <w:rFonts w:cs="Times New Roman" w:eastAsia="Times New Roman"/>
          <w:szCs w:val="28"/>
          <w:lang w:eastAsia="ru-RU"/>
        </w:rPr>
        <w:t xml:space="preserve">Федеральное государственное бюджетное образовательное </w:t>
      </w:r>
      <w:r>
        <w:rPr>
          <w:rFonts w:cs="Times New Roman" w:eastAsia="Times New Roman"/>
          <w:szCs w:val="28"/>
          <w:lang w:eastAsia="ru-RU"/>
        </w:rPr>
        <w:br/>
      </w:r>
      <w:r>
        <w:rPr>
          <w:rFonts w:cs="Times New Roman" w:eastAsia="Times New Roman"/>
          <w:szCs w:val="28"/>
          <w:lang w:eastAsia="ru-RU"/>
        </w:rPr>
        <w:t>учреждение высшего образования</w:t>
      </w:r>
    </w:p>
    <w:p>
      <w:pPr>
        <w:pStyle w:val="style0"/>
        <w:widowControl w:val="false"/>
        <w:autoSpaceDE w:val="false"/>
        <w:autoSpaceDN w:val="false"/>
        <w:adjustRightInd w:val="false"/>
        <w:spacing w:lineRule="auto" w:line="360"/>
        <w:ind w:firstLine="567"/>
        <w:jc w:val="center"/>
        <w:contextualSpacing/>
        <w:rPr>
          <w:rFonts w:cs="Times New Roman" w:eastAsia="Times New Roman"/>
          <w:b/>
          <w:szCs w:val="28"/>
          <w:lang w:eastAsia="ru-RU"/>
        </w:rPr>
      </w:pPr>
      <w:r>
        <w:rPr>
          <w:rFonts w:cs="Times New Roman" w:eastAsia="Times New Roman"/>
          <w:b/>
          <w:szCs w:val="28"/>
          <w:lang w:eastAsia="ru-RU"/>
        </w:rPr>
        <w:t>«КУБАНСКИЙ ГОСУДАРСТВЕННЫЙ УНИВЕРСИТЕТ»</w:t>
      </w:r>
    </w:p>
    <w:p>
      <w:pPr>
        <w:pStyle w:val="style0"/>
        <w:widowControl w:val="false"/>
        <w:autoSpaceDE w:val="false"/>
        <w:autoSpaceDN w:val="false"/>
        <w:adjustRightInd w:val="false"/>
        <w:spacing w:lineRule="auto" w:line="360"/>
        <w:ind w:firstLine="567"/>
        <w:jc w:val="center"/>
        <w:contextualSpacing/>
        <w:rPr>
          <w:rFonts w:cs="Times New Roman" w:eastAsia="Times New Roman"/>
          <w:b/>
          <w:szCs w:val="28"/>
          <w:lang w:eastAsia="ru-RU"/>
        </w:rPr>
      </w:pPr>
      <w:r>
        <w:rPr>
          <w:rFonts w:cs="Times New Roman" w:eastAsia="Times New Roman"/>
          <w:b/>
          <w:szCs w:val="28"/>
          <w:lang w:eastAsia="ru-RU"/>
        </w:rPr>
        <w:t>(ФГБОУ ВО «КубГУ»)</w:t>
      </w:r>
    </w:p>
    <w:p>
      <w:pPr>
        <w:pStyle w:val="style0"/>
        <w:widowControl w:val="false"/>
        <w:autoSpaceDE w:val="false"/>
        <w:autoSpaceDN w:val="false"/>
        <w:adjustRightInd w:val="false"/>
        <w:spacing w:lineRule="auto" w:line="360"/>
        <w:ind w:firstLine="567"/>
        <w:jc w:val="center"/>
        <w:contextualSpacing/>
        <w:rPr>
          <w:rFonts w:cs="Times New Roman" w:eastAsia="Times New Roman"/>
          <w:b/>
          <w:szCs w:val="28"/>
          <w:lang w:eastAsia="ru-RU"/>
        </w:rPr>
      </w:pPr>
    </w:p>
    <w:p>
      <w:pPr>
        <w:pStyle w:val="style0"/>
        <w:widowControl w:val="false"/>
        <w:autoSpaceDE w:val="false"/>
        <w:autoSpaceDN w:val="false"/>
        <w:adjustRightInd w:val="false"/>
        <w:spacing w:lineRule="auto" w:line="360"/>
        <w:ind w:firstLine="567"/>
        <w:jc w:val="center"/>
        <w:contextualSpacing/>
        <w:rPr>
          <w:rFonts w:cs="Times New Roman" w:eastAsia="Times New Roman"/>
          <w:b/>
          <w:szCs w:val="28"/>
          <w:lang w:eastAsia="ru-RU"/>
        </w:rPr>
      </w:pPr>
      <w:r>
        <w:rPr>
          <w:rFonts w:cs="Times New Roman" w:eastAsia="Times New Roman"/>
          <w:b/>
          <w:szCs w:val="28"/>
          <w:lang w:eastAsia="ru-RU"/>
        </w:rPr>
        <w:t>Экономический факультет</w:t>
      </w:r>
    </w:p>
    <w:p>
      <w:pPr>
        <w:pStyle w:val="style0"/>
        <w:widowControl w:val="false"/>
        <w:autoSpaceDE w:val="false"/>
        <w:autoSpaceDN w:val="false"/>
        <w:adjustRightInd w:val="false"/>
        <w:spacing w:lineRule="auto" w:line="360"/>
        <w:ind w:firstLine="567"/>
        <w:jc w:val="center"/>
        <w:contextualSpacing/>
        <w:rPr>
          <w:rFonts w:cs="Times New Roman" w:eastAsia="Times New Roman"/>
          <w:b/>
          <w:szCs w:val="28"/>
          <w:lang w:eastAsia="ru-RU"/>
        </w:rPr>
      </w:pPr>
    </w:p>
    <w:p>
      <w:pPr>
        <w:pStyle w:val="style0"/>
        <w:widowControl w:val="false"/>
        <w:autoSpaceDE w:val="false"/>
        <w:autoSpaceDN w:val="false"/>
        <w:adjustRightInd w:val="false"/>
        <w:spacing w:lineRule="auto" w:line="360"/>
        <w:ind w:firstLine="567"/>
        <w:jc w:val="center"/>
        <w:contextualSpacing/>
        <w:rPr>
          <w:rFonts w:cs="Times New Roman" w:eastAsia="Times New Roman"/>
          <w:b/>
          <w:szCs w:val="28"/>
          <w:lang w:eastAsia="ru-RU"/>
        </w:rPr>
      </w:pPr>
      <w:r>
        <w:rPr>
          <w:rFonts w:cs="Times New Roman" w:eastAsia="Times New Roman"/>
          <w:b/>
          <w:szCs w:val="28"/>
          <w:lang w:eastAsia="ru-RU"/>
        </w:rPr>
        <w:t xml:space="preserve">Кафедра </w:t>
      </w:r>
      <w:r>
        <w:rPr>
          <w:rFonts w:cs="Times New Roman" w:eastAsia="Times New Roman"/>
          <w:b/>
          <w:szCs w:val="28"/>
          <w:lang w:eastAsia="ru-RU"/>
        </w:rPr>
        <w:t>экономического анализа, статистики и финансов</w:t>
      </w:r>
    </w:p>
    <w:p>
      <w:pPr>
        <w:pStyle w:val="style0"/>
        <w:widowControl w:val="false"/>
        <w:autoSpaceDE w:val="false"/>
        <w:autoSpaceDN w:val="false"/>
        <w:adjustRightInd w:val="false"/>
        <w:spacing w:lineRule="auto" w:line="360"/>
        <w:ind w:firstLine="567"/>
        <w:jc w:val="center"/>
        <w:contextualSpacing/>
        <w:rPr>
          <w:rFonts w:cs="Times New Roman" w:eastAsia="Times New Roman"/>
          <w:b/>
          <w:szCs w:val="28"/>
          <w:lang w:eastAsia="ru-RU"/>
        </w:rPr>
      </w:pPr>
    </w:p>
    <w:p>
      <w:pPr>
        <w:pStyle w:val="style0"/>
        <w:widowControl w:val="false"/>
        <w:autoSpaceDE w:val="false"/>
        <w:autoSpaceDN w:val="false"/>
        <w:adjustRightInd w:val="false"/>
        <w:spacing w:lineRule="auto" w:line="360"/>
        <w:ind w:firstLine="567"/>
        <w:jc w:val="both"/>
        <w:contextualSpacing/>
        <w:rPr>
          <w:rFonts w:cs="Times New Roman" w:eastAsia="Times New Roman"/>
          <w:b/>
          <w:szCs w:val="28"/>
          <w:lang w:eastAsia="ru-RU"/>
        </w:rPr>
      </w:pPr>
      <w:r>
        <w:rPr>
          <w:rFonts w:cs="Times New Roman" w:eastAsia="Times New Roman"/>
          <w:b/>
          <w:szCs w:val="28"/>
          <w:lang w:eastAsia="ru-RU"/>
        </w:rPr>
        <w:t xml:space="preserve">                        </w:t>
      </w:r>
    </w:p>
    <w:p>
      <w:pPr>
        <w:pStyle w:val="style0"/>
        <w:widowControl w:val="false"/>
        <w:autoSpaceDE w:val="false"/>
        <w:autoSpaceDN w:val="false"/>
        <w:adjustRightInd w:val="false"/>
        <w:spacing w:lineRule="auto" w:line="360"/>
        <w:jc w:val="center"/>
        <w:contextualSpacing/>
        <w:rPr>
          <w:rFonts w:cs="Times New Roman" w:eastAsia="Times New Roman"/>
          <w:b/>
          <w:szCs w:val="28"/>
          <w:lang w:eastAsia="ru-RU"/>
        </w:rPr>
      </w:pPr>
    </w:p>
    <w:p>
      <w:pPr>
        <w:pStyle w:val="style0"/>
        <w:widowControl w:val="false"/>
        <w:autoSpaceDE w:val="false"/>
        <w:autoSpaceDN w:val="false"/>
        <w:adjustRightInd w:val="false"/>
        <w:spacing w:lineRule="auto" w:line="360"/>
        <w:jc w:val="center"/>
        <w:contextualSpacing/>
        <w:rPr>
          <w:rFonts w:cs="Times New Roman" w:eastAsia="Times New Roman"/>
          <w:b/>
          <w:szCs w:val="28"/>
          <w:lang w:eastAsia="ru-RU"/>
        </w:rPr>
      </w:pPr>
      <w:r>
        <w:rPr>
          <w:rFonts w:cs="Times New Roman" w:eastAsia="Times New Roman"/>
          <w:b/>
          <w:szCs w:val="28"/>
          <w:lang w:eastAsia="ru-RU"/>
        </w:rPr>
        <w:t>КУРСОВАЯ РАБОТА</w:t>
      </w:r>
    </w:p>
    <w:p>
      <w:pPr>
        <w:pStyle w:val="style0"/>
        <w:widowControl w:val="false"/>
        <w:autoSpaceDE w:val="false"/>
        <w:autoSpaceDN w:val="false"/>
        <w:adjustRightInd w:val="false"/>
        <w:spacing w:lineRule="auto" w:line="360"/>
        <w:ind w:firstLine="567"/>
        <w:jc w:val="center"/>
        <w:contextualSpacing/>
        <w:rPr>
          <w:rFonts w:cs="Times New Roman" w:eastAsia="Times New Roman"/>
          <w:b/>
          <w:bCs/>
          <w:szCs w:val="28"/>
          <w:lang w:eastAsia="ru-RU"/>
        </w:rPr>
      </w:pPr>
      <w:r>
        <w:rPr>
          <w:rFonts w:cs="Times New Roman" w:eastAsia="Times New Roman"/>
          <w:b/>
          <w:bCs/>
          <w:szCs w:val="28"/>
          <w:lang w:eastAsia="ru-RU"/>
        </w:rPr>
        <w:t>ПО ДИСЦИПЛИНЕ ДЕНЬГИ, КРЕДИТ, БАНКИ</w:t>
      </w:r>
    </w:p>
    <w:p>
      <w:pPr>
        <w:pStyle w:val="style0"/>
        <w:widowControl w:val="false"/>
        <w:autoSpaceDE w:val="false"/>
        <w:autoSpaceDN w:val="false"/>
        <w:adjustRightInd w:val="false"/>
        <w:spacing w:lineRule="auto" w:line="360"/>
        <w:ind w:firstLine="567"/>
        <w:jc w:val="center"/>
        <w:contextualSpacing/>
        <w:rPr>
          <w:rFonts w:cs="Times New Roman" w:eastAsia="Times New Roman"/>
          <w:b/>
          <w:bCs/>
          <w:szCs w:val="28"/>
          <w:lang w:eastAsia="ru-RU"/>
        </w:rPr>
      </w:pPr>
    </w:p>
    <w:p>
      <w:pPr>
        <w:pStyle w:val="style0"/>
        <w:widowControl w:val="false"/>
        <w:autoSpaceDE w:val="false"/>
        <w:autoSpaceDN w:val="false"/>
        <w:adjustRightInd w:val="false"/>
        <w:spacing w:lineRule="auto" w:line="360"/>
        <w:jc w:val="center"/>
        <w:contextualSpacing/>
        <w:rPr>
          <w:rFonts w:cs="Times New Roman" w:eastAsia="Times New Roman"/>
          <w:b/>
          <w:bCs/>
          <w:szCs w:val="28"/>
          <w:lang w:eastAsia="ru-RU"/>
        </w:rPr>
      </w:pPr>
      <w:r>
        <w:rPr>
          <w:rFonts w:cs="Times New Roman" w:eastAsia="Times New Roman"/>
          <w:b/>
          <w:bCs/>
          <w:szCs w:val="28"/>
          <w:lang w:eastAsia="ru-RU"/>
        </w:rPr>
        <w:t>Инфляция и антиинфляционное регулирование в современной экономике</w:t>
      </w:r>
    </w:p>
    <w:p>
      <w:pPr>
        <w:pStyle w:val="style0"/>
        <w:widowControl w:val="false"/>
        <w:autoSpaceDE w:val="false"/>
        <w:autoSpaceDN w:val="false"/>
        <w:adjustRightInd w:val="false"/>
        <w:spacing w:lineRule="auto" w:line="360"/>
        <w:jc w:val="center"/>
        <w:contextualSpacing/>
        <w:rPr>
          <w:rFonts w:cs="Times New Roman" w:eastAsia="Times New Roman"/>
          <w:b/>
          <w:bCs/>
          <w:szCs w:val="28"/>
          <w:lang w:eastAsia="ru-RU"/>
        </w:rPr>
      </w:pPr>
      <w:r>
        <w:rPr/>
        <w:drawing>
          <wp:anchor distT="0" distB="0" distL="0" distR="0" simplePos="false" relativeHeight="38" behindDoc="false" locked="false" layoutInCell="true" allowOverlap="true">
            <wp:simplePos x="0" y="0"/>
            <wp:positionH relativeFrom="page">
              <wp:posOffset>3543965</wp:posOffset>
            </wp:positionH>
            <wp:positionV relativeFrom="page">
              <wp:posOffset>7877641</wp:posOffset>
            </wp:positionV>
            <wp:extent cx="1326992" cy="601565"/>
            <wp:effectExtent l="0" t="0" r="0" b="0"/>
            <wp:wrapNone/>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2" cstate="print"/>
                    <a:srcRect l="0" t="0" r="0" b="0"/>
                    <a:stretch/>
                  </pic:blipFill>
                  <pic:spPr>
                    <a:xfrm rot="0">
                      <a:off x="0" y="0"/>
                      <a:ext cx="1326992" cy="601565"/>
                    </a:xfrm>
                    <a:prstGeom prst="rect"/>
                  </pic:spPr>
                </pic:pic>
              </a:graphicData>
            </a:graphic>
          </wp:anchor>
        </w:drawing>
      </w:r>
    </w:p>
    <w:p>
      <w:pPr>
        <w:pStyle w:val="style0"/>
        <w:widowControl w:val="false"/>
        <w:autoSpaceDE w:val="false"/>
        <w:autoSpaceDN w:val="false"/>
        <w:adjustRightInd w:val="false"/>
        <w:spacing w:lineRule="auto" w:line="360"/>
        <w:jc w:val="center"/>
        <w:contextualSpacing/>
        <w:rPr>
          <w:rFonts w:cs="Times New Roman" w:eastAsia="Times New Roman"/>
          <w:szCs w:val="28"/>
          <w:lang w:eastAsia="ru-RU"/>
        </w:rPr>
      </w:pPr>
      <w:r>
        <w:rPr>
          <w:rFonts w:cs="Times New Roman" w:eastAsia="Times New Roman"/>
          <w:szCs w:val="28"/>
          <w:lang w:eastAsia="ru-RU"/>
        </w:rPr>
        <w:t>Работу выполнила________________________________Е. Р. Котова</w:t>
      </w:r>
    </w:p>
    <w:p>
      <w:pPr>
        <w:pStyle w:val="style0"/>
        <w:widowControl w:val="false"/>
        <w:autoSpaceDE w:val="false"/>
        <w:autoSpaceDN w:val="false"/>
        <w:adjustRightInd w:val="false"/>
        <w:spacing w:lineRule="auto" w:line="360"/>
        <w:jc w:val="center"/>
        <w:contextualSpacing/>
        <w:rPr>
          <w:rFonts w:cs="Times New Roman" w:eastAsia="Times New Roman"/>
          <w:szCs w:val="28"/>
          <w:lang w:eastAsia="ru-RU"/>
        </w:rPr>
      </w:pPr>
      <w:r>
        <w:rPr>
          <w:rFonts w:cs="Times New Roman" w:eastAsia="Times New Roman"/>
          <w:szCs w:val="28"/>
          <w:lang w:eastAsia="ru-RU"/>
        </w:rPr>
        <w:t>На</w:t>
      </w:r>
      <w:r>
        <w:rPr>
          <w:rFonts w:cs="Times New Roman" w:eastAsia="Times New Roman"/>
          <w:szCs w:val="28"/>
          <w:lang w:eastAsia="ru-RU"/>
        </w:rPr>
        <w:t>правление подготовки___38.03.01__Экономика__3 курс________</w:t>
      </w:r>
    </w:p>
    <w:p>
      <w:pPr>
        <w:pStyle w:val="style0"/>
        <w:widowControl w:val="false"/>
        <w:autoSpaceDE w:val="false"/>
        <w:autoSpaceDN w:val="false"/>
        <w:adjustRightInd w:val="false"/>
        <w:spacing w:lineRule="auto" w:line="360"/>
        <w:jc w:val="center"/>
        <w:contextualSpacing/>
        <w:rPr>
          <w:rFonts w:cs="Times New Roman" w:eastAsia="Times New Roman"/>
          <w:szCs w:val="28"/>
          <w:lang w:eastAsia="ru-RU"/>
        </w:rPr>
      </w:pPr>
      <w:r>
        <w:rPr>
          <w:rFonts w:cs="Times New Roman" w:eastAsia="Times New Roman"/>
          <w:szCs w:val="28"/>
          <w:lang w:eastAsia="ru-RU"/>
        </w:rPr>
        <w:t>Направленность (профиль)________Финансы и кредит___________</w:t>
      </w:r>
    </w:p>
    <w:p>
      <w:pPr>
        <w:pStyle w:val="style0"/>
        <w:widowControl w:val="false"/>
        <w:autoSpaceDE w:val="false"/>
        <w:autoSpaceDN w:val="false"/>
        <w:adjustRightInd w:val="false"/>
        <w:spacing w:lineRule="auto" w:line="360"/>
        <w:jc w:val="center"/>
        <w:contextualSpacing/>
        <w:rPr>
          <w:rFonts w:cs="Times New Roman" w:eastAsia="Times New Roman"/>
          <w:szCs w:val="28"/>
          <w:lang w:eastAsia="ru-RU"/>
        </w:rPr>
      </w:pPr>
      <w:r>
        <w:rPr>
          <w:rFonts w:cs="Times New Roman" w:eastAsia="Times New Roman"/>
          <w:szCs w:val="28"/>
          <w:lang w:eastAsia="ru-RU"/>
        </w:rPr>
        <w:t>Научный руководитель__________________________Л.В. Гудакова</w:t>
      </w:r>
    </w:p>
    <w:p>
      <w:pPr>
        <w:pStyle w:val="style0"/>
        <w:widowControl w:val="false"/>
        <w:autoSpaceDE w:val="false"/>
        <w:autoSpaceDN w:val="false"/>
        <w:adjustRightInd w:val="false"/>
        <w:spacing w:lineRule="auto" w:line="360"/>
        <w:jc w:val="center"/>
        <w:contextualSpacing/>
        <w:rPr>
          <w:rFonts w:cs="Times New Roman" w:eastAsia="Times New Roman"/>
          <w:szCs w:val="28"/>
          <w:lang w:eastAsia="ru-RU"/>
        </w:rPr>
      </w:pPr>
      <w:r>
        <w:rPr>
          <w:rFonts w:cs="Times New Roman" w:eastAsia="Times New Roman"/>
          <w:szCs w:val="28"/>
          <w:lang w:eastAsia="ru-RU"/>
        </w:rPr>
        <w:t>Нормоконтролер_______________________________Л.В. Гудакова</w:t>
      </w:r>
    </w:p>
    <w:p>
      <w:pPr>
        <w:pStyle w:val="style0"/>
        <w:widowControl w:val="false"/>
        <w:autoSpaceDE w:val="false"/>
        <w:autoSpaceDN w:val="false"/>
        <w:adjustRightInd w:val="false"/>
        <w:spacing w:lineRule="auto" w:line="360"/>
        <w:jc w:val="both"/>
        <w:contextualSpacing/>
        <w:rPr>
          <w:rFonts w:cs="Times New Roman" w:eastAsia="Times New Roman"/>
          <w:szCs w:val="28"/>
          <w:lang w:eastAsia="ru-RU"/>
        </w:rPr>
      </w:pPr>
    </w:p>
    <w:p>
      <w:pPr>
        <w:pStyle w:val="style0"/>
        <w:widowControl w:val="false"/>
        <w:autoSpaceDE w:val="false"/>
        <w:autoSpaceDN w:val="false"/>
        <w:adjustRightInd w:val="false"/>
        <w:spacing w:lineRule="auto" w:line="360"/>
        <w:jc w:val="both"/>
        <w:contextualSpacing/>
        <w:rPr>
          <w:rFonts w:cs="Times New Roman" w:eastAsia="Times New Roman"/>
          <w:szCs w:val="28"/>
          <w:lang w:eastAsia="ru-RU"/>
        </w:rPr>
      </w:pPr>
    </w:p>
    <w:p>
      <w:pPr>
        <w:pStyle w:val="style0"/>
        <w:widowControl w:val="false"/>
        <w:autoSpaceDE w:val="false"/>
        <w:autoSpaceDN w:val="false"/>
        <w:adjustRightInd w:val="false"/>
        <w:spacing w:lineRule="auto" w:line="360"/>
        <w:jc w:val="both"/>
        <w:contextualSpacing/>
        <w:rPr>
          <w:rFonts w:cs="Times New Roman" w:eastAsia="Times New Roman"/>
          <w:szCs w:val="28"/>
          <w:lang w:eastAsia="ru-RU"/>
        </w:rPr>
      </w:pPr>
    </w:p>
    <w:p>
      <w:pPr>
        <w:pStyle w:val="style0"/>
        <w:widowControl w:val="false"/>
        <w:autoSpaceDE w:val="false"/>
        <w:autoSpaceDN w:val="false"/>
        <w:adjustRightInd w:val="false"/>
        <w:spacing w:lineRule="auto" w:line="360"/>
        <w:jc w:val="both"/>
        <w:contextualSpacing/>
        <w:rPr>
          <w:rFonts w:cs="Times New Roman" w:eastAsia="Times New Roman"/>
          <w:szCs w:val="28"/>
          <w:lang w:eastAsia="ru-RU"/>
        </w:rPr>
      </w:pPr>
    </w:p>
    <w:p>
      <w:pPr>
        <w:pStyle w:val="style0"/>
        <w:widowControl w:val="false"/>
        <w:autoSpaceDE w:val="false"/>
        <w:autoSpaceDN w:val="false"/>
        <w:adjustRightInd w:val="false"/>
        <w:spacing w:lineRule="auto" w:line="360"/>
        <w:jc w:val="center"/>
        <w:contextualSpacing/>
        <w:rPr>
          <w:rFonts w:cs="Times New Roman" w:eastAsia="Times New Roman"/>
          <w:szCs w:val="28"/>
          <w:lang w:eastAsia="ru-RU"/>
        </w:rPr>
      </w:pPr>
      <w:r>
        <w:rPr>
          <w:rFonts w:cs="Times New Roman" w:eastAsia="Times New Roman"/>
          <w:szCs w:val="28"/>
          <w:lang w:eastAsia="ru-RU"/>
        </w:rPr>
        <w:t>Краснодар</w:t>
      </w:r>
    </w:p>
    <w:p>
      <w:pPr>
        <w:pStyle w:val="style0"/>
        <w:jc w:val="center"/>
        <w:rPr>
          <w:rFonts w:cs="Times New Roman"/>
          <w:b/>
        </w:rPr>
      </w:pPr>
      <w:r>
        <w:rPr>
          <w:rFonts w:cs="Times New Roman" w:eastAsia="Times New Roman"/>
          <w:szCs w:val="28"/>
          <w:lang w:eastAsia="ru-RU"/>
        </w:rPr>
        <w:t>2022</w:t>
      </w:r>
    </w:p>
    <w:p>
      <w:pPr>
        <w:pStyle w:val="style0"/>
        <w:spacing w:after="0" w:lineRule="auto" w:line="360"/>
        <w:ind w:firstLine="709"/>
        <w:jc w:val="center"/>
        <w:rPr/>
      </w:pPr>
      <w:r>
        <w:t>СОДЕРЖАНИЕ</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602"/>
        <w:gridCol w:w="7670"/>
        <w:gridCol w:w="667"/>
      </w:tblGrid>
      <w:tr>
        <w:trPr/>
        <w:tc>
          <w:tcPr>
            <w:tcW w:w="8686" w:type="dxa"/>
            <w:gridSpan w:val="3"/>
            <w:tcBorders/>
          </w:tcPr>
          <w:p>
            <w:pPr>
              <w:pStyle w:val="style0"/>
              <w:spacing w:lineRule="auto" w:line="360"/>
              <w:jc w:val="both"/>
              <w:rPr/>
            </w:pPr>
            <w:r>
              <w:t>Введение…………………………………………………………………..</w:t>
            </w:r>
          </w:p>
        </w:tc>
        <w:tc>
          <w:tcPr>
            <w:tcW w:w="669" w:type="dxa"/>
            <w:tcBorders/>
          </w:tcPr>
          <w:p>
            <w:pPr>
              <w:pStyle w:val="style0"/>
              <w:spacing w:lineRule="auto" w:line="360"/>
              <w:jc w:val="center"/>
              <w:rPr/>
            </w:pPr>
            <w:r>
              <w:t>3</w:t>
            </w:r>
          </w:p>
        </w:tc>
      </w:tr>
      <w:tr>
        <w:tblPrEx/>
        <w:trPr/>
        <w:tc>
          <w:tcPr>
            <w:tcW w:w="417" w:type="dxa"/>
            <w:tcBorders/>
          </w:tcPr>
          <w:p>
            <w:pPr>
              <w:pStyle w:val="style0"/>
              <w:spacing w:lineRule="auto" w:line="360"/>
              <w:jc w:val="center"/>
              <w:rPr/>
            </w:pPr>
            <w:r>
              <w:t>1</w:t>
            </w:r>
          </w:p>
        </w:tc>
        <w:tc>
          <w:tcPr>
            <w:tcW w:w="8269" w:type="dxa"/>
            <w:gridSpan w:val="2"/>
            <w:tcBorders/>
          </w:tcPr>
          <w:p>
            <w:pPr>
              <w:pStyle w:val="style0"/>
              <w:spacing w:lineRule="auto" w:line="360"/>
              <w:jc w:val="both"/>
              <w:rPr/>
            </w:pPr>
            <w:r>
              <w:t>Теоретические основы, сущность инфляции в экономике…………..</w:t>
            </w:r>
          </w:p>
        </w:tc>
        <w:tc>
          <w:tcPr>
            <w:tcW w:w="669" w:type="dxa"/>
            <w:tcBorders/>
          </w:tcPr>
          <w:p>
            <w:pPr>
              <w:pStyle w:val="style0"/>
              <w:spacing w:lineRule="auto" w:line="360"/>
              <w:jc w:val="center"/>
              <w:rPr/>
            </w:pPr>
            <w:r>
              <w:t>6</w:t>
            </w:r>
          </w:p>
        </w:tc>
      </w:tr>
      <w:tr>
        <w:tblPrEx/>
        <w:trPr/>
        <w:tc>
          <w:tcPr>
            <w:tcW w:w="417" w:type="dxa"/>
            <w:tcBorders/>
          </w:tcPr>
          <w:p>
            <w:pPr>
              <w:pStyle w:val="style0"/>
              <w:spacing w:lineRule="auto" w:line="360"/>
              <w:jc w:val="center"/>
              <w:rPr/>
            </w:pPr>
          </w:p>
        </w:tc>
        <w:tc>
          <w:tcPr>
            <w:tcW w:w="570" w:type="dxa"/>
            <w:tcBorders/>
          </w:tcPr>
          <w:p>
            <w:pPr>
              <w:pStyle w:val="style0"/>
              <w:spacing w:lineRule="auto" w:line="360"/>
              <w:jc w:val="center"/>
              <w:rPr/>
            </w:pPr>
            <w:r>
              <w:t>1.1</w:t>
            </w:r>
          </w:p>
        </w:tc>
        <w:tc>
          <w:tcPr>
            <w:tcW w:w="7699" w:type="dxa"/>
            <w:tcBorders/>
          </w:tcPr>
          <w:p>
            <w:pPr>
              <w:pStyle w:val="style0"/>
              <w:spacing w:lineRule="auto" w:line="360"/>
              <w:jc w:val="both"/>
              <w:rPr/>
            </w:pPr>
            <w:r>
              <w:t>Понятие, сущность и измерение инфляции……………………..</w:t>
            </w:r>
          </w:p>
        </w:tc>
        <w:tc>
          <w:tcPr>
            <w:tcW w:w="669" w:type="dxa"/>
            <w:tcBorders/>
          </w:tcPr>
          <w:p>
            <w:pPr>
              <w:pStyle w:val="style0"/>
              <w:spacing w:lineRule="auto" w:line="360"/>
              <w:jc w:val="center"/>
              <w:rPr/>
            </w:pPr>
            <w:r>
              <w:t>6</w:t>
            </w:r>
          </w:p>
        </w:tc>
      </w:tr>
      <w:tr>
        <w:tblPrEx/>
        <w:trPr/>
        <w:tc>
          <w:tcPr>
            <w:tcW w:w="417" w:type="dxa"/>
            <w:tcBorders/>
          </w:tcPr>
          <w:p>
            <w:pPr>
              <w:pStyle w:val="style0"/>
              <w:spacing w:lineRule="auto" w:line="360"/>
              <w:jc w:val="center"/>
              <w:rPr/>
            </w:pPr>
          </w:p>
        </w:tc>
        <w:tc>
          <w:tcPr>
            <w:tcW w:w="570" w:type="dxa"/>
            <w:tcBorders/>
          </w:tcPr>
          <w:p>
            <w:pPr>
              <w:pStyle w:val="style0"/>
              <w:spacing w:lineRule="auto" w:line="360"/>
              <w:jc w:val="center"/>
              <w:rPr/>
            </w:pPr>
            <w:r>
              <w:t>1.2</w:t>
            </w:r>
          </w:p>
        </w:tc>
        <w:tc>
          <w:tcPr>
            <w:tcW w:w="7699" w:type="dxa"/>
            <w:tcBorders/>
          </w:tcPr>
          <w:p>
            <w:pPr>
              <w:pStyle w:val="style0"/>
              <w:spacing w:lineRule="auto" w:line="360"/>
              <w:jc w:val="both"/>
              <w:rPr/>
            </w:pPr>
            <w:r>
              <w:t>Количественные и качественные показатели уровня инфляции в Российской Федерации</w:t>
            </w:r>
            <w:r>
              <w:t>………………………............................</w:t>
            </w:r>
          </w:p>
        </w:tc>
        <w:tc>
          <w:tcPr>
            <w:tcW w:w="669" w:type="dxa"/>
            <w:tcBorders/>
          </w:tcPr>
          <w:p>
            <w:pPr>
              <w:pStyle w:val="style0"/>
              <w:spacing w:lineRule="auto" w:line="360"/>
              <w:jc w:val="center"/>
              <w:rPr/>
            </w:pPr>
          </w:p>
          <w:p>
            <w:pPr>
              <w:pStyle w:val="style0"/>
              <w:spacing w:lineRule="auto" w:line="360"/>
              <w:jc w:val="center"/>
              <w:rPr/>
            </w:pPr>
            <w:r>
              <w:t>11</w:t>
            </w:r>
          </w:p>
        </w:tc>
      </w:tr>
      <w:tr>
        <w:tblPrEx/>
        <w:trPr/>
        <w:tc>
          <w:tcPr>
            <w:tcW w:w="417" w:type="dxa"/>
            <w:tcBorders/>
          </w:tcPr>
          <w:p>
            <w:pPr>
              <w:pStyle w:val="style0"/>
              <w:spacing w:lineRule="auto" w:line="360"/>
              <w:jc w:val="center"/>
              <w:rPr/>
            </w:pPr>
          </w:p>
        </w:tc>
        <w:tc>
          <w:tcPr>
            <w:tcW w:w="570" w:type="dxa"/>
            <w:tcBorders/>
          </w:tcPr>
          <w:p>
            <w:pPr>
              <w:pStyle w:val="style0"/>
              <w:spacing w:lineRule="auto" w:line="360"/>
              <w:jc w:val="center"/>
              <w:rPr/>
            </w:pPr>
            <w:r>
              <w:t>1.3</w:t>
            </w:r>
          </w:p>
        </w:tc>
        <w:tc>
          <w:tcPr>
            <w:tcW w:w="7699" w:type="dxa"/>
            <w:tcBorders/>
          </w:tcPr>
          <w:p>
            <w:pPr>
              <w:pStyle w:val="style0"/>
              <w:spacing w:lineRule="auto" w:line="360"/>
              <w:jc w:val="both"/>
              <w:rPr/>
            </w:pPr>
            <w:r>
              <w:t>Причины и последствия возникновения инфляции………….....</w:t>
            </w:r>
          </w:p>
        </w:tc>
        <w:tc>
          <w:tcPr>
            <w:tcW w:w="669" w:type="dxa"/>
            <w:tcBorders/>
          </w:tcPr>
          <w:p>
            <w:pPr>
              <w:pStyle w:val="style0"/>
              <w:spacing w:lineRule="auto" w:line="360"/>
              <w:jc w:val="center"/>
              <w:rPr/>
            </w:pPr>
            <w:r>
              <w:t>17</w:t>
            </w:r>
          </w:p>
        </w:tc>
      </w:tr>
      <w:tr>
        <w:tblPrEx/>
        <w:trPr/>
        <w:tc>
          <w:tcPr>
            <w:tcW w:w="417" w:type="dxa"/>
            <w:tcBorders/>
          </w:tcPr>
          <w:p>
            <w:pPr>
              <w:pStyle w:val="style0"/>
              <w:spacing w:lineRule="auto" w:line="360"/>
              <w:jc w:val="center"/>
              <w:rPr/>
            </w:pPr>
            <w:r>
              <w:t>2</w:t>
            </w:r>
          </w:p>
        </w:tc>
        <w:tc>
          <w:tcPr>
            <w:tcW w:w="8269" w:type="dxa"/>
            <w:gridSpan w:val="2"/>
            <w:tcBorders/>
          </w:tcPr>
          <w:p>
            <w:pPr>
              <w:pStyle w:val="style0"/>
              <w:spacing w:lineRule="auto" w:line="360"/>
              <w:jc w:val="both"/>
              <w:rPr/>
            </w:pPr>
            <w:r>
              <w:t>Анализ направлений возможной антиинфляционной политики в современной экономике Российской Федерации</w:t>
            </w:r>
            <w:r>
              <w:t>……………………</w:t>
            </w:r>
          </w:p>
        </w:tc>
        <w:tc>
          <w:tcPr>
            <w:tcW w:w="669" w:type="dxa"/>
            <w:tcBorders/>
          </w:tcPr>
          <w:p>
            <w:pPr>
              <w:pStyle w:val="style0"/>
              <w:spacing w:lineRule="auto" w:line="360"/>
              <w:jc w:val="center"/>
              <w:rPr/>
            </w:pPr>
          </w:p>
          <w:p>
            <w:pPr>
              <w:pStyle w:val="style0"/>
              <w:spacing w:lineRule="auto" w:line="360"/>
              <w:jc w:val="center"/>
              <w:rPr/>
            </w:pPr>
            <w:r>
              <w:t>23</w:t>
            </w:r>
          </w:p>
        </w:tc>
      </w:tr>
      <w:tr>
        <w:tblPrEx/>
        <w:trPr/>
        <w:tc>
          <w:tcPr>
            <w:tcW w:w="417" w:type="dxa"/>
            <w:tcBorders/>
          </w:tcPr>
          <w:p>
            <w:pPr>
              <w:pStyle w:val="style0"/>
              <w:spacing w:lineRule="auto" w:line="360"/>
              <w:jc w:val="center"/>
              <w:rPr/>
            </w:pPr>
          </w:p>
        </w:tc>
        <w:tc>
          <w:tcPr>
            <w:tcW w:w="570" w:type="dxa"/>
            <w:tcBorders/>
          </w:tcPr>
          <w:p>
            <w:pPr>
              <w:pStyle w:val="style0"/>
              <w:spacing w:lineRule="auto" w:line="360"/>
              <w:jc w:val="center"/>
              <w:rPr/>
            </w:pPr>
            <w:r>
              <w:t>2.1</w:t>
            </w:r>
          </w:p>
        </w:tc>
        <w:tc>
          <w:tcPr>
            <w:tcW w:w="7699" w:type="dxa"/>
            <w:tcBorders/>
          </w:tcPr>
          <w:p>
            <w:pPr>
              <w:pStyle w:val="style0"/>
              <w:spacing w:lineRule="auto" w:line="360"/>
              <w:jc w:val="both"/>
              <w:rPr/>
            </w:pPr>
            <w:r>
              <w:t xml:space="preserve">Анализ </w:t>
            </w:r>
            <w:r>
              <w:t xml:space="preserve">динамики инфляционных процессов </w:t>
            </w:r>
            <w:r>
              <w:t>в период с 201</w:t>
            </w:r>
            <w:r>
              <w:t>3</w:t>
            </w:r>
            <w:r>
              <w:t xml:space="preserve"> по 2022 г</w:t>
            </w:r>
            <w:r>
              <w:t>од……………………………………….…………………...</w:t>
            </w:r>
          </w:p>
        </w:tc>
        <w:tc>
          <w:tcPr>
            <w:tcW w:w="669" w:type="dxa"/>
            <w:tcBorders/>
          </w:tcPr>
          <w:p>
            <w:pPr>
              <w:pStyle w:val="style0"/>
              <w:spacing w:lineRule="auto" w:line="360"/>
              <w:jc w:val="center"/>
              <w:rPr/>
            </w:pPr>
          </w:p>
          <w:p>
            <w:pPr>
              <w:pStyle w:val="style0"/>
              <w:spacing w:lineRule="auto" w:line="360"/>
              <w:jc w:val="center"/>
              <w:rPr/>
            </w:pPr>
            <w:r>
              <w:t>23</w:t>
            </w:r>
          </w:p>
        </w:tc>
      </w:tr>
      <w:tr>
        <w:tblPrEx/>
        <w:trPr/>
        <w:tc>
          <w:tcPr>
            <w:tcW w:w="417" w:type="dxa"/>
            <w:tcBorders/>
          </w:tcPr>
          <w:p>
            <w:pPr>
              <w:pStyle w:val="style0"/>
              <w:spacing w:lineRule="auto" w:line="360"/>
              <w:jc w:val="center"/>
              <w:rPr/>
            </w:pPr>
          </w:p>
        </w:tc>
        <w:tc>
          <w:tcPr>
            <w:tcW w:w="570" w:type="dxa"/>
            <w:tcBorders/>
          </w:tcPr>
          <w:p>
            <w:pPr>
              <w:pStyle w:val="style0"/>
              <w:spacing w:lineRule="auto" w:line="360"/>
              <w:jc w:val="center"/>
              <w:rPr/>
            </w:pPr>
            <w:r>
              <w:t>2.2</w:t>
            </w:r>
          </w:p>
        </w:tc>
        <w:tc>
          <w:tcPr>
            <w:tcW w:w="7699" w:type="dxa"/>
            <w:tcBorders/>
          </w:tcPr>
          <w:p>
            <w:pPr>
              <w:pStyle w:val="style0"/>
              <w:spacing w:lineRule="auto" w:line="360"/>
              <w:jc w:val="both"/>
              <w:rPr/>
            </w:pPr>
            <w:r>
              <w:t>Оценка факторов, влияющих на инфляцию в рыночной экономике</w:t>
            </w:r>
            <w:r>
              <w:t>…………………………………………………………</w:t>
            </w:r>
          </w:p>
        </w:tc>
        <w:tc>
          <w:tcPr>
            <w:tcW w:w="669" w:type="dxa"/>
            <w:tcBorders/>
          </w:tcPr>
          <w:p>
            <w:pPr>
              <w:pStyle w:val="style0"/>
              <w:spacing w:lineRule="auto" w:line="360"/>
              <w:jc w:val="center"/>
              <w:rPr/>
            </w:pPr>
          </w:p>
          <w:p>
            <w:pPr>
              <w:pStyle w:val="style0"/>
              <w:spacing w:lineRule="auto" w:line="360"/>
              <w:jc w:val="center"/>
              <w:rPr/>
            </w:pPr>
            <w:r>
              <w:t>2</w:t>
            </w:r>
            <w:r>
              <w:t>8</w:t>
            </w:r>
          </w:p>
        </w:tc>
      </w:tr>
      <w:tr>
        <w:tblPrEx/>
        <w:trPr/>
        <w:tc>
          <w:tcPr>
            <w:tcW w:w="417" w:type="dxa"/>
            <w:tcBorders/>
          </w:tcPr>
          <w:p>
            <w:pPr>
              <w:pStyle w:val="style0"/>
              <w:spacing w:lineRule="auto" w:line="360"/>
              <w:jc w:val="center"/>
              <w:rPr/>
            </w:pPr>
          </w:p>
        </w:tc>
        <w:tc>
          <w:tcPr>
            <w:tcW w:w="570" w:type="dxa"/>
            <w:tcBorders/>
          </w:tcPr>
          <w:p>
            <w:pPr>
              <w:pStyle w:val="style0"/>
              <w:spacing w:lineRule="auto" w:line="360"/>
              <w:jc w:val="center"/>
              <w:rPr/>
            </w:pPr>
            <w:r>
              <w:t>2.3</w:t>
            </w:r>
          </w:p>
        </w:tc>
        <w:tc>
          <w:tcPr>
            <w:tcW w:w="7699" w:type="dxa"/>
            <w:tcBorders/>
          </w:tcPr>
          <w:p>
            <w:pPr>
              <w:pStyle w:val="style0"/>
              <w:spacing w:lineRule="auto" w:line="360"/>
              <w:jc w:val="both"/>
              <w:rPr/>
            </w:pPr>
            <w:r>
              <w:rPr>
                <w:color w:val="000000"/>
              </w:rPr>
              <w:t>Антиинфляционная политика, проводимая Центральны Банком,</w:t>
            </w:r>
            <w:r>
              <w:rPr>
                <w:color w:val="000000"/>
              </w:rPr>
              <w:t xml:space="preserve"> рассмотрение</w:t>
            </w:r>
            <w:r>
              <w:rPr>
                <w:color w:val="000000"/>
              </w:rPr>
              <w:t xml:space="preserve"> инфляционных ожиданий экономических агентов</w:t>
            </w:r>
            <w:r>
              <w:t>………</w:t>
            </w:r>
            <w:r>
              <w:t>….</w:t>
            </w:r>
            <w:r>
              <w:t>……………………………….</w:t>
            </w:r>
          </w:p>
        </w:tc>
        <w:tc>
          <w:tcPr>
            <w:tcW w:w="669" w:type="dxa"/>
            <w:tcBorders/>
          </w:tcPr>
          <w:p>
            <w:pPr>
              <w:pStyle w:val="style0"/>
              <w:spacing w:lineRule="auto" w:line="360"/>
              <w:jc w:val="center"/>
              <w:rPr/>
            </w:pPr>
          </w:p>
          <w:p>
            <w:pPr>
              <w:pStyle w:val="style0"/>
              <w:spacing w:lineRule="auto" w:line="360"/>
              <w:jc w:val="center"/>
              <w:rPr/>
            </w:pPr>
          </w:p>
          <w:p>
            <w:pPr>
              <w:pStyle w:val="style0"/>
              <w:spacing w:lineRule="auto" w:line="360"/>
              <w:jc w:val="center"/>
              <w:rPr/>
            </w:pPr>
            <w:r>
              <w:t>43</w:t>
            </w:r>
          </w:p>
        </w:tc>
      </w:tr>
      <w:tr>
        <w:tblPrEx/>
        <w:trPr/>
        <w:tc>
          <w:tcPr>
            <w:tcW w:w="8686" w:type="dxa"/>
            <w:gridSpan w:val="3"/>
            <w:tcBorders/>
          </w:tcPr>
          <w:p>
            <w:pPr>
              <w:pStyle w:val="style0"/>
              <w:spacing w:lineRule="auto" w:line="360"/>
              <w:jc w:val="both"/>
              <w:rPr/>
            </w:pPr>
            <w:r>
              <w:t>Заключение………………………………………………………………...</w:t>
            </w:r>
          </w:p>
        </w:tc>
        <w:tc>
          <w:tcPr>
            <w:tcW w:w="669" w:type="dxa"/>
            <w:tcBorders/>
          </w:tcPr>
          <w:p>
            <w:pPr>
              <w:pStyle w:val="style0"/>
              <w:spacing w:lineRule="auto" w:line="360"/>
              <w:jc w:val="center"/>
              <w:rPr/>
            </w:pPr>
            <w:r>
              <w:t>53</w:t>
            </w:r>
          </w:p>
        </w:tc>
      </w:tr>
      <w:tr>
        <w:tblPrEx/>
        <w:trPr/>
        <w:tc>
          <w:tcPr>
            <w:tcW w:w="8686" w:type="dxa"/>
            <w:gridSpan w:val="3"/>
            <w:tcBorders/>
          </w:tcPr>
          <w:p>
            <w:pPr>
              <w:pStyle w:val="style0"/>
              <w:spacing w:lineRule="auto" w:line="360"/>
              <w:jc w:val="both"/>
              <w:rPr/>
            </w:pPr>
            <w:r>
              <w:t>Список использованных источников…………………………………….</w:t>
            </w:r>
          </w:p>
        </w:tc>
        <w:tc>
          <w:tcPr>
            <w:tcW w:w="669" w:type="dxa"/>
            <w:tcBorders/>
          </w:tcPr>
          <w:p>
            <w:pPr>
              <w:pStyle w:val="style0"/>
              <w:spacing w:lineRule="auto" w:line="360"/>
              <w:jc w:val="center"/>
              <w:rPr/>
            </w:pPr>
            <w:r>
              <w:t>55</w:t>
            </w:r>
          </w:p>
        </w:tc>
      </w:tr>
    </w:tbl>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ind w:firstLine="709"/>
        <w:jc w:val="both"/>
        <w:rPr/>
      </w:pPr>
    </w:p>
    <w:p>
      <w:pPr>
        <w:pStyle w:val="style0"/>
        <w:spacing w:after="0"/>
        <w:ind w:firstLine="709"/>
        <w:jc w:val="both"/>
        <w:rPr/>
      </w:pPr>
    </w:p>
    <w:p>
      <w:pPr>
        <w:pStyle w:val="style0"/>
        <w:spacing w:after="0"/>
        <w:ind w:firstLine="709"/>
        <w:jc w:val="both"/>
        <w:rPr/>
      </w:pPr>
    </w:p>
    <w:p>
      <w:pPr>
        <w:pStyle w:val="style0"/>
        <w:spacing w:after="0"/>
        <w:ind w:firstLine="709"/>
        <w:jc w:val="both"/>
        <w:rPr/>
      </w:pPr>
    </w:p>
    <w:p>
      <w:pPr>
        <w:pStyle w:val="style0"/>
        <w:spacing w:after="0"/>
        <w:ind w:firstLine="709"/>
        <w:jc w:val="both"/>
        <w:rPr/>
      </w:pPr>
    </w:p>
    <w:p>
      <w:pPr>
        <w:pStyle w:val="style0"/>
        <w:spacing w:lineRule="auto" w:line="259"/>
        <w:rPr/>
      </w:pPr>
    </w:p>
    <w:p>
      <w:pPr>
        <w:pStyle w:val="style0"/>
        <w:spacing w:lineRule="auto" w:line="259"/>
        <w:rPr/>
      </w:pPr>
      <w:r>
        <w:br w:type="page"/>
      </w:r>
    </w:p>
    <w:p>
      <w:pPr>
        <w:pStyle w:val="style0"/>
        <w:spacing w:before="240" w:after="0" w:lineRule="auto" w:line="360"/>
        <w:ind w:firstLine="709"/>
        <w:jc w:val="center"/>
        <w:rPr/>
      </w:pPr>
      <w:r>
        <w:t>ВВЕДЕНИЕ</w:t>
      </w:r>
    </w:p>
    <w:p>
      <w:pPr>
        <w:pStyle w:val="style0"/>
        <w:spacing w:before="240" w:after="0" w:lineRule="auto" w:line="360"/>
        <w:ind w:firstLine="709"/>
        <w:jc w:val="both"/>
        <w:rPr/>
      </w:pPr>
      <w:r>
        <w:t xml:space="preserve">Инфляция как экономическое явление </w:t>
      </w:r>
      <w:r>
        <w:t>существует уже множество столетий. В экономической литературе этот термин появился в начале ХХ века после перехода к массовому использованию правительствами многих стран бумажных денег.</w:t>
      </w:r>
    </w:p>
    <w:p>
      <w:pPr>
        <w:pStyle w:val="style179"/>
        <w:spacing w:after="0" w:lineRule="auto" w:line="360"/>
        <w:ind w:left="0" w:firstLine="851"/>
        <w:jc w:val="both"/>
        <w:rPr/>
      </w:pPr>
      <w:r>
        <w:t xml:space="preserve">Инфляция свойственна любым моделям экономического развития, в которых </w:t>
      </w:r>
      <w:r>
        <w:t xml:space="preserve">не сбалансированы государственные доходы и расходы, ограничены возможности центрального банка в проведении самостоятельной денежно-кредитной политики. Иногда инфляционные процессы возникают или специально стимулируются государством, когда использованы все </w:t>
      </w:r>
      <w:r>
        <w:t>прочие формы перераспределения общественного продукта и национального дохода. Правительство может использовать увеличение инфляции для борьбы с безработицей.</w:t>
      </w:r>
    </w:p>
    <w:p>
      <w:pPr>
        <w:pStyle w:val="style179"/>
        <w:spacing w:after="0" w:lineRule="auto" w:line="360"/>
        <w:ind w:left="0" w:firstLine="851"/>
        <w:jc w:val="both"/>
        <w:rPr/>
      </w:pPr>
      <w:r>
        <w:t>В современных условиях инфляция во всем мире носит хронический, повсеместный, всеохватывающий хара</w:t>
      </w:r>
      <w:r>
        <w:t>ктер. Это вызвано не только денежными, но и неденежными факторами, часто политическими. Полностью исключить инфляцию даже в рыночных условиях хозяйствования невозможно, речь может идти только об управляемой инфляции.</w:t>
      </w:r>
    </w:p>
    <w:p>
      <w:pPr>
        <w:pStyle w:val="style179"/>
        <w:spacing w:after="0" w:lineRule="auto" w:line="360"/>
        <w:ind w:left="0" w:firstLine="851"/>
        <w:jc w:val="both"/>
        <w:rPr/>
      </w:pPr>
      <w:r>
        <w:t>Проблема инфляции занимает важное место</w:t>
      </w:r>
      <w:r>
        <w:t xml:space="preserve"> в экономике, потому что её показатели и социально-экономические последствия играют серьезную роль в оценке не только экономической безопасности страны, но и всемирного хозяйства. Именно необходимость выяснения сущности, глубинных причин и механизмов разви</w:t>
      </w:r>
      <w:r>
        <w:t xml:space="preserve">тия инфляции, её особенностей и определяют актуальность работы. </w:t>
      </w:r>
    </w:p>
    <w:p>
      <w:pPr>
        <w:pStyle w:val="style179"/>
        <w:spacing w:after="0" w:lineRule="auto" w:line="360"/>
        <w:ind w:left="0" w:firstLine="851"/>
        <w:jc w:val="both"/>
        <w:rPr/>
      </w:pPr>
      <w:r>
        <w:t>Целью курсовой работы является изучение инфляции и антиинфляционного регулирования в современной экономике</w:t>
      </w:r>
      <w:r>
        <w:t xml:space="preserve"> </w:t>
      </w:r>
      <w:r>
        <w:t>России.</w:t>
      </w:r>
    </w:p>
    <w:p>
      <w:pPr>
        <w:pStyle w:val="style179"/>
        <w:spacing w:after="0" w:lineRule="auto" w:line="360"/>
        <w:ind w:left="0" w:firstLine="851"/>
        <w:jc w:val="both"/>
        <w:rPr/>
      </w:pPr>
      <w:r>
        <w:t>Для достижения данной цели были поставлены следующие задачи:</w:t>
      </w:r>
    </w:p>
    <w:p>
      <w:pPr>
        <w:pStyle w:val="style179"/>
        <w:spacing w:after="0" w:lineRule="auto" w:line="360"/>
        <w:ind w:left="0" w:firstLine="851"/>
        <w:jc w:val="both"/>
        <w:rPr/>
      </w:pPr>
      <w:r>
        <w:t>- рассмотреть п</w:t>
      </w:r>
      <w:r>
        <w:t>онятие и сущность инфляции;</w:t>
      </w:r>
    </w:p>
    <w:p>
      <w:pPr>
        <w:pStyle w:val="style179"/>
        <w:spacing w:after="0" w:lineRule="auto" w:line="360"/>
        <w:ind w:left="0" w:firstLine="851"/>
        <w:jc w:val="both"/>
        <w:rPr/>
      </w:pPr>
      <w:r>
        <w:t>- изучить виды, типы и формы инфляции;</w:t>
      </w:r>
    </w:p>
    <w:p>
      <w:pPr>
        <w:pStyle w:val="style179"/>
        <w:spacing w:after="0" w:lineRule="auto" w:line="360"/>
        <w:ind w:left="0" w:firstLine="851"/>
        <w:jc w:val="both"/>
        <w:rPr/>
      </w:pPr>
      <w:r>
        <w:t>- рассмотреть количественные и качественные показатели уровня инфляции в Российской Федерации;</w:t>
      </w:r>
    </w:p>
    <w:p>
      <w:pPr>
        <w:pStyle w:val="style179"/>
        <w:spacing w:after="0" w:lineRule="auto" w:line="360"/>
        <w:ind w:left="0" w:firstLine="851"/>
        <w:jc w:val="both"/>
        <w:rPr/>
      </w:pPr>
      <w:r>
        <w:t>- изучить причины и последствия возникновения инфляции;</w:t>
      </w:r>
    </w:p>
    <w:p>
      <w:pPr>
        <w:pStyle w:val="style179"/>
        <w:spacing w:after="0" w:lineRule="auto" w:line="360"/>
        <w:ind w:left="0" w:firstLine="851"/>
        <w:jc w:val="both"/>
        <w:rPr/>
      </w:pPr>
      <w:r>
        <w:t>- провести оценку факторов, влияющих н</w:t>
      </w:r>
      <w:r>
        <w:t>а инфляцию в рыночной экономике;</w:t>
      </w:r>
    </w:p>
    <w:p>
      <w:pPr>
        <w:pStyle w:val="style179"/>
        <w:spacing w:after="0" w:lineRule="auto" w:line="360"/>
        <w:ind w:left="0" w:firstLine="851"/>
        <w:jc w:val="both"/>
        <w:rPr/>
      </w:pPr>
      <w:r>
        <w:t xml:space="preserve">Объектом исследования </w:t>
      </w:r>
      <w:r>
        <w:t>явля</w:t>
      </w:r>
      <w:r>
        <w:rPr>
          <w:lang w:val="en-US"/>
        </w:rPr>
        <w:t>ю</w:t>
      </w:r>
      <w:r>
        <w:t>тся</w:t>
      </w:r>
      <w:r>
        <w:rPr>
          <w:lang w:val="en-US"/>
        </w:rPr>
        <w:t xml:space="preserve"> </w:t>
      </w:r>
      <w:r>
        <w:t xml:space="preserve">экономические отношения, </w:t>
      </w:r>
      <w:r>
        <w:t>возникающие между экономическими субъектами, в процессе борьбы с инфляцией и ее последствиями</w:t>
      </w:r>
      <w:r>
        <w:t>.</w:t>
      </w:r>
    </w:p>
    <w:p>
      <w:pPr>
        <w:pStyle w:val="style179"/>
        <w:spacing w:after="0" w:lineRule="auto" w:line="360"/>
        <w:ind w:left="0" w:firstLine="851"/>
        <w:jc w:val="both"/>
        <w:rPr/>
      </w:pPr>
      <w:r>
        <w:t>Предметом исследования являются</w:t>
      </w:r>
      <w:r>
        <w:t xml:space="preserve"> инфляционные</w:t>
      </w:r>
      <w:r>
        <w:t xml:space="preserve"> ожидания экономических агентов</w:t>
      </w:r>
      <w:r>
        <w:t xml:space="preserve"> и методы их регулирования</w:t>
      </w:r>
      <w:r>
        <w:t>.</w:t>
      </w:r>
    </w:p>
    <w:p>
      <w:pPr>
        <w:pStyle w:val="style179"/>
        <w:spacing w:after="0" w:lineRule="auto" w:line="360"/>
        <w:ind w:left="0" w:firstLine="851"/>
        <w:jc w:val="both"/>
        <w:rPr/>
      </w:pPr>
      <w:r>
        <w:t>Теоретико-методологической основой работы служили труды таких           авторов, как: Абрамова М. А., которая раскрыла особенности регулирования инфляции: таргетирование инфляции – современного режима денежно-кре</w:t>
      </w:r>
      <w:r>
        <w:t>дитной политики, Лаврушин О. И., который проанализировал причины инфляции, ее социально-экономические последствия, а также основные направления антиинфляционной политики в РФ, Осипов А. И., который раскрыл основные факторы и тенденции инфляции, проанализир</w:t>
      </w:r>
      <w:r>
        <w:t>овал наиболее значимые процессы, определяющие уровень инфляции в РФ.</w:t>
      </w:r>
    </w:p>
    <w:p>
      <w:pPr>
        <w:pStyle w:val="style179"/>
        <w:spacing w:after="0" w:lineRule="auto" w:line="360"/>
        <w:ind w:left="0" w:firstLine="851"/>
        <w:jc w:val="both"/>
        <w:rPr/>
      </w:pPr>
      <w:r>
        <w:t>Информационную базу исследуемой мной теме формируют нормативно-правовые акты, источники сети «Интернет» (официальный сайт ЦБ РФ), статьи из научных журналов.</w:t>
      </w:r>
    </w:p>
    <w:p>
      <w:pPr>
        <w:pStyle w:val="style179"/>
        <w:spacing w:after="0" w:lineRule="auto" w:line="360"/>
        <w:ind w:left="0" w:firstLine="851"/>
        <w:jc w:val="both"/>
        <w:rPr/>
      </w:pPr>
      <w:r>
        <w:t xml:space="preserve">Методы исследования: </w:t>
      </w:r>
    </w:p>
    <w:p>
      <w:pPr>
        <w:pStyle w:val="style179"/>
        <w:spacing w:after="0" w:lineRule="auto" w:line="360"/>
        <w:ind w:left="0" w:firstLine="851"/>
        <w:jc w:val="both"/>
        <w:rPr/>
      </w:pPr>
      <w:r>
        <w:t>— поиск</w:t>
      </w:r>
      <w:r>
        <w:t>овый;</w:t>
      </w:r>
    </w:p>
    <w:p>
      <w:pPr>
        <w:pStyle w:val="style179"/>
        <w:spacing w:after="0" w:lineRule="auto" w:line="360"/>
        <w:ind w:left="0" w:firstLine="851"/>
        <w:jc w:val="both"/>
        <w:rPr/>
      </w:pPr>
      <w:r>
        <w:t>— анализ информации;</w:t>
      </w:r>
    </w:p>
    <w:p>
      <w:pPr>
        <w:pStyle w:val="style179"/>
        <w:spacing w:after="0" w:lineRule="auto" w:line="360"/>
        <w:ind w:left="0" w:firstLine="851"/>
        <w:jc w:val="both"/>
        <w:rPr/>
      </w:pPr>
      <w:r>
        <w:t>— синтез информации;</w:t>
      </w:r>
    </w:p>
    <w:p>
      <w:pPr>
        <w:pStyle w:val="style0"/>
        <w:spacing w:after="0" w:lineRule="auto" w:line="360"/>
        <w:ind w:firstLine="709"/>
        <w:jc w:val="both"/>
        <w:rPr>
          <w:rFonts w:cs="Times New Roman"/>
        </w:rPr>
      </w:pPr>
      <w:r>
        <w:rPr>
          <w:rFonts w:cs="Times New Roman"/>
        </w:rPr>
        <w:t>Работа состоит из введения, двух глав, заключения и списка                                                   использованных источников.</w:t>
      </w:r>
    </w:p>
    <w:p>
      <w:pPr>
        <w:pStyle w:val="style0"/>
        <w:spacing w:after="0" w:lineRule="auto" w:line="360"/>
        <w:ind w:firstLine="709"/>
        <w:jc w:val="both"/>
        <w:rPr/>
      </w:pPr>
      <w:r>
        <w:rPr>
          <w:rFonts w:cs="Times New Roman"/>
        </w:rPr>
        <w:t xml:space="preserve">В первой главе изучены теоретические основы инфляции, такие как: понятие, сущность и </w:t>
      </w:r>
      <w:r>
        <w:t xml:space="preserve">измерение инфляции, классификация инфляции, ее виды, модели, типы и формы ее проявления, а также </w:t>
      </w:r>
      <w:r>
        <w:rPr>
          <w:rFonts w:cs="Times New Roman"/>
        </w:rPr>
        <w:t>п</w:t>
      </w:r>
      <w:r>
        <w:t xml:space="preserve">ричины и последствия </w:t>
      </w:r>
      <w:r>
        <w:t>возникновения инфляции. Информация, которая рассмотр</w:t>
      </w:r>
      <w:r>
        <w:t>ена в теоретической части является основой для проведения дальнейшего анализа инфляции и изучения методов антиинфляционной политики в практической части.</w:t>
      </w:r>
    </w:p>
    <w:p>
      <w:pPr>
        <w:pStyle w:val="style0"/>
        <w:spacing w:after="0" w:lineRule="auto" w:line="360"/>
        <w:ind w:firstLine="709"/>
        <w:jc w:val="both"/>
        <w:rPr/>
      </w:pPr>
      <w:r>
        <w:t>Во второй главе дан анализ направлений возможной антиинфляционной политики в современной экономике Рос</w:t>
      </w:r>
      <w:r>
        <w:t>сийской Федерации, изучено развитие инфляции и ее темпов в период с 2013 по 2022 гг., дана оценка факторов, влияющих на инфляцию в рыночной экономике, определена антиинфляционная политика, проводимая Центральны Банком, а также дан анализ инфляционных ожида</w:t>
      </w:r>
      <w:r>
        <w:t>ний экономических агентов.</w:t>
      </w:r>
    </w:p>
    <w:p>
      <w:pPr>
        <w:pStyle w:val="style0"/>
        <w:spacing w:after="0" w:lineRule="auto" w:line="360"/>
        <w:ind w:firstLine="709"/>
        <w:jc w:val="both"/>
        <w:rPr/>
      </w:pPr>
      <w:r>
        <w:t xml:space="preserve">Также в практической части второй главы </w:t>
      </w:r>
      <w:r>
        <w:rPr>
          <w:rFonts w:cs="Times New Roman"/>
        </w:rPr>
        <w:t>на основе теоретических данных исследования и проведенного анализа сформированы направления антиинфляционной политики, а также перспективы развития изученных проблем по теме работы. В заклю</w:t>
      </w:r>
      <w:r>
        <w:rPr>
          <w:rFonts w:cs="Times New Roman"/>
        </w:rPr>
        <w:t>чении были сформулированы рекомендации для более эффективной борьбы с инфляцией и подведен итог результатов исследования.</w:t>
      </w:r>
    </w:p>
    <w:p>
      <w:pPr>
        <w:pStyle w:val="style0"/>
        <w:spacing w:after="0" w:lineRule="auto" w:line="360"/>
        <w:ind w:firstLine="709"/>
        <w:jc w:val="both"/>
        <w:rPr>
          <w:rFonts w:cs="Times New Roman"/>
        </w:rPr>
      </w:pPr>
    </w:p>
    <w:p>
      <w:pPr>
        <w:pStyle w:val="style0"/>
        <w:spacing w:after="0" w:lineRule="auto" w:line="360"/>
        <w:ind w:firstLine="709"/>
        <w:jc w:val="both"/>
        <w:rPr>
          <w:rFonts w:cs="Times New Roman"/>
        </w:rPr>
      </w:pPr>
    </w:p>
    <w:p>
      <w:pPr>
        <w:pStyle w:val="style179"/>
        <w:spacing w:after="0" w:lineRule="auto" w:line="360"/>
        <w:ind w:left="0" w:firstLine="851"/>
        <w:jc w:val="both"/>
        <w:rPr/>
      </w:pPr>
    </w:p>
    <w:p>
      <w:pPr>
        <w:pStyle w:val="style179"/>
        <w:spacing w:after="0" w:lineRule="auto" w:line="360"/>
        <w:ind w:left="0" w:firstLine="851"/>
        <w:jc w:val="both"/>
        <w:rPr/>
      </w:pPr>
    </w:p>
    <w:p>
      <w:pPr>
        <w:pStyle w:val="style179"/>
        <w:spacing w:after="0" w:lineRule="auto" w:line="360"/>
        <w:ind w:left="0" w:firstLine="851"/>
        <w:jc w:val="both"/>
        <w:rPr/>
      </w:pPr>
    </w:p>
    <w:p>
      <w:pPr>
        <w:pStyle w:val="style179"/>
        <w:spacing w:after="0" w:lineRule="auto" w:line="360"/>
        <w:ind w:left="0" w:firstLine="851"/>
        <w:jc w:val="both"/>
        <w:rPr/>
      </w:pPr>
    </w:p>
    <w:p>
      <w:pPr>
        <w:pStyle w:val="style179"/>
        <w:spacing w:after="0" w:lineRule="auto" w:line="360"/>
        <w:ind w:left="0" w:firstLine="851"/>
        <w:jc w:val="both"/>
        <w:rPr/>
      </w:pPr>
    </w:p>
    <w:p>
      <w:pPr>
        <w:pStyle w:val="style179"/>
        <w:spacing w:after="0" w:lineRule="auto" w:line="360"/>
        <w:ind w:left="0" w:firstLine="851"/>
        <w:jc w:val="both"/>
        <w:rPr/>
      </w:pPr>
    </w:p>
    <w:p>
      <w:pPr>
        <w:pStyle w:val="style179"/>
        <w:spacing w:after="0" w:lineRule="auto" w:line="360"/>
        <w:ind w:left="0" w:firstLine="851"/>
        <w:jc w:val="both"/>
        <w:rPr/>
      </w:pPr>
    </w:p>
    <w:p>
      <w:pPr>
        <w:pStyle w:val="style0"/>
        <w:spacing w:lineRule="auto" w:line="259"/>
        <w:rPr/>
      </w:pPr>
      <w:r>
        <w:br w:type="page"/>
      </w:r>
    </w:p>
    <w:p>
      <w:pPr>
        <w:pStyle w:val="style0"/>
        <w:spacing w:lineRule="auto" w:line="259"/>
        <w:ind w:firstLine="709"/>
        <w:rPr>
          <w:b/>
          <w:bCs/>
        </w:rPr>
      </w:pPr>
      <w:r>
        <w:rPr>
          <w:b/>
          <w:bCs/>
        </w:rPr>
        <w:t>1 Теоретические основы, сущность инфляции в экономике</w:t>
      </w:r>
    </w:p>
    <w:p>
      <w:pPr>
        <w:pStyle w:val="style0"/>
        <w:spacing w:lineRule="auto" w:line="259"/>
        <w:ind w:firstLine="709"/>
        <w:rPr>
          <w:b/>
          <w:bCs/>
        </w:rPr>
      </w:pPr>
    </w:p>
    <w:p>
      <w:pPr>
        <w:pStyle w:val="style179"/>
        <w:numPr>
          <w:ilvl w:val="1"/>
          <w:numId w:val="2"/>
        </w:numPr>
        <w:spacing w:before="240" w:lineRule="auto" w:line="360"/>
        <w:ind w:left="1134"/>
        <w:rPr>
          <w:b/>
          <w:bCs/>
        </w:rPr>
      </w:pPr>
      <w:r>
        <w:rPr>
          <w:b/>
          <w:bCs/>
        </w:rPr>
        <w:t>Понятие, сущность и измерение инфляции</w:t>
      </w:r>
    </w:p>
    <w:p>
      <w:pPr>
        <w:pStyle w:val="style179"/>
        <w:spacing w:before="240" w:lineRule="auto" w:line="360"/>
        <w:ind w:left="1134"/>
        <w:rPr>
          <w:b/>
          <w:bCs/>
        </w:rPr>
      </w:pPr>
    </w:p>
    <w:p>
      <w:pPr>
        <w:pStyle w:val="style179"/>
        <w:spacing w:lineRule="auto" w:line="360"/>
        <w:ind w:left="0" w:firstLine="851"/>
        <w:jc w:val="both"/>
        <w:rPr/>
      </w:pPr>
      <w:r>
        <w:t xml:space="preserve">Понятие «инфляция» (от лат. </w:t>
      </w:r>
      <w:r>
        <w:rPr>
          <w:lang w:val="en-US"/>
        </w:rPr>
        <w:t>Inflatio</w:t>
      </w:r>
      <w:r>
        <w:t xml:space="preserve"> – вздутие) впервые стало применяться в Северной Америке в 1861 – 1865 годах. Оно означало процесс, приводящий к увеличению налично-денежной массы. В экономической литературе этот термин появился в начале ХХ века после перехода к массовому использо</w:t>
      </w:r>
      <w:r>
        <w:t>ванию правительствами многих стран бумажных денег. Инфляция существовала и в условиях металлического денежного обращения, что было связано с порчей монет, уменьшением их металлического содержания. С ХХ века инфляция становится постоянным явлением в экономи</w:t>
      </w:r>
      <w:r>
        <w:t xml:space="preserve">ке большинства государств. </w:t>
      </w:r>
      <w:bookmarkStart w:id="0" w:name="_Hlk121420420"/>
      <w:r>
        <w:t>[3. с.100]</w:t>
      </w:r>
      <w:bookmarkEnd w:id="0"/>
    </w:p>
    <w:p>
      <w:pPr>
        <w:pStyle w:val="style179"/>
        <w:spacing w:after="0" w:lineRule="auto" w:line="360"/>
        <w:ind w:left="0" w:firstLine="851"/>
        <w:jc w:val="both"/>
        <w:rPr/>
      </w:pPr>
      <w:r>
        <w:t xml:space="preserve">Существует большое количество определений инфляции и детальных интерпретаций причин инфляционных процессов. Это связано с тем, что в мировой практике понятие «инфляция» в различные периоды применялось к разным </w:t>
      </w:r>
      <w:r>
        <w:t>экономическим явлениям</w:t>
      </w:r>
      <w:bookmarkStart w:id="1" w:name="_Hlk121420451"/>
      <w:r>
        <w:t>. [1. с.342]</w:t>
      </w:r>
      <w:bookmarkEnd w:id="1"/>
    </w:p>
    <w:p>
      <w:pPr>
        <w:pStyle w:val="style179"/>
        <w:spacing w:after="0" w:lineRule="auto" w:line="360"/>
        <w:ind w:left="0" w:firstLine="851"/>
        <w:jc w:val="both"/>
        <w:rPr/>
      </w:pPr>
      <w:r>
        <w:t xml:space="preserve">Инфляция относится к системе общеэкономических категорий и проявляется в тех общественно-экономических формациях, в которых существуют товарно-денежные отношения. Инфляция представляет собой обесценение денег, падение их </w:t>
      </w:r>
      <w:r>
        <w:t>покупательной способности, вызываемое повышением цен, товарным дефицитом и снижением качества товаров и услуг. [3. с.101]</w:t>
      </w:r>
    </w:p>
    <w:p>
      <w:pPr>
        <w:pStyle w:val="style0"/>
        <w:spacing w:after="0" w:lineRule="auto" w:line="360"/>
        <w:ind w:firstLine="709"/>
        <w:jc w:val="both"/>
        <w:rPr/>
      </w:pPr>
      <w:r>
        <w:t>На сегодняшний момент существуют различные западные и отечественные подходы к определению инфляции. В большинстве западных учебников п</w:t>
      </w:r>
      <w:r>
        <w:t>о макроэкономике инфляция определяется в широком смысле, как продолжительный рост общего уровня цен. [1. с.342]</w:t>
      </w:r>
    </w:p>
    <w:p>
      <w:pPr>
        <w:pStyle w:val="style0"/>
        <w:spacing w:after="0" w:lineRule="auto" w:line="360"/>
        <w:ind w:firstLine="709"/>
        <w:jc w:val="both"/>
        <w:rPr/>
      </w:pPr>
      <w:r>
        <w:t>В российских экономических источниках инфляция обычно имеет более узкое и конкретизированное определение.</w:t>
      </w:r>
    </w:p>
    <w:p>
      <w:pPr>
        <w:pStyle w:val="style0"/>
        <w:spacing w:after="0" w:lineRule="auto" w:line="360"/>
        <w:ind w:firstLine="709"/>
        <w:jc w:val="both"/>
        <w:rPr/>
      </w:pPr>
      <w:r>
        <w:t>Инфляция – это процесс длительного и у</w:t>
      </w:r>
      <w:r>
        <w:t xml:space="preserve">стойчивого обесценения денег, вызванного снижением их относительной редкости по сравнению с товарной массой. </w:t>
      </w:r>
      <w:bookmarkStart w:id="2" w:name="_Hlk121420565"/>
      <w:r>
        <w:t>[5. с.651]</w:t>
      </w:r>
    </w:p>
    <w:bookmarkEnd w:id="2"/>
    <w:p>
      <w:pPr>
        <w:pStyle w:val="style0"/>
        <w:spacing w:after="0" w:lineRule="auto" w:line="360"/>
        <w:ind w:firstLine="709"/>
        <w:jc w:val="both"/>
        <w:rPr/>
      </w:pPr>
      <w:r>
        <w:t>Под инфляцией понимается дисбаланс спроса и предложения (форма нарушения общего равновесия), проявляющийся в общем росте цен. [6. с.314]</w:t>
      </w:r>
    </w:p>
    <w:p>
      <w:pPr>
        <w:pStyle w:val="style0"/>
        <w:spacing w:after="0" w:lineRule="auto" w:line="360"/>
        <w:ind w:firstLine="709"/>
        <w:jc w:val="both"/>
        <w:rPr/>
      </w:pPr>
      <w:r>
        <w:t>Инфляция, как известно, препятствует социально-экономическому развитию, так как подрывает конкурентоспособность участников рыночной экономики, ведет к перераспределению национального дохода в пользу предприятий монополистов и государства, теневой экономик</w:t>
      </w:r>
      <w:r>
        <w:t xml:space="preserve">и, к снижению реальной заработной платы, пенсий и других фиксированных доходов, усиливает имущественную дифференциацию общества. </w:t>
      </w:r>
      <w:bookmarkStart w:id="3" w:name="_Hlk121410516"/>
      <w:r>
        <w:t xml:space="preserve">[7. </w:t>
      </w:r>
      <w:r>
        <w:rPr>
          <w:lang w:val="en-US"/>
        </w:rPr>
        <w:t>c</w:t>
      </w:r>
      <w:r>
        <w:t>.1</w:t>
      </w:r>
      <w:bookmarkEnd w:id="3"/>
      <w:r>
        <w:t>]</w:t>
      </w:r>
    </w:p>
    <w:p>
      <w:pPr>
        <w:pStyle w:val="style0"/>
        <w:spacing w:after="0" w:lineRule="auto" w:line="360"/>
        <w:ind w:firstLine="709"/>
        <w:jc w:val="both"/>
        <w:rPr/>
      </w:pPr>
      <w:r>
        <w:t>Инфляция – это тенденция длительного и устойчивого (обычно не менее года) повышения общего уровня цен и соответствующе</w:t>
      </w:r>
      <w:r>
        <w:t xml:space="preserve">го обесценения денег, вызванного увеличением их количества по отношению к массе товаров и услуг, включая факторы производства. [8. </w:t>
      </w:r>
      <w:r>
        <w:rPr>
          <w:lang w:val="en-US"/>
        </w:rPr>
        <w:t>c</w:t>
      </w:r>
      <w:r>
        <w:t>.42]</w:t>
      </w:r>
    </w:p>
    <w:p>
      <w:pPr>
        <w:pStyle w:val="style0"/>
        <w:spacing w:after="0" w:lineRule="auto" w:line="360"/>
        <w:ind w:firstLine="709"/>
        <w:jc w:val="both"/>
        <w:rPr/>
      </w:pPr>
      <w:r>
        <w:t>Инфляция – феномен, который характерен исключительно бумажноденежному обращению, означающий переполнение сферы обращени</w:t>
      </w:r>
      <w:r>
        <w:t>я избыточной по сравнению с потребностями товарооборота массой бумажных денег, их обесценение и - как результат-повышение цен на товары и услуги. То есть инфляция вызывается, прежде всего, переполнением каналов денежного обращения избыточной денежной массо</w:t>
      </w:r>
      <w:r>
        <w:t xml:space="preserve">й при отсутствии адекватного увеличения товарной массы. [4. </w:t>
      </w:r>
      <w:r>
        <w:rPr>
          <w:lang w:val="en-US"/>
        </w:rPr>
        <w:t>c</w:t>
      </w:r>
      <w:r>
        <w:t>.42]</w:t>
      </w:r>
    </w:p>
    <w:p>
      <w:pPr>
        <w:pStyle w:val="style0"/>
        <w:spacing w:after="0" w:lineRule="auto" w:line="360"/>
        <w:ind w:firstLine="709"/>
        <w:jc w:val="both"/>
        <w:rPr/>
      </w:pPr>
      <w:r>
        <w:t>Современная инфляция – это макроэкономическое явление, проявляющееся в постоянном и устойчивом росте общего уровня цен в стране. Повышение цен отдельных товаров или групп товаров не является</w:t>
      </w:r>
      <w:r>
        <w:t xml:space="preserve"> достаточным условием возникновения инфляционного давления, однако повышение уровня цен товаров, составляющих потребительскую корзину покупателя, безусловно, можно определить как инфляцию. [1. </w:t>
      </w:r>
      <w:r>
        <w:rPr>
          <w:lang w:val="en-US"/>
        </w:rPr>
        <w:t>c</w:t>
      </w:r>
      <w:r>
        <w:t>.343]</w:t>
      </w:r>
    </w:p>
    <w:p>
      <w:pPr>
        <w:pStyle w:val="style0"/>
        <w:spacing w:after="0" w:lineRule="auto" w:line="360"/>
        <w:ind w:firstLine="709"/>
        <w:jc w:val="both"/>
        <w:rPr/>
      </w:pPr>
      <w:r>
        <w:t>Уровень инфляции измеряют разными способами, но всегда п</w:t>
      </w:r>
      <w:r>
        <w:t xml:space="preserve">оказатели отражают, на сколько повысились цены. Однако никто не отрицает, что и в </w:t>
      </w:r>
      <w:r>
        <w:t xml:space="preserve">административной системе при «жестких» плановых ценах имели место скрытые инфляционные процессы, а рост цен искусственно удерживался. </w:t>
      </w:r>
      <w:r>
        <w:br/>
      </w:r>
      <w:bookmarkStart w:id="4" w:name="_Hlk121420909"/>
      <w:r>
        <w:t xml:space="preserve">[4. </w:t>
      </w:r>
      <w:r>
        <w:rPr>
          <w:lang w:val="en-US"/>
        </w:rPr>
        <w:t>c</w:t>
      </w:r>
      <w:r>
        <w:t>.42]</w:t>
      </w:r>
      <w:bookmarkEnd w:id="4"/>
    </w:p>
    <w:p>
      <w:pPr>
        <w:pStyle w:val="style0"/>
        <w:spacing w:after="0" w:lineRule="auto" w:line="360"/>
        <w:ind w:firstLine="709"/>
        <w:jc w:val="both"/>
        <w:rPr/>
      </w:pPr>
      <w:r>
        <w:t>Рассмотрим сущность инфляции в экономических исследованиях.</w:t>
      </w:r>
    </w:p>
    <w:p>
      <w:pPr>
        <w:pStyle w:val="style0"/>
        <w:spacing w:after="0" w:lineRule="auto" w:line="360"/>
        <w:ind w:firstLine="709"/>
        <w:jc w:val="both"/>
        <w:rPr/>
      </w:pPr>
      <w:r>
        <w:t>Инфляция трактуется, как:</w:t>
      </w:r>
    </w:p>
    <w:p>
      <w:pPr>
        <w:pStyle w:val="style0"/>
        <w:spacing w:after="0" w:lineRule="auto" w:line="360"/>
        <w:ind w:firstLine="709"/>
        <w:jc w:val="both"/>
        <w:rPr/>
      </w:pPr>
      <w:r>
        <w:t>- переполнение каналов денежного обращения избыточными бумажными деньгами, вызывающими их обесценение по отношению к золоту, товарам, иностранной валюте, сохраняющей прежнюю реальную ценность или обе</w:t>
      </w:r>
      <w:r>
        <w:t>сценившейся в меньшей степени;</w:t>
      </w:r>
    </w:p>
    <w:p>
      <w:pPr>
        <w:pStyle w:val="style0"/>
        <w:spacing w:after="0" w:lineRule="auto" w:line="360"/>
        <w:ind w:firstLine="709"/>
        <w:jc w:val="both"/>
        <w:rPr/>
      </w:pPr>
      <w:r>
        <w:t>- любое обесценение бумажных денег;</w:t>
      </w:r>
    </w:p>
    <w:p>
      <w:pPr>
        <w:pStyle w:val="style0"/>
        <w:spacing w:after="0" w:lineRule="auto" w:line="360"/>
        <w:ind w:firstLine="709"/>
        <w:jc w:val="both"/>
        <w:rPr/>
      </w:pPr>
      <w:r>
        <w:t>- повышение общего уровня цен;</w:t>
      </w:r>
    </w:p>
    <w:p>
      <w:pPr>
        <w:pStyle w:val="style0"/>
        <w:spacing w:after="0" w:lineRule="auto" w:line="360"/>
        <w:ind w:firstLine="709"/>
        <w:jc w:val="both"/>
        <w:rPr/>
      </w:pPr>
      <w:r>
        <w:t xml:space="preserve">- многофакторный процесс, не имеющий однозначного толкования. [3. </w:t>
      </w:r>
      <w:r>
        <w:rPr>
          <w:lang w:val="en-US"/>
        </w:rPr>
        <w:t>c</w:t>
      </w:r>
      <w:r>
        <w:t>.100]</w:t>
      </w:r>
    </w:p>
    <w:p>
      <w:pPr>
        <w:pStyle w:val="style0"/>
        <w:spacing w:after="0" w:lineRule="auto" w:line="360"/>
        <w:ind w:firstLine="709"/>
        <w:jc w:val="both"/>
        <w:rPr/>
      </w:pPr>
      <w:r>
        <w:t>Суть инфляции более ясно можно понять, связывая ее с нарушением закона денежного обра</w:t>
      </w:r>
      <w:r>
        <w:t xml:space="preserve">щения и прежде всего несоответствием динамики денежной массы и номинального ВНП. Примерно такой же точки зрения придерживался и известный экономист М. Фридман. При этом при опережающих темпах роста денежной массы по сравнению с повышением номинального ВНП </w:t>
      </w:r>
      <w:r>
        <w:t>возникают инфляционные процессы, а при обратном соотношении рассматриваемых показателей – дефляция. Хотя последняя – это более редкое явление, все же она иногда встречается, причем особенно в развитых странах.</w:t>
      </w:r>
    </w:p>
    <w:p>
      <w:pPr>
        <w:pStyle w:val="style0"/>
        <w:spacing w:after="0" w:lineRule="auto" w:line="360"/>
        <w:ind w:firstLine="709"/>
        <w:jc w:val="both"/>
        <w:rPr/>
      </w:pPr>
      <w:r>
        <w:t xml:space="preserve">Следует отличать инфляцию и дефляцию, которые </w:t>
      </w:r>
      <w:r>
        <w:t xml:space="preserve">носят макроэкономический характер, вызваны общеэкономическими причинами и затрагивают практически все товары и услуги, хотя и в разной степени, от изменений цен по отдельным продуктам, возникающих в результате воздействия локальных факторов. [4. </w:t>
      </w:r>
      <w:r>
        <w:rPr>
          <w:lang w:val="en-US"/>
        </w:rPr>
        <w:t>c</w:t>
      </w:r>
      <w:r>
        <w:t>.42]</w:t>
      </w:r>
    </w:p>
    <w:p>
      <w:pPr>
        <w:pStyle w:val="style0"/>
        <w:spacing w:after="0" w:lineRule="auto" w:line="360"/>
        <w:ind w:firstLine="709"/>
        <w:jc w:val="both"/>
        <w:rPr/>
      </w:pPr>
      <w:r>
        <w:t>Значимым для</w:t>
      </w:r>
      <w:r>
        <w:t xml:space="preserve"> </w:t>
      </w:r>
      <w:r>
        <w:t>изучени</w:t>
      </w:r>
      <w:r>
        <w:t>я</w:t>
      </w:r>
      <w:r>
        <w:t xml:space="preserve"> инфляции являются экономические показатели, среди которых индекс цен является наиболее </w:t>
      </w:r>
      <w:r>
        <w:t xml:space="preserve">актуальным. Например, на </w:t>
      </w:r>
      <w:r>
        <w:t>практике используют индекс ВНП, а также индексы оптовых и потребительских цен (таб.1)</w:t>
      </w:r>
    </w:p>
    <w:p>
      <w:pPr>
        <w:pStyle w:val="style0"/>
        <w:spacing w:before="240" w:lineRule="auto" w:line="360"/>
        <w:jc w:val="both"/>
        <w:rPr>
          <w:color w:val="000000"/>
        </w:rPr>
      </w:pPr>
      <w:r>
        <w:rPr>
          <w:color w:val="000000"/>
        </w:rPr>
        <w:t>Таблица 1 – Показатели инфляции и формул</w:t>
      </w:r>
      <w:r>
        <w:rPr>
          <w:color w:val="000000"/>
        </w:rPr>
        <w:t xml:space="preserve">ы их расчета [2. </w:t>
      </w:r>
      <w:r>
        <w:rPr>
          <w:color w:val="000000"/>
          <w:lang w:val="en-US"/>
        </w:rPr>
        <w:t>c</w:t>
      </w:r>
      <w:r>
        <w:rPr>
          <w:color w:val="000000"/>
        </w:rPr>
        <w:t>.49]</w:t>
      </w:r>
    </w:p>
    <w:tbl>
      <w:tblPr>
        <w:tblStyle w:val="style154"/>
        <w:tblW w:w="0" w:type="auto"/>
        <w:tblLook w:val="04A0" w:firstRow="1" w:lastRow="0" w:firstColumn="1" w:lastColumn="0" w:noHBand="0" w:noVBand="1"/>
      </w:tblPr>
      <w:tblGrid>
        <w:gridCol w:w="2547"/>
        <w:gridCol w:w="6798"/>
      </w:tblGrid>
      <w:tr>
        <w:trPr/>
        <w:tc>
          <w:tcPr>
            <w:tcW w:w="2547" w:type="dxa"/>
            <w:tcBorders/>
          </w:tcPr>
          <w:p>
            <w:pPr>
              <w:pStyle w:val="style0"/>
              <w:spacing w:lineRule="auto" w:line="360"/>
              <w:jc w:val="center"/>
              <w:rPr>
                <w:b/>
                <w:bCs/>
              </w:rPr>
            </w:pPr>
            <w:r>
              <w:rPr>
                <w:b/>
                <w:bCs/>
              </w:rPr>
              <w:t>Показатель</w:t>
            </w:r>
          </w:p>
        </w:tc>
        <w:tc>
          <w:tcPr>
            <w:tcW w:w="6798" w:type="dxa"/>
            <w:tcBorders/>
          </w:tcPr>
          <w:p>
            <w:pPr>
              <w:pStyle w:val="style0"/>
              <w:spacing w:lineRule="auto" w:line="360"/>
              <w:jc w:val="center"/>
              <w:rPr>
                <w:b/>
                <w:bCs/>
              </w:rPr>
            </w:pPr>
            <w:r>
              <w:rPr>
                <w:b/>
                <w:bCs/>
              </w:rPr>
              <w:t>Формула расчета</w:t>
            </w:r>
          </w:p>
        </w:tc>
      </w:tr>
      <w:tr>
        <w:tblPrEx/>
        <w:trPr/>
        <w:tc>
          <w:tcPr>
            <w:tcW w:w="2547" w:type="dxa"/>
            <w:tcBorders/>
          </w:tcPr>
          <w:p>
            <w:pPr>
              <w:pStyle w:val="style0"/>
              <w:spacing w:lineRule="auto" w:line="360"/>
              <w:jc w:val="both"/>
              <w:rPr/>
            </w:pPr>
            <w:r>
              <w:t>Индекс инфляции (темпы роста цен)</w:t>
            </w:r>
          </w:p>
        </w:tc>
        <w:tc>
          <w:tcPr>
            <w:tcW w:w="6798" w:type="dxa"/>
            <w:tcBorders/>
          </w:tcPr>
          <w:p>
            <w:pPr>
              <w:pStyle w:val="style0"/>
              <w:spacing w:lineRule="auto" w:line="360"/>
              <w:jc w:val="both"/>
              <w:rPr>
                <w:i/>
              </w:rPr>
            </w:pPr>
            <w:r>
              <w:t xml:space="preserve">Рассчитывается как стоимость потребительских цен на товары в отчетном периоде, деленной на стоимость потребительских цен на товары в базисном периоде: </w:t>
            </w:r>
            <w:r>
              <w:br/>
            </w:r>
            <m:oMathPara>
              <m:oMath>
                <m:r>
                  <w:rPr>
                    <w:rFonts w:ascii="Cambria Math" w:hAnsi="Cambria Math"/>
                  </w:rPr>
                  <m:t>T</m:t>
                </m:r>
                <m:r>
                  <w:rPr>
                    <w:rFonts w:ascii="Cambria Math" w:hAnsi="Cambria Math"/>
                  </w:rPr>
                  <m:t>=</m:t>
                </m:r>
                <m:f>
                  <m:fPr>
                    <m:ctrlPr>
                      <w:rPr>
                        <w:rFonts w:ascii="Cambria Math" w:hAnsi="Cambria Math"/>
                        <w:i/>
                      </w:rPr>
                    </m:ctrlPr>
                  </m:fPr>
                  <m:num>
                    <m:r>
                      <w:rPr>
                        <w:rFonts w:ascii="Cambria Math" w:hAnsi="Cambria Math"/>
                      </w:rPr>
                      <m:t>St</m:t>
                    </m:r>
                  </m:num>
                  <m:den>
                    <m:r>
                      <w:rPr>
                        <w:rFonts w:ascii="Cambria Math" w:hAnsi="Cambria Math"/>
                      </w:rPr>
                      <m:t>So</m:t>
                    </m:r>
                  </m:den>
                </m:f>
                <m:r>
                  <w:rPr>
                    <w:rFonts w:ascii="Cambria Math" w:hAnsi="Cambria Math"/>
                  </w:rPr>
                  <m:t>*</m:t>
                </m:r>
                <m:r>
                  <w:rPr>
                    <w:rFonts w:ascii="Cambria Math" w:hAnsi="Cambria Math"/>
                  </w:rPr>
                  <m:t>100%, где</m:t>
                </m:r>
              </m:oMath>
            </m:oMathPara>
          </w:p>
          <w:p>
            <w:pPr>
              <w:pStyle w:val="style0"/>
              <w:spacing w:lineRule="auto" w:line="360"/>
              <w:jc w:val="both"/>
              <w:rPr/>
            </w:pPr>
            <w:r>
              <w:rPr>
                <w:lang w:val="en-US"/>
              </w:rPr>
              <w:t>T</w:t>
            </w:r>
            <w:r>
              <w:t xml:space="preserve"> – </w:t>
            </w:r>
            <w:r>
              <w:t>темп</w:t>
            </w:r>
            <w:r>
              <w:t xml:space="preserve"> </w:t>
            </w:r>
            <w:r>
              <w:t>инфляции;</w:t>
            </w:r>
          </w:p>
          <w:p>
            <w:pPr>
              <w:pStyle w:val="style0"/>
              <w:spacing w:lineRule="auto" w:line="360"/>
              <w:jc w:val="both"/>
              <w:rPr>
                <w:rFonts w:ascii="Cambria Math" w:hAnsi="Cambria Math"/>
                <w:iCs/>
              </w:rPr>
            </w:pPr>
            <w:r>
              <w:rPr>
                <w:rFonts w:ascii="Cambria Math" w:hAnsi="Cambria Math"/>
                <w:iCs/>
                <w:lang w:val="en-US"/>
              </w:rPr>
              <w:t>St</w:t>
            </w:r>
            <w:r>
              <w:rPr>
                <w:rFonts w:ascii="Cambria Math" w:hAnsi="Cambria Math"/>
                <w:iCs/>
              </w:rPr>
              <w:t xml:space="preserve"> – стоимость корзины ВВП в текущих ценах;</w:t>
            </w:r>
          </w:p>
          <w:p>
            <w:pPr>
              <w:pStyle w:val="style0"/>
              <w:spacing w:lineRule="auto" w:line="360"/>
              <w:jc w:val="both"/>
              <w:rPr>
                <w:rFonts w:ascii="Cambria Math" w:hAnsi="Cambria Math"/>
                <w:iCs/>
              </w:rPr>
            </w:pPr>
            <w:r>
              <w:rPr>
                <w:rFonts w:ascii="Cambria Math" w:hAnsi="Cambria Math"/>
                <w:iCs/>
                <w:lang w:val="en-US"/>
              </w:rPr>
              <w:t>So</w:t>
            </w:r>
            <w:r>
              <w:rPr>
                <w:rFonts w:ascii="Cambria Math" w:hAnsi="Cambria Math"/>
                <w:iCs/>
              </w:rPr>
              <w:t xml:space="preserve"> </w:t>
            </w:r>
            <w:r>
              <w:rPr>
                <w:rFonts w:ascii="Cambria Math" w:hAnsi="Cambria Math"/>
                <w:iCs/>
              </w:rPr>
              <w:t>–</w:t>
            </w:r>
            <w:r>
              <w:rPr>
                <w:rFonts w:ascii="Cambria Math" w:hAnsi="Cambria Math"/>
                <w:iCs/>
              </w:rPr>
              <w:t xml:space="preserve"> </w:t>
            </w:r>
            <w:r>
              <w:rPr>
                <w:rFonts w:ascii="Cambria Math" w:hAnsi="Cambria Math"/>
                <w:iCs/>
              </w:rPr>
              <w:t>стоимость корзины ВВП в ценах базисного года.</w:t>
            </w:r>
          </w:p>
        </w:tc>
      </w:tr>
      <w:tr>
        <w:tblPrEx/>
        <w:trPr/>
        <w:tc>
          <w:tcPr>
            <w:tcW w:w="2547" w:type="dxa"/>
            <w:tcBorders/>
          </w:tcPr>
          <w:p>
            <w:pPr>
              <w:pStyle w:val="style0"/>
              <w:spacing w:lineRule="auto" w:line="360"/>
              <w:jc w:val="both"/>
              <w:rPr/>
            </w:pPr>
            <w:r>
              <w:t>Уровень инфляции</w:t>
            </w:r>
          </w:p>
        </w:tc>
        <w:tc>
          <w:tcPr>
            <w:tcW w:w="6798" w:type="dxa"/>
            <w:tcBorders/>
          </w:tcPr>
          <w:p>
            <w:pPr>
              <w:pStyle w:val="style0"/>
              <w:spacing w:lineRule="auto" w:line="360"/>
              <w:jc w:val="both"/>
              <w:rPr>
                <w:rFonts w:ascii="Cambria Math" w:hAnsi="Cambria Math"/>
                <w:i/>
              </w:rPr>
            </w:pPr>
            <w:r>
              <w:t>вычисляется по формуле, в которой в числителе обозначается абсолютное изменение цен к ценам базисного периода (в процентном соотношении):</w:t>
            </w:r>
            <w:r>
              <w:rPr>
                <w:rFonts w:ascii="Cambria Math" w:hAnsi="Cambria Math"/>
                <w:i/>
              </w:rPr>
              <w:br/>
            </w:r>
            <m:oMathPara>
              <m:oMath>
                <m:r>
                  <w:rPr>
                    <w:rFonts w:ascii="Cambria Math" w:hAnsi="Cambria Math"/>
                    <w:lang w:val="en-US"/>
                  </w:rPr>
                  <m:t>I</m:t>
                </m:r>
                <m:r>
                  <w:rPr>
                    <w:rFonts w:ascii="Cambria Math" w:hAnsi="Cambria Math"/>
                  </w:rPr>
                  <m:t>=</m:t>
                </m:r>
                <m:f>
                  <m:fPr>
                    <m:ctrlPr>
                      <w:rPr>
                        <w:rFonts w:ascii="Cambria Math" w:hAnsi="Cambria Math"/>
                        <w:i/>
                        <w:lang w:val="en-US"/>
                      </w:rPr>
                    </m:ctrlPr>
                  </m:fPr>
                  <m:num>
                    <m:r>
                      <w:rPr>
                        <w:rFonts w:ascii="Cambria Math" w:hAnsi="Cambria Math"/>
                        <w:lang w:val="en-US"/>
                      </w:rPr>
                      <m:t>Pt</m:t>
                    </m:r>
                    <m:r>
                      <w:rPr>
                        <w:rFonts w:ascii="Cambria Math" w:hAnsi="Cambria Math"/>
                      </w:rPr>
                      <m:t>-</m:t>
                    </m:r>
                    <m:r>
                      <w:rPr>
                        <w:rFonts w:ascii="Cambria Math" w:hAnsi="Cambria Math"/>
                        <w:lang w:val="en-US"/>
                      </w:rPr>
                      <m:t>Po</m:t>
                    </m:r>
                  </m:num>
                  <m:den>
                    <m:r>
                      <w:rPr>
                        <w:rFonts w:ascii="Cambria Math" w:hAnsi="Cambria Math"/>
                        <w:lang w:val="en-US"/>
                      </w:rPr>
                      <m:t>Po</m:t>
                    </m:r>
                  </m:den>
                </m:f>
                <m:r>
                  <w:rPr>
                    <w:rFonts w:ascii="Cambria Math" w:hAnsi="Cambria Math"/>
                  </w:rPr>
                  <m:t>*</m:t>
                </m:r>
                <m:r>
                  <w:rPr>
                    <w:rFonts w:ascii="Cambria Math" w:hAnsi="Cambria Math"/>
                  </w:rPr>
                  <m:t>100%, где</m:t>
                </m:r>
              </m:oMath>
            </m:oMathPara>
          </w:p>
          <w:p>
            <w:pPr>
              <w:pStyle w:val="style0"/>
              <w:spacing w:lineRule="auto" w:line="360"/>
              <w:jc w:val="both"/>
              <w:rPr/>
            </w:pPr>
            <w:r>
              <w:rPr>
                <w:lang w:val="en-US"/>
              </w:rPr>
              <w:t>I</w:t>
            </w:r>
            <w:r>
              <w:t xml:space="preserve"> – </w:t>
            </w:r>
            <w:r>
              <w:t>уровень инфляции</w:t>
            </w:r>
          </w:p>
          <w:p>
            <w:pPr>
              <w:pStyle w:val="style0"/>
              <w:spacing w:lineRule="auto" w:line="360"/>
              <w:jc w:val="both"/>
              <w:rPr/>
            </w:pPr>
            <w:r>
              <w:rPr>
                <w:lang w:val="en-US"/>
              </w:rPr>
              <w:t>Pt</w:t>
            </w:r>
            <w:r>
              <w:t xml:space="preserve"> </w:t>
            </w:r>
            <w:r>
              <w:t>–</w:t>
            </w:r>
            <w:r>
              <w:t xml:space="preserve"> </w:t>
            </w:r>
            <w:r>
              <w:t>индекс цен текущего года;</w:t>
            </w:r>
          </w:p>
          <w:p>
            <w:pPr>
              <w:pStyle w:val="style0"/>
              <w:spacing w:lineRule="auto" w:line="360"/>
              <w:jc w:val="both"/>
              <w:rPr/>
            </w:pPr>
            <w:r>
              <w:rPr>
                <w:lang w:val="en-US"/>
              </w:rPr>
              <w:t>Po</w:t>
            </w:r>
            <w:r>
              <w:t xml:space="preserve"> </w:t>
            </w:r>
            <w:r>
              <w:t>–</w:t>
            </w:r>
            <w:r>
              <w:t xml:space="preserve"> </w:t>
            </w:r>
            <w:r>
              <w:t>индекс цен предыдущего года.</w:t>
            </w:r>
          </w:p>
        </w:tc>
      </w:tr>
    </w:tbl>
    <w:p>
      <w:pPr>
        <w:pStyle w:val="style0"/>
        <w:spacing w:after="0" w:lineRule="auto" w:line="360"/>
        <w:ind w:firstLine="709"/>
        <w:jc w:val="center"/>
        <w:rPr/>
      </w:pPr>
    </w:p>
    <w:p>
      <w:pPr>
        <w:pStyle w:val="style0"/>
        <w:spacing w:after="0" w:lineRule="auto" w:line="360"/>
        <w:ind w:firstLine="709"/>
        <w:jc w:val="both"/>
        <w:rPr/>
      </w:pPr>
      <w:r>
        <w:t xml:space="preserve">Индекс валового национального продукта, называемый дефлятором, выражает отношение объема ВВП в фактических ценах к объему того же ВВП в базовых ценах (чаще всего в ценах предыдущего года). </w:t>
      </w:r>
    </w:p>
    <w:p>
      <w:pPr>
        <w:pStyle w:val="style0"/>
        <w:spacing w:after="0" w:lineRule="auto" w:line="360"/>
        <w:ind w:firstLine="709"/>
        <w:jc w:val="both"/>
        <w:rPr/>
      </w:pPr>
      <w:r>
        <w:t>Для определения</w:t>
      </w:r>
      <w:r>
        <w:t xml:space="preserve"> общего уровня цен и темпа инфляции в основном используются индекс потребительских цен и дефлятор ВВП. </w:t>
      </w:r>
    </w:p>
    <w:p>
      <w:pPr>
        <w:pStyle w:val="style0"/>
        <w:spacing w:after="0" w:lineRule="auto" w:line="360"/>
        <w:ind w:firstLine="709"/>
        <w:jc w:val="both"/>
        <w:rPr/>
      </w:pPr>
      <w:r>
        <w:t>При расчете инфляции по индексу потребительских цен исходной точкой является потребительская корзина – набор товаров и услуг, покупаемых среднестатистич</w:t>
      </w:r>
      <w:r>
        <w:t xml:space="preserve">еским жителем в течение определенного </w:t>
      </w:r>
      <w:r>
        <w:t>промежутка времени: года, квартала, месяца. Стоимость корзины за прошлый год, квартал, месяц берется за базу, отправную точку и сопоставляется со стоимостью корзины, исчисленной в ценах данного месяца, квартала или год</w:t>
      </w:r>
      <w:r>
        <w:t xml:space="preserve">а. </w:t>
      </w:r>
    </w:p>
    <w:p>
      <w:pPr>
        <w:pStyle w:val="style0"/>
        <w:spacing w:after="0" w:lineRule="auto" w:line="360"/>
        <w:ind w:firstLine="709"/>
        <w:jc w:val="both"/>
        <w:rPr/>
      </w:pPr>
      <w:r>
        <w:t xml:space="preserve">Отличия индекса потребительских цен от дефлятора ВВП, помимо того, что при их подсчете используются разные веса – базового года для индекса потребительских цен и текущего года для дефлятора ВВП, заключаются в следующем: </w:t>
      </w:r>
    </w:p>
    <w:p>
      <w:pPr>
        <w:pStyle w:val="style0"/>
        <w:spacing w:after="0" w:lineRule="auto" w:line="360"/>
        <w:ind w:firstLine="709"/>
        <w:jc w:val="both"/>
        <w:rPr/>
      </w:pPr>
      <w:r>
        <w:t>1. индекс потребительских цен рассч</w:t>
      </w:r>
      <w:r>
        <w:t xml:space="preserve">итывается на основе только цен товаров, включаемых в потребительскую корзину, а дефлятор ВВП учитывает все товары, произведенные национальной экономикой; </w:t>
      </w:r>
    </w:p>
    <w:p>
      <w:pPr>
        <w:pStyle w:val="style0"/>
        <w:spacing w:after="0" w:lineRule="auto" w:line="360"/>
        <w:ind w:firstLine="709"/>
        <w:jc w:val="both"/>
        <w:rPr/>
      </w:pPr>
      <w:r>
        <w:t>2. при подсчете индекса потребительских цен учитываются и импортные потребительские товары, а при опр</w:t>
      </w:r>
      <w:r>
        <w:t xml:space="preserve">еделении дефлятора ВВП только товары, произведенные национальной экономикой. </w:t>
      </w:r>
    </w:p>
    <w:p>
      <w:pPr>
        <w:pStyle w:val="style0"/>
        <w:spacing w:after="0" w:lineRule="auto" w:line="360"/>
        <w:ind w:firstLine="709"/>
        <w:jc w:val="both"/>
        <w:rPr/>
      </w:pPr>
      <w:r>
        <w:t>Однако, как индекс потребительских цен, так и дефлятор ВВП имеют свои минусы – индекс потребительских цен завышает величину общего уровня цен и уровень инфляции, а дефлятор ВВП з</w:t>
      </w:r>
      <w:r>
        <w:t xml:space="preserve">анижает эти показатели. </w:t>
      </w:r>
    </w:p>
    <w:p>
      <w:pPr>
        <w:pStyle w:val="style0"/>
        <w:spacing w:after="0" w:lineRule="auto" w:line="360"/>
        <w:ind w:firstLine="709"/>
        <w:jc w:val="both"/>
        <w:rPr/>
      </w:pPr>
      <w:r>
        <w:t xml:space="preserve">Индекс валового национального продукта, называемый дефлятором, выражает отношение объема ВВП в фактических ценах к объему того же ВВП в базовых ценах (чаще всего в ценах предыдущего года). </w:t>
      </w:r>
    </w:p>
    <w:p>
      <w:pPr>
        <w:pStyle w:val="style0"/>
        <w:spacing w:after="0" w:lineRule="auto" w:line="360"/>
        <w:ind w:firstLine="709"/>
        <w:jc w:val="both"/>
        <w:rPr/>
      </w:pPr>
      <w:r>
        <w:t>Для определения общего уровня цен и темпа</w:t>
      </w:r>
      <w:r>
        <w:t xml:space="preserve"> инфляции в основном используются индекс потребительских цен и дефлятор ВВП. </w:t>
      </w:r>
    </w:p>
    <w:p>
      <w:pPr>
        <w:pStyle w:val="style0"/>
        <w:spacing w:after="0" w:lineRule="auto" w:line="360"/>
        <w:ind w:firstLine="709"/>
        <w:jc w:val="both"/>
        <w:rPr/>
      </w:pPr>
      <w:r>
        <w:t>При расчете инфляции по индексу потребительских цен исходной точкой является потребительская корзина – набор товаров и услуг, покупаемых среднестатистическим жителем в течение оп</w:t>
      </w:r>
      <w:r>
        <w:t xml:space="preserve">ределенного промежутка времени: года, квартала, месяца. Стоимость корзины за прошлый год, квартал, месяц берется за базу, отправную точку и сопоставляется со стоимостью корзины, исчисленной в ценах данного месяца, квартала или года. </w:t>
      </w:r>
    </w:p>
    <w:p>
      <w:pPr>
        <w:pStyle w:val="style0"/>
        <w:spacing w:after="0" w:lineRule="auto" w:line="360"/>
        <w:ind w:firstLine="709"/>
        <w:jc w:val="both"/>
        <w:rPr/>
      </w:pPr>
      <w:r>
        <w:t>Отличия индекса потреб</w:t>
      </w:r>
      <w:r>
        <w:t xml:space="preserve">ительских цен от дефлятора ВВП, помимо того, что при их подсчете используются разные веса – базового года для индекса </w:t>
      </w:r>
      <w:r>
        <w:t xml:space="preserve">потребительских цен и текущего года для дефлятора ВВП, заключаются в следующем: </w:t>
      </w:r>
    </w:p>
    <w:p>
      <w:pPr>
        <w:pStyle w:val="style0"/>
        <w:spacing w:after="0" w:lineRule="auto" w:line="360"/>
        <w:ind w:firstLine="709"/>
        <w:jc w:val="both"/>
        <w:rPr/>
      </w:pPr>
      <w:r>
        <w:t>1. индекс потребительских цен рассчитывается на основе то</w:t>
      </w:r>
      <w:r>
        <w:t xml:space="preserve">лько цен товаров, включаемых в потребительскую корзину, а дефлятор ВВП учитывает все товары, произведенные национальной экономикой; </w:t>
      </w:r>
    </w:p>
    <w:p>
      <w:pPr>
        <w:pStyle w:val="style0"/>
        <w:spacing w:after="0" w:lineRule="auto" w:line="360"/>
        <w:ind w:firstLine="709"/>
        <w:jc w:val="both"/>
        <w:rPr/>
      </w:pPr>
      <w:r>
        <w:t>2. при подсчете индекса потребительских цен учитываются и импортные потребительские товары, а при определении дефлятора ВВП</w:t>
      </w:r>
      <w:r>
        <w:t xml:space="preserve"> только товары, произведенные национальной экономикой. </w:t>
      </w:r>
    </w:p>
    <w:p>
      <w:pPr>
        <w:pStyle w:val="style0"/>
        <w:spacing w:after="0" w:lineRule="auto" w:line="360"/>
        <w:ind w:firstLine="709"/>
        <w:jc w:val="both"/>
        <w:rPr/>
      </w:pPr>
      <w:r>
        <w:t>Однако, как индекс потребительских цен, так и дефлятор ВВП имеют свои минусы – индекс потребительских цен завышает величину общего уровня цен и уровень инфляции, а дефлятор ВВП занижает эти показатели</w:t>
      </w:r>
      <w:r>
        <w:t xml:space="preserve">. [3. </w:t>
      </w:r>
      <w:r>
        <w:rPr>
          <w:lang w:val="en-US"/>
        </w:rPr>
        <w:t>c</w:t>
      </w:r>
      <w:r>
        <w:t>.103]</w:t>
      </w:r>
    </w:p>
    <w:p>
      <w:pPr>
        <w:pStyle w:val="style0"/>
        <w:spacing w:after="0" w:lineRule="auto" w:line="360"/>
        <w:ind w:firstLine="709"/>
        <w:jc w:val="both"/>
        <w:rPr/>
      </w:pPr>
    </w:p>
    <w:p>
      <w:pPr>
        <w:pStyle w:val="style0"/>
        <w:spacing w:before="240" w:after="0" w:lineRule="auto" w:line="360"/>
        <w:ind w:left="1276" w:hanging="567"/>
        <w:rPr>
          <w:b/>
          <w:bCs/>
        </w:rPr>
      </w:pPr>
      <w:r>
        <w:rPr>
          <w:b/>
          <w:bCs/>
        </w:rPr>
        <w:t>1.2. Количественные и качественные показатели уровня инфляции в Российской Федерации</w:t>
      </w:r>
    </w:p>
    <w:p>
      <w:pPr>
        <w:pStyle w:val="style0"/>
        <w:spacing w:before="240" w:after="0" w:lineRule="auto" w:line="360"/>
        <w:ind w:firstLine="709"/>
        <w:jc w:val="both"/>
        <w:rPr/>
      </w:pPr>
      <w:r>
        <w:t xml:space="preserve">На сегодняшний день экономисты выделяют достаточно большое количество видов инфляции. Инфляцию различают в зависимости от характера протекания, темпов роста </w:t>
      </w:r>
      <w:r>
        <w:t>цен, степени расхождения роста цен по различным товарным группам и степени прогнозируемости.</w:t>
      </w:r>
    </w:p>
    <w:p>
      <w:pPr>
        <w:pStyle w:val="style0"/>
        <w:spacing w:before="240" w:after="0" w:lineRule="auto" w:line="360"/>
        <w:jc w:val="both"/>
        <w:rPr>
          <w:color w:val="ff0000"/>
        </w:rPr>
      </w:pPr>
      <w:r>
        <w:t xml:space="preserve">Таблица 2 – Классификация инфляции по видам </w:t>
      </w:r>
      <w:r>
        <w:rPr>
          <w:color w:val="000000"/>
        </w:rPr>
        <w:t>[2. с.48]</w:t>
      </w:r>
    </w:p>
    <w:p>
      <w:pPr>
        <w:pStyle w:val="style0"/>
        <w:spacing w:after="0"/>
        <w:ind w:firstLine="709"/>
        <w:jc w:val="center"/>
        <w:rPr/>
      </w:pPr>
    </w:p>
    <w:tbl>
      <w:tblPr>
        <w:tblStyle w:val="style154"/>
        <w:tblW w:w="0" w:type="auto"/>
        <w:tblLook w:val="04A0" w:firstRow="1" w:lastRow="0" w:firstColumn="1" w:lastColumn="0" w:noHBand="0" w:noVBand="1"/>
      </w:tblPr>
      <w:tblGrid>
        <w:gridCol w:w="3000"/>
        <w:gridCol w:w="3055"/>
        <w:gridCol w:w="3301"/>
      </w:tblGrid>
      <w:tr>
        <w:trPr/>
        <w:tc>
          <w:tcPr>
            <w:tcW w:w="3105" w:type="dxa"/>
            <w:tcBorders/>
          </w:tcPr>
          <w:p>
            <w:pPr>
              <w:pStyle w:val="style0"/>
              <w:jc w:val="center"/>
              <w:rPr/>
            </w:pPr>
            <w:r>
              <w:t>Основа классификации</w:t>
            </w:r>
          </w:p>
        </w:tc>
        <w:tc>
          <w:tcPr>
            <w:tcW w:w="2711" w:type="dxa"/>
            <w:tcBorders/>
          </w:tcPr>
          <w:p>
            <w:pPr>
              <w:pStyle w:val="style0"/>
              <w:jc w:val="center"/>
              <w:rPr/>
            </w:pPr>
            <w:r>
              <w:t>Виды инфляции</w:t>
            </w:r>
          </w:p>
        </w:tc>
        <w:tc>
          <w:tcPr>
            <w:tcW w:w="3528" w:type="dxa"/>
            <w:tcBorders/>
          </w:tcPr>
          <w:p>
            <w:pPr>
              <w:pStyle w:val="style0"/>
              <w:jc w:val="center"/>
              <w:rPr/>
            </w:pPr>
            <w:r>
              <w:t xml:space="preserve">Их сущность </w:t>
            </w:r>
          </w:p>
        </w:tc>
      </w:tr>
      <w:tr>
        <w:tblPrEx/>
        <w:trPr/>
        <w:tc>
          <w:tcPr>
            <w:tcW w:w="3105" w:type="dxa"/>
            <w:vMerge w:val="restart"/>
            <w:tcBorders/>
          </w:tcPr>
          <w:p>
            <w:pPr>
              <w:pStyle w:val="style0"/>
              <w:jc w:val="both"/>
              <w:rPr/>
            </w:pPr>
            <w:r>
              <w:t>Характер протекания</w:t>
            </w:r>
          </w:p>
        </w:tc>
        <w:tc>
          <w:tcPr>
            <w:tcW w:w="2711" w:type="dxa"/>
            <w:tcBorders/>
          </w:tcPr>
          <w:p>
            <w:pPr>
              <w:pStyle w:val="style0"/>
              <w:jc w:val="both"/>
              <w:rPr/>
            </w:pPr>
            <w:r>
              <w:t>Открытая</w:t>
            </w:r>
          </w:p>
        </w:tc>
        <w:tc>
          <w:tcPr>
            <w:tcW w:w="3528" w:type="dxa"/>
            <w:tcBorders/>
          </w:tcPr>
          <w:p>
            <w:pPr>
              <w:pStyle w:val="style0"/>
              <w:jc w:val="both"/>
              <w:rPr/>
            </w:pPr>
            <w:r>
              <w:t xml:space="preserve">Отличается </w:t>
            </w:r>
            <w:r>
              <w:t>продолжитель-ным ростом цен на товары и услуги. Характерна для рыночной экономики. включает в себя налоговую инфляцию и инфляцию ценовой накидки, которая возникает в случае повышения предприни-мателями цен на товары и услуги.</w:t>
            </w:r>
          </w:p>
        </w:tc>
      </w:tr>
      <w:tr>
        <w:tblPrEx/>
        <w:trPr/>
        <w:tc>
          <w:tcPr>
            <w:tcW w:w="3105" w:type="dxa"/>
            <w:vMerge w:val="continue"/>
            <w:tcBorders/>
          </w:tcPr>
          <w:p>
            <w:pPr>
              <w:pStyle w:val="style0"/>
              <w:jc w:val="both"/>
              <w:rPr/>
            </w:pPr>
          </w:p>
        </w:tc>
        <w:tc>
          <w:tcPr>
            <w:tcW w:w="2711" w:type="dxa"/>
            <w:tcBorders/>
          </w:tcPr>
          <w:p>
            <w:pPr>
              <w:pStyle w:val="style0"/>
              <w:jc w:val="both"/>
              <w:rPr/>
            </w:pPr>
            <w:r>
              <w:t>Скрытая (подавленная)</w:t>
            </w:r>
          </w:p>
        </w:tc>
        <w:tc>
          <w:tcPr>
            <w:tcW w:w="3528" w:type="dxa"/>
            <w:tcBorders/>
          </w:tcPr>
          <w:p>
            <w:pPr>
              <w:pStyle w:val="style0"/>
              <w:jc w:val="both"/>
              <w:rPr/>
            </w:pPr>
            <w:r>
              <w:t>Возник</w:t>
            </w:r>
            <w:r>
              <w:t>ает при неизменных розничных ценах на товары и услуги и одновременном росте денежных доходов населения, что проявляется в дефиците товаров. Проявляется в хронических неплатежах, развитии бартера, появление денежных суррогатов. Характерна для центра-лизован</w:t>
            </w:r>
            <w:r>
              <w:t>ной экономики. Такая инфляция очень опасна, так как она ведет к разрушению не только рыночного механизма, но и для всего экономического состояния страны.</w:t>
            </w:r>
          </w:p>
        </w:tc>
      </w:tr>
      <w:bookmarkStart w:id="5" w:name="_Hlk120203400"/>
      <w:tr>
        <w:tblPrEx/>
        <w:trPr>
          <w:trHeight w:val="3230" w:hRule="atLeast"/>
        </w:trPr>
        <w:tc>
          <w:tcPr>
            <w:tcW w:w="3105" w:type="dxa"/>
            <w:vMerge w:val="restart"/>
            <w:tcBorders/>
          </w:tcPr>
          <w:p>
            <w:pPr>
              <w:pStyle w:val="style0"/>
              <w:jc w:val="both"/>
              <w:rPr/>
            </w:pPr>
            <w:r>
              <w:t>Зависимость от темпа роста цен</w:t>
            </w:r>
            <w:bookmarkEnd w:id="5"/>
          </w:p>
        </w:tc>
        <w:tc>
          <w:tcPr>
            <w:tcW w:w="2711" w:type="dxa"/>
            <w:tcBorders/>
          </w:tcPr>
          <w:p>
            <w:pPr>
              <w:pStyle w:val="style0"/>
              <w:jc w:val="both"/>
              <w:rPr/>
            </w:pPr>
            <w:r>
              <w:t>Умеренная (ползу-чая, нормальная)</w:t>
            </w:r>
          </w:p>
        </w:tc>
        <w:tc>
          <w:tcPr>
            <w:tcW w:w="3528" w:type="dxa"/>
            <w:tcBorders/>
          </w:tcPr>
          <w:p>
            <w:pPr>
              <w:pStyle w:val="style0"/>
              <w:ind w:left="-5" w:right="-89"/>
              <w:jc w:val="both"/>
              <w:rPr/>
            </w:pPr>
            <w:r>
              <w:t>Цены поднимаются в уме-ренном темпе и постепенно (от 3 до 5 - 10 % в год). Масштабы инфляции под-дается контролю и не приводит к непредви-денным нарушениям в производственной и соци-альной сферах. Характерна для экономически развитых стран, рассматривающих</w:t>
            </w:r>
            <w:r>
              <w:t xml:space="preserve"> ее как стимул производства.</w:t>
            </w:r>
          </w:p>
        </w:tc>
      </w:tr>
      <w:tr>
        <w:tblPrEx/>
        <w:trPr/>
        <w:tc>
          <w:tcPr>
            <w:tcW w:w="3105" w:type="dxa"/>
            <w:vMerge w:val="continue"/>
            <w:tcBorders/>
          </w:tcPr>
          <w:p>
            <w:pPr>
              <w:pStyle w:val="style0"/>
              <w:jc w:val="both"/>
              <w:rPr/>
            </w:pPr>
          </w:p>
        </w:tc>
        <w:tc>
          <w:tcPr>
            <w:tcW w:w="2711" w:type="dxa"/>
            <w:tcBorders/>
          </w:tcPr>
          <w:p>
            <w:pPr>
              <w:pStyle w:val="style0"/>
              <w:jc w:val="both"/>
              <w:rPr/>
            </w:pPr>
            <w:r>
              <w:t xml:space="preserve">Галопирующая </w:t>
            </w:r>
          </w:p>
        </w:tc>
        <w:tc>
          <w:tcPr>
            <w:tcW w:w="3528" w:type="dxa"/>
            <w:tcBorders/>
          </w:tcPr>
          <w:p>
            <w:pPr>
              <w:pStyle w:val="style0"/>
              <w:jc w:val="both"/>
              <w:rPr/>
            </w:pPr>
            <w:r>
              <w:t>Быстрое и скачкообразное увеличивание цен (на 10 - 200 % в год). Процесс роста цен и экономического развития не контролируем. Преобладает в развиваю-щихся странах, вызывает беспокойство в обществе.</w:t>
            </w:r>
          </w:p>
        </w:tc>
      </w:tr>
      <w:tr>
        <w:tblPrEx/>
        <w:trPr/>
        <w:tc>
          <w:tcPr>
            <w:tcW w:w="3105" w:type="dxa"/>
            <w:vMerge w:val="continue"/>
            <w:tcBorders/>
          </w:tcPr>
          <w:p>
            <w:pPr>
              <w:pStyle w:val="style0"/>
              <w:jc w:val="both"/>
              <w:rPr/>
            </w:pPr>
          </w:p>
        </w:tc>
        <w:tc>
          <w:tcPr>
            <w:tcW w:w="2711" w:type="dxa"/>
            <w:tcBorders/>
          </w:tcPr>
          <w:p>
            <w:pPr>
              <w:pStyle w:val="style0"/>
              <w:jc w:val="both"/>
              <w:rPr/>
            </w:pPr>
            <w:r>
              <w:t>Гиперинфляц</w:t>
            </w:r>
            <w:r>
              <w:t>ия</w:t>
            </w:r>
          </w:p>
        </w:tc>
        <w:tc>
          <w:tcPr>
            <w:tcW w:w="3528" w:type="dxa"/>
            <w:tcBorders/>
          </w:tcPr>
          <w:p>
            <w:pPr>
              <w:pStyle w:val="style0"/>
              <w:jc w:val="both"/>
              <w:rPr/>
            </w:pPr>
            <w:r>
              <w:t>Сверхвысокий, ничем не стесненный рост цен (до 1000 % в год). Деньги вытесняются из оборота, социальные последствия приобретают катастрофи-</w:t>
            </w:r>
            <w:r>
              <w:t>ческий характер, экономическое развитие не возможно.</w:t>
            </w:r>
          </w:p>
        </w:tc>
      </w:tr>
      <w:bookmarkStart w:id="6" w:name="_Hlk121421374"/>
      <w:tr>
        <w:tblPrEx/>
        <w:trPr/>
        <w:tc>
          <w:tcPr>
            <w:tcW w:w="3105" w:type="dxa"/>
            <w:vMerge w:val="restart"/>
            <w:tcBorders/>
          </w:tcPr>
          <w:p>
            <w:pPr>
              <w:pStyle w:val="style0"/>
              <w:jc w:val="both"/>
              <w:rPr/>
            </w:pPr>
            <w:r>
              <w:t xml:space="preserve">Степень расхождения роста цен по различным товарным группам </w:t>
            </w:r>
            <w:bookmarkEnd w:id="6"/>
          </w:p>
        </w:tc>
        <w:tc>
          <w:tcPr>
            <w:tcW w:w="2711" w:type="dxa"/>
            <w:tcBorders/>
          </w:tcPr>
          <w:p>
            <w:pPr>
              <w:pStyle w:val="style0"/>
              <w:jc w:val="both"/>
              <w:rPr/>
            </w:pPr>
            <w:r>
              <w:t xml:space="preserve">Сбалансированная </w:t>
            </w:r>
          </w:p>
        </w:tc>
        <w:tc>
          <w:tcPr>
            <w:tcW w:w="3528" w:type="dxa"/>
            <w:tcBorders/>
          </w:tcPr>
          <w:p>
            <w:pPr>
              <w:pStyle w:val="style0"/>
              <w:jc w:val="both"/>
              <w:rPr/>
            </w:pPr>
            <w:r>
              <w:t>Цены различных товаров относительно друг друга остаются неизменными.</w:t>
            </w:r>
          </w:p>
        </w:tc>
      </w:tr>
      <w:tr>
        <w:tblPrEx/>
        <w:trPr/>
        <w:tc>
          <w:tcPr>
            <w:tcW w:w="3105" w:type="dxa"/>
            <w:vMerge w:val="continue"/>
            <w:tcBorders/>
          </w:tcPr>
          <w:p>
            <w:pPr>
              <w:pStyle w:val="style0"/>
              <w:jc w:val="both"/>
              <w:rPr/>
            </w:pPr>
          </w:p>
        </w:tc>
        <w:tc>
          <w:tcPr>
            <w:tcW w:w="2711" w:type="dxa"/>
            <w:tcBorders/>
          </w:tcPr>
          <w:p>
            <w:pPr>
              <w:pStyle w:val="style0"/>
              <w:jc w:val="both"/>
              <w:rPr/>
            </w:pPr>
            <w:r>
              <w:t>Несбалансированная</w:t>
            </w:r>
          </w:p>
        </w:tc>
        <w:tc>
          <w:tcPr>
            <w:tcW w:w="3528" w:type="dxa"/>
            <w:tcBorders/>
          </w:tcPr>
          <w:p>
            <w:pPr>
              <w:pStyle w:val="style0"/>
              <w:jc w:val="both"/>
              <w:rPr/>
            </w:pPr>
            <w:r>
              <w:t>Цены различных товаров по отношению друг к другу постоянно меняются в различных пропорциях.</w:t>
            </w:r>
          </w:p>
        </w:tc>
      </w:tr>
      <w:tr>
        <w:tblPrEx/>
        <w:trPr/>
        <w:tc>
          <w:tcPr>
            <w:tcW w:w="3105" w:type="dxa"/>
            <w:vMerge w:val="restart"/>
            <w:tcBorders/>
          </w:tcPr>
          <w:p>
            <w:pPr>
              <w:pStyle w:val="style0"/>
              <w:jc w:val="both"/>
              <w:rPr/>
            </w:pPr>
            <w:r>
              <w:t>Степень прогнозируемости</w:t>
            </w:r>
          </w:p>
        </w:tc>
        <w:tc>
          <w:tcPr>
            <w:tcW w:w="2711" w:type="dxa"/>
            <w:tcBorders/>
          </w:tcPr>
          <w:p>
            <w:pPr>
              <w:pStyle w:val="style0"/>
              <w:jc w:val="both"/>
              <w:rPr/>
            </w:pPr>
            <w:r>
              <w:t>Прогнозируемая</w:t>
            </w:r>
          </w:p>
        </w:tc>
        <w:tc>
          <w:tcPr>
            <w:tcW w:w="3528" w:type="dxa"/>
            <w:tcBorders/>
          </w:tcPr>
          <w:p>
            <w:pPr>
              <w:pStyle w:val="style0"/>
              <w:jc w:val="both"/>
              <w:rPr/>
            </w:pPr>
            <w:r>
              <w:t>Инфляция, которая учиты-вается в ожиданиях и поведении экономических субъектов.</w:t>
            </w:r>
          </w:p>
        </w:tc>
      </w:tr>
      <w:tr>
        <w:tblPrEx/>
        <w:trPr/>
        <w:tc>
          <w:tcPr>
            <w:tcW w:w="3105" w:type="dxa"/>
            <w:vMerge w:val="continue"/>
            <w:tcBorders/>
          </w:tcPr>
          <w:p>
            <w:pPr>
              <w:pStyle w:val="style0"/>
              <w:jc w:val="both"/>
              <w:rPr/>
            </w:pPr>
          </w:p>
        </w:tc>
        <w:tc>
          <w:tcPr>
            <w:tcW w:w="2711" w:type="dxa"/>
            <w:tcBorders/>
          </w:tcPr>
          <w:p>
            <w:pPr>
              <w:pStyle w:val="style0"/>
              <w:jc w:val="both"/>
              <w:rPr/>
            </w:pPr>
            <w:r>
              <w:t>Непрогнозируемая</w:t>
            </w:r>
          </w:p>
        </w:tc>
        <w:tc>
          <w:tcPr>
            <w:tcW w:w="3528" w:type="dxa"/>
            <w:tcBorders/>
          </w:tcPr>
          <w:p>
            <w:pPr>
              <w:pStyle w:val="style0"/>
              <w:jc w:val="both"/>
              <w:rPr/>
            </w:pPr>
            <w:r>
              <w:t>Инфляция, которая стано-вится для населения неожиданностью, так как фактический темп роста уровня цен превышает ожидаемый.</w:t>
            </w:r>
          </w:p>
        </w:tc>
      </w:tr>
    </w:tbl>
    <w:p>
      <w:pPr>
        <w:pStyle w:val="style0"/>
        <w:spacing w:after="0"/>
        <w:ind w:firstLine="709"/>
        <w:jc w:val="both"/>
        <w:rPr/>
      </w:pPr>
    </w:p>
    <w:p>
      <w:pPr>
        <w:pStyle w:val="style0"/>
        <w:spacing w:after="0"/>
        <w:ind w:firstLine="709"/>
        <w:rPr/>
      </w:pPr>
    </w:p>
    <w:p>
      <w:pPr>
        <w:pStyle w:val="style0"/>
        <w:spacing w:after="0" w:lineRule="auto" w:line="360"/>
        <w:ind w:firstLine="709"/>
        <w:jc w:val="both"/>
        <w:rPr/>
      </w:pPr>
      <w:r>
        <w:t xml:space="preserve">Рассматривая </w:t>
      </w:r>
      <w:r>
        <w:t>классификацию</w:t>
      </w:r>
      <w:r>
        <w:t xml:space="preserve"> видов</w:t>
      </w:r>
      <w:r>
        <w:t xml:space="preserve"> инфляции</w:t>
      </w:r>
      <w:r>
        <w:t xml:space="preserve"> </w:t>
      </w:r>
      <w:r>
        <w:t xml:space="preserve">стоит добавить еще несколько категорий, на которые делится инфляция: </w:t>
      </w:r>
    </w:p>
    <w:p>
      <w:pPr>
        <w:pStyle w:val="style0"/>
        <w:spacing w:after="0" w:lineRule="auto" w:line="360"/>
        <w:ind w:firstLine="709"/>
        <w:jc w:val="both"/>
        <w:rPr/>
      </w:pPr>
      <w:r>
        <w:t>- По преобладанию денежных и неденежных факторов:</w:t>
      </w:r>
    </w:p>
    <w:p>
      <w:pPr>
        <w:pStyle w:val="style0"/>
        <w:spacing w:after="0" w:lineRule="auto" w:line="360"/>
        <w:ind w:firstLine="709"/>
        <w:jc w:val="both"/>
        <w:rPr/>
      </w:pPr>
      <w:r>
        <w:t xml:space="preserve">Инфляция спроса (много денег при малом количестве товаров, спрос на товары и услуги превышает предложение, </w:t>
      </w:r>
      <w:r>
        <w:t xml:space="preserve">производство не удовлетворяет потребности населения, избыток спроса ведет к росту цен); кризис государственных финансов и дефицит бюджета. [2. </w:t>
      </w:r>
      <w:r>
        <w:rPr>
          <w:lang w:val="en-US"/>
        </w:rPr>
        <w:t>c</w:t>
      </w:r>
      <w:r>
        <w:t>.48]. В основе данного вида инфляции могут лежать такие факторы, как рост доходов населения, рост инфляционных о</w:t>
      </w:r>
      <w:r>
        <w:t xml:space="preserve">жиданий и т.д. [1. </w:t>
      </w:r>
      <w:r>
        <w:rPr>
          <w:lang w:val="en-US"/>
        </w:rPr>
        <w:t>c</w:t>
      </w:r>
      <w:r>
        <w:t>.345]</w:t>
      </w:r>
    </w:p>
    <w:p>
      <w:pPr>
        <w:pStyle w:val="style0"/>
        <w:spacing w:after="0" w:lineRule="auto" w:line="360"/>
        <w:ind w:firstLine="709"/>
        <w:jc w:val="both"/>
        <w:rPr/>
      </w:pPr>
      <w:r>
        <w:t xml:space="preserve">Инфляция издержек производства (расходы на производство товара и оказание услуг возрастают быстрыми темпами под влиянием специфики развития производства, повышение издержек производства ведет к росту цен). [2. </w:t>
      </w:r>
      <w:r>
        <w:rPr>
          <w:lang w:val="en-US"/>
        </w:rPr>
        <w:t>c</w:t>
      </w:r>
      <w:r>
        <w:t>.48] Рост издержек,</w:t>
      </w:r>
      <w:r>
        <w:t xml:space="preserve"> в свою очередь, может быть вызван, например, ростом цен на факторы производства (топливо, земля), ростом цен на ЖКХ и транспортных услуг, ростом налоговых ставок. [1. </w:t>
      </w:r>
      <w:r>
        <w:rPr>
          <w:lang w:val="en-US"/>
        </w:rPr>
        <w:t>c</w:t>
      </w:r>
      <w:r>
        <w:t>.345]</w:t>
      </w:r>
    </w:p>
    <w:p>
      <w:pPr>
        <w:pStyle w:val="style0"/>
        <w:spacing w:after="0" w:lineRule="auto" w:line="360"/>
        <w:ind w:firstLine="709"/>
        <w:jc w:val="both"/>
        <w:rPr/>
      </w:pPr>
      <w:r>
        <w:t>- По сфере возникновения инфляции:</w:t>
      </w:r>
    </w:p>
    <w:p>
      <w:pPr>
        <w:pStyle w:val="style0"/>
        <w:spacing w:after="0" w:lineRule="auto" w:line="360"/>
        <w:ind w:firstLine="709"/>
        <w:jc w:val="both"/>
        <w:rPr/>
      </w:pPr>
      <w:r>
        <w:t>Импортируемая (экспортируемая) инфляция перено</w:t>
      </w:r>
      <w:r>
        <w:t xml:space="preserve">сится из одних стран в другие под воздействием внешних факторов, н-р, чрезмерным притоком в страну инвалюты и повышением импортных цен; </w:t>
      </w:r>
    </w:p>
    <w:p>
      <w:pPr>
        <w:pStyle w:val="style0"/>
        <w:spacing w:after="0" w:lineRule="auto" w:line="360"/>
        <w:ind w:firstLine="709"/>
        <w:jc w:val="both"/>
        <w:rPr/>
      </w:pPr>
      <w:r>
        <w:t xml:space="preserve">Внутристрановая инфляция – обесценение национальной валюты, проявляющееся в повышении цен за счет негативных явлений в </w:t>
      </w:r>
      <w:r>
        <w:t xml:space="preserve">экономике страны. [2. </w:t>
      </w:r>
      <w:r>
        <w:rPr>
          <w:lang w:val="en-US"/>
        </w:rPr>
        <w:t>c</w:t>
      </w:r>
      <w:r>
        <w:t>.49]</w:t>
      </w:r>
    </w:p>
    <w:p>
      <w:pPr>
        <w:pStyle w:val="style0"/>
        <w:spacing w:after="0" w:lineRule="auto" w:line="360"/>
        <w:ind w:firstLine="709"/>
        <w:jc w:val="both"/>
        <w:rPr/>
      </w:pPr>
      <w:r>
        <w:t xml:space="preserve">Изучив классификацию </w:t>
      </w:r>
      <w:r>
        <w:t xml:space="preserve">видов </w:t>
      </w:r>
      <w:r>
        <w:t>инфляци</w:t>
      </w:r>
      <w:r>
        <w:t>и</w:t>
      </w:r>
      <w:r>
        <w:t xml:space="preserve"> </w:t>
      </w:r>
      <w:r>
        <w:t xml:space="preserve">стоит рассмотреть количественные и качественные показатели уровня инфляции. </w:t>
      </w:r>
    </w:p>
    <w:p>
      <w:pPr>
        <w:pStyle w:val="style0"/>
        <w:spacing w:after="0" w:lineRule="auto" w:line="360"/>
        <w:ind w:firstLine="709"/>
        <w:jc w:val="both"/>
        <w:rPr/>
      </w:pPr>
      <w:r>
        <w:t>Об изменении цен в экономике дают представление различные показатели ценовой динамики — индексы цен производителей,</w:t>
      </w:r>
      <w:r>
        <w:t xml:space="preserve"> дефлятор валового внутреннего продукта, индекс потребительских цен. Когда говорят об инфляции, обычно имеют в виду индекс потребительских цен (ИПЦ), который измеряет изменение во времени стоимости набора продовольственных, непродовольственных товаров и ус</w:t>
      </w:r>
      <w:r>
        <w:t>луг, потребляемых средним домохозяйством (т.е. стоимости «потребительской корзины»). Выбор ИПЦ в качестве основного индикатора инфляции связан с его ролью как важного показателя динамики стоимости жизни населения. Кроме того, ИПЦ обладает рядом характерист</w:t>
      </w:r>
      <w:r>
        <w:t xml:space="preserve">ик, которые делают его удобным для широкого применения — простота и понятность методологии построения, месячная периодичность расчета, оперативность публикации. </w:t>
      </w:r>
    </w:p>
    <w:p>
      <w:pPr>
        <w:pStyle w:val="style0"/>
        <w:spacing w:after="0" w:lineRule="auto" w:line="360"/>
        <w:ind w:firstLine="709"/>
        <w:jc w:val="both"/>
        <w:rPr/>
      </w:pPr>
      <w:r>
        <w:t>Периоды, за которые измеряется ИПЦ, могут быть различными. Наиболее распространены сравнения у</w:t>
      </w:r>
      <w:r>
        <w:t xml:space="preserve">ровня потребительских цен в определенном месяце года с их уровнем в предыдущем месяце, соответствующем месяце предыдущего года, декабре предыдущего года. </w:t>
      </w:r>
    </w:p>
    <w:p>
      <w:pPr>
        <w:pStyle w:val="style0"/>
        <w:spacing w:after="0" w:lineRule="auto" w:line="360"/>
        <w:ind w:firstLine="709"/>
        <w:jc w:val="both"/>
        <w:rPr/>
      </w:pPr>
      <w:r>
        <w:t>Статистическое наблюдение за ценами, необходимые расчеты и публикацию данных об ИПЦ в России осуществ</w:t>
      </w:r>
      <w:r>
        <w:t xml:space="preserve">ляет Федеральная служба государственной статистики. </w:t>
      </w:r>
      <w:r>
        <w:t>[11]</w:t>
      </w:r>
    </w:p>
    <w:p>
      <w:pPr>
        <w:pStyle w:val="style0"/>
        <w:spacing w:before="240" w:after="0" w:lineRule="auto" w:line="360"/>
        <w:ind w:firstLine="709"/>
        <w:jc w:val="both"/>
        <w:rPr/>
      </w:pPr>
      <w:r>
        <w:t xml:space="preserve">При определении индекса потребительских цен состав потребительской корзины фиксируется на уровне базисного года. Предполагается, что состав потребительской корзины из года в год не меняется. </w:t>
      </w:r>
    </w:p>
    <w:p>
      <w:pPr>
        <w:pStyle w:val="style0"/>
        <w:spacing w:before="240" w:after="0" w:lineRule="auto" w:line="360"/>
        <w:ind w:firstLine="709"/>
        <w:jc w:val="both"/>
        <w:rPr>
          <w:i/>
        </w:rPr>
      </w:pPr>
      <m:oMathPara>
        <m:oMath>
          <m:r>
            <w:rPr>
              <w:rFonts w:ascii="Cambria Math" w:hAnsi="Cambria Math"/>
            </w:rPr>
            <m:t>I</m:t>
          </m:r>
          <m:r>
            <w:rPr>
              <w:rFonts w:ascii="Cambria Math" w:hAnsi="Cambria Math"/>
            </w:rPr>
            <m:t xml:space="preserve"> потр</m:t>
          </m:r>
          <m:r>
            <w:rPr>
              <w:rFonts w:ascii="Cambria Math" w:hAnsi="Cambria Math"/>
            </w:rPr>
            <m:t>еб.цен=</m:t>
          </m:r>
          <m:f>
            <m:fPr>
              <m:ctrlPr>
                <w:rPr>
                  <w:rFonts w:ascii="Cambria Math" w:hAnsi="Cambria Math"/>
                  <w:i/>
                </w:rPr>
              </m:ctrlPr>
            </m:fPr>
            <m:num>
              <m:r>
                <w:rPr>
                  <w:rFonts w:ascii="Cambria Math" w:hAnsi="Cambria Math"/>
                </w:rPr>
                <m:t>Цена потребительской корзины в текущем году</m:t>
              </m:r>
            </m:num>
            <m:den>
              <m:r>
                <w:rPr>
                  <w:rFonts w:ascii="Cambria Math" w:hAnsi="Cambria Math"/>
                </w:rPr>
                <m:t>Цена потребительской корзины в базисном году</m:t>
              </m:r>
            </m:den>
          </m:f>
          <m:r>
            <w:rPr>
              <w:rFonts w:ascii="Cambria Math" w:hAnsi="Cambria Math"/>
            </w:rPr>
            <m:t xml:space="preserve">, (1)  </m:t>
          </m:r>
        </m:oMath>
      </m:oMathPara>
    </w:p>
    <w:p>
      <w:pPr>
        <w:pStyle w:val="style0"/>
        <w:spacing w:before="240" w:after="0" w:lineRule="auto" w:line="360"/>
        <w:ind w:firstLine="709"/>
        <w:jc w:val="both"/>
        <w:rPr/>
      </w:pPr>
      <w:r>
        <w:t xml:space="preserve">Например, цена потребительской корзины (недельного продуктового набора на человека в одном из городов России) в декабре 1998 г. составляла 474 руб., а в декабре 1999 г. — 587 руб. Чему равен </w:t>
      </w:r>
      <w:r>
        <w:rPr>
          <w:lang w:val="en-US"/>
        </w:rPr>
        <w:t>I</w:t>
      </w:r>
      <w:r>
        <w:t xml:space="preserve"> потреб. цен в 1999 г.? </w:t>
      </w:r>
    </w:p>
    <w:p>
      <w:pPr>
        <w:pStyle w:val="style0"/>
        <w:spacing w:before="240" w:lineRule="auto" w:line="360"/>
        <w:ind w:firstLine="709"/>
        <w:jc w:val="center"/>
        <w:rPr>
          <w:rFonts w:eastAsia="SimSun"/>
          <w:i/>
        </w:rPr>
      </w:pPr>
      <m:oMathPara>
        <m:oMath>
          <m:r>
            <w:rPr>
              <w:rFonts w:ascii="Cambria Math" w:hAnsi="Cambria Math"/>
            </w:rPr>
            <m:t>I</m:t>
          </m:r>
          <m:r>
            <w:rPr>
              <w:rFonts w:ascii="Cambria Math" w:hAnsi="Cambria Math"/>
            </w:rPr>
            <m:t xml:space="preserve"> потреб. цен=</m:t>
          </m:r>
          <m:f>
            <m:fPr>
              <m:ctrlPr>
                <w:rPr>
                  <w:rFonts w:ascii="Cambria Math" w:hAnsi="Cambria Math"/>
                  <w:i/>
                </w:rPr>
              </m:ctrlPr>
            </m:fPr>
            <m:num>
              <m:r>
                <w:rPr>
                  <w:rFonts w:ascii="Cambria Math" w:hAnsi="Cambria Math"/>
                </w:rPr>
                <m:t>587</m:t>
              </m:r>
            </m:num>
            <m:den>
              <m:r>
                <w:rPr>
                  <w:rFonts w:ascii="Cambria Math" w:hAnsi="Cambria Math"/>
                </w:rPr>
                <m:t>474</m:t>
              </m:r>
            </m:den>
          </m:f>
          <m:r>
            <w:rPr>
              <w:rFonts w:ascii="Cambria Math" w:hAnsi="Cambria Math"/>
            </w:rPr>
            <m:t>*</m:t>
          </m:r>
          <m:r>
            <w:rPr>
              <w:rFonts w:ascii="Cambria Math" w:hAnsi="Cambria Math"/>
            </w:rPr>
            <m:t>100%=123,8%, (2)</m:t>
          </m:r>
        </m:oMath>
      </m:oMathPara>
    </w:p>
    <w:p>
      <w:pPr>
        <w:pStyle w:val="style0"/>
        <w:spacing w:lineRule="auto" w:line="360"/>
        <w:ind w:firstLine="709"/>
        <w:jc w:val="both"/>
        <w:rPr/>
      </w:pPr>
      <w:r>
        <w:t xml:space="preserve">Следовательно, если уровень цен в 1998 г. принимается за 100%, такой же набор товаров подорожал на 23,8%. </w:t>
      </w:r>
    </w:p>
    <w:p>
      <w:pPr>
        <w:pStyle w:val="style0"/>
        <w:spacing w:after="0" w:lineRule="auto" w:line="360"/>
        <w:ind w:firstLine="709"/>
        <w:jc w:val="both"/>
        <w:rPr/>
      </w:pPr>
      <w:r>
        <w:t>Инфляция не предполагает роста цен в равной пропорции и одновременно. Состав потребительской корзины ограничен и определяется на основе анализа повед</w:t>
      </w:r>
      <w:r>
        <w:t>ения потребителей. Ряд экономистов считает, что индекс потребительских цен завышает рост стоимости жизни, так как не принимает во внимание изменение стиля поведения (в сфере услуг) и качественные сдвиги (например, улучшение качества товаров и услуг), а сле</w:t>
      </w:r>
      <w:r>
        <w:t>довательно, могут возникнуть проблемы измерения темпов инфляции, их завышения.</w:t>
      </w:r>
    </w:p>
    <w:p>
      <w:pPr>
        <w:pStyle w:val="style0"/>
        <w:spacing w:before="240" w:after="0" w:lineRule="auto" w:line="360"/>
        <w:ind w:firstLine="709"/>
        <w:jc w:val="both"/>
        <w:rPr/>
      </w:pPr>
      <w:r>
        <w:t>Темпы инфляции рассчитываются следующим образом: из индекса потребительских цен текущего года вычитается индекс потребительских цен прошлого года, затем эта разница делится на и</w:t>
      </w:r>
      <w:r>
        <w:t>ндекс цен прошлого года и результат умножается на 100%:</w:t>
      </w:r>
    </w:p>
    <w:p>
      <w:pPr>
        <w:pStyle w:val="style0"/>
        <w:spacing w:before="240" w:lineRule="auto" w:line="360"/>
        <w:ind w:firstLine="709"/>
        <w:jc w:val="both"/>
        <w:rPr/>
      </w:pPr>
      <m:oMathPara>
        <m:oMath>
          <m:r>
            <w:rPr>
              <w:rFonts w:ascii="Cambria Math" w:hAnsi="Cambria Math"/>
            </w:rPr>
            <m:t>Темп инфляции=</m:t>
          </m:r>
          <m:f>
            <m:fPr>
              <m:ctrlPr>
                <w:rPr>
                  <w:rFonts w:ascii="Cambria Math" w:hAnsi="Cambria Math"/>
                  <w:i/>
                </w:rPr>
              </m:ctrlPr>
            </m:fPr>
            <m:num>
              <m:r>
                <w:rPr>
                  <w:rFonts w:ascii="Cambria Math" w:hAnsi="Cambria Math"/>
                </w:rPr>
                <m:t>I</m:t>
              </m:r>
              <m:r>
                <w:rPr>
                  <w:rFonts w:ascii="Cambria Math" w:hAnsi="Cambria Math"/>
                </w:rPr>
                <m:t xml:space="preserve"> потребит. цен тек. г. - </m:t>
              </m:r>
              <m:r>
                <w:rPr>
                  <w:rFonts w:ascii="Cambria Math" w:hAnsi="Cambria Math"/>
                </w:rPr>
                <m:t>I</m:t>
              </m:r>
              <m:r>
                <w:rPr>
                  <w:rFonts w:ascii="Cambria Math" w:hAnsi="Cambria Math"/>
                </w:rPr>
                <m:t xml:space="preserve">  потреб. цен прошл. г.</m:t>
              </m:r>
            </m:num>
            <m:den>
              <m:r>
                <w:rPr>
                  <w:rFonts w:ascii="Cambria Math" w:hAnsi="Cambria Math"/>
                  <w:lang w:val="en-US"/>
                </w:rPr>
                <m:t>I</m:t>
              </m:r>
              <m:r>
                <w:rPr>
                  <w:rFonts w:ascii="Cambria Math" w:hAnsi="Cambria Math"/>
                </w:rPr>
                <m:t xml:space="preserve"> потреб. цен прошл. г.</m:t>
              </m:r>
            </m:den>
          </m:f>
          <m:r>
            <w:rPr>
              <w:rFonts w:ascii="Cambria Math" w:hAnsi="Cambria Math"/>
            </w:rPr>
            <m:t>, (3)</m:t>
          </m:r>
        </m:oMath>
      </m:oMathPara>
    </w:p>
    <w:p>
      <w:pPr>
        <w:pStyle w:val="style0"/>
        <w:spacing w:lineRule="auto" w:line="360"/>
        <w:ind w:firstLine="709"/>
        <w:jc w:val="both"/>
        <w:rPr/>
      </w:pPr>
      <w:r>
        <w:t xml:space="preserve">Например, индекс потребительских цен в 1998 г. относительно предыдущего года составил 184,4%, а в </w:t>
      </w:r>
      <w:r>
        <w:t>1997 г – 111,0%</w:t>
      </w:r>
    </w:p>
    <w:p>
      <w:pPr>
        <w:pStyle w:val="style0"/>
        <w:spacing w:after="0" w:lineRule="auto" w:line="360"/>
        <w:ind w:firstLine="709"/>
        <w:jc w:val="both"/>
        <w:rPr/>
      </w:pPr>
      <m:oMathPara>
        <m:oMath>
          <m:r>
            <w:rPr>
              <w:rFonts w:ascii="Cambria Math" w:hAnsi="Cambria Math"/>
            </w:rPr>
            <m:t>Темп инфляции=</m:t>
          </m:r>
          <m:f>
            <m:fPr>
              <m:ctrlPr>
                <w:rPr>
                  <w:rFonts w:ascii="Cambria Math" w:hAnsi="Cambria Math"/>
                  <w:i/>
                </w:rPr>
              </m:ctrlPr>
            </m:fPr>
            <m:num>
              <m:r>
                <w:rPr>
                  <w:rFonts w:ascii="Cambria Math" w:hAnsi="Cambria Math"/>
                </w:rPr>
                <m:t>184,4-111,0</m:t>
              </m:r>
            </m:num>
            <m:den>
              <m:r>
                <w:rPr>
                  <w:rFonts w:ascii="Cambria Math" w:hAnsi="Cambria Math"/>
                </w:rPr>
                <m:t>111,0</m:t>
              </m:r>
            </m:den>
          </m:f>
          <m:r>
            <w:rPr>
              <w:rFonts w:ascii="Cambria Math" w:hAnsi="Cambria Math"/>
            </w:rPr>
            <m:t>*</m:t>
          </m:r>
          <m:r>
            <w:rPr>
              <w:rFonts w:ascii="Cambria Math" w:hAnsi="Cambria Math"/>
            </w:rPr>
            <m:t>100%=66,1%, (4)</m:t>
          </m:r>
        </m:oMath>
      </m:oMathPara>
    </w:p>
    <w:p>
      <w:pPr>
        <w:pStyle w:val="style0"/>
        <w:spacing w:after="0" w:lineRule="auto" w:line="360"/>
        <w:ind w:firstLine="709"/>
        <w:jc w:val="both"/>
        <w:rPr/>
      </w:pPr>
      <w:r>
        <w:t>Темпы инфляции предопределяются тремя основными факторами: платежеспособным спросом, издержками производства и спекулятивной прибылью перекупщиков. Платежеспособный спрос зависит не только от к</w:t>
      </w:r>
      <w:r>
        <w:t>оличества денег в обращении, но и от скорости их оборота (в России — одной из самых высоких в мире, так как бумажные деньги не пользуются здесь доверием у населения). Издержки производства зависят от качества его организации и управления, соотношения динам</w:t>
      </w:r>
      <w:r>
        <w:t>ики оплаты и производительности труда, стоимости сырья и энергоносителей, транспортных услуг и т.д.</w:t>
      </w:r>
    </w:p>
    <w:p>
      <w:pPr>
        <w:pStyle w:val="style0"/>
        <w:spacing w:before="240" w:after="0" w:lineRule="auto" w:line="360"/>
        <w:ind w:firstLine="709"/>
        <w:jc w:val="both"/>
        <w:rPr/>
      </w:pPr>
      <w:r>
        <w:t>Существует другой способ количественного измерения инфляции. Это так называемое правило семидесяти, которое позволяет подсчитать количество лет, необходимых</w:t>
      </w:r>
      <w:r>
        <w:t xml:space="preserve"> для удвоения общего уровня цен. С этой целью число 70 делится на ежегодный уровень инфляции.</w:t>
      </w:r>
    </w:p>
    <w:p>
      <w:pPr>
        <w:pStyle w:val="style0"/>
        <w:spacing w:before="240" w:lineRule="auto" w:line="360"/>
        <w:ind w:right="-1" w:hanging="1277"/>
        <w:jc w:val="both"/>
        <w:rPr>
          <w:rFonts w:cs="Times New Roman"/>
          <w:sz w:val="26"/>
          <w:szCs w:val="26"/>
        </w:rPr>
      </w:pPr>
      <m:oMathPara>
        <m:oMathParaPr>
          <m:jc m:val="center"/>
        </m:oMathParaPr>
        <m:oMath>
          <m:r>
            <w:rPr>
              <w:rFonts w:ascii="Cambria Math" w:cs="Times New Roman" w:hAnsi="Cambria Math"/>
              <w:sz w:val="26"/>
              <w:szCs w:val="26"/>
            </w:rPr>
            <m:t>Кол-во лет, необ. для удвоениия цен=</m:t>
          </m:r>
          <m:f>
            <m:fPr>
              <m:ctrlPr>
                <w:rPr>
                  <w:rFonts w:ascii="Cambria Math" w:cs="Times New Roman" w:hAnsi="Cambria Math"/>
                  <w:i/>
                  <w:sz w:val="26"/>
                  <w:szCs w:val="26"/>
                </w:rPr>
              </m:ctrlPr>
            </m:fPr>
            <m:num>
              <m:r>
                <w:rPr>
                  <w:rFonts w:ascii="Cambria Math" w:cs="Times New Roman" w:hAnsi="Cambria Math"/>
                  <w:sz w:val="26"/>
                  <w:szCs w:val="26"/>
                </w:rPr>
                <m:t>70</m:t>
              </m:r>
            </m:num>
            <m:den>
              <m:r>
                <w:rPr>
                  <w:rFonts w:ascii="Cambria Math" w:cs="Times New Roman" w:hAnsi="Cambria Math"/>
                  <w:sz w:val="26"/>
                  <w:szCs w:val="26"/>
                </w:rPr>
                <m:t xml:space="preserve">Темп ежег. увел. уровня цен </m:t>
              </m:r>
              <m:d>
                <m:dPr>
                  <m:endChr m:val=")"/>
                  <m:ctrlPr>
                    <w:rPr>
                      <w:rFonts w:ascii="Cambria Math" w:cs="Times New Roman" w:hAnsi="Cambria Math"/>
                      <w:i/>
                      <w:sz w:val="26"/>
                      <w:szCs w:val="26"/>
                    </w:rPr>
                  </m:ctrlPr>
                </m:dPr>
                <m:e>
                  <m:r>
                    <w:rPr>
                      <w:rFonts w:ascii="Cambria Math" w:cs="Times New Roman" w:hAnsi="Cambria Math"/>
                      <w:sz w:val="26"/>
                      <w:szCs w:val="26"/>
                    </w:rPr>
                    <m:t>%</m:t>
                  </m:r>
                </m:e>
              </m:d>
            </m:den>
          </m:f>
          <m:r>
            <w:rPr>
              <w:rFonts w:ascii="Cambria Math" w:cs="Times New Roman" w:hAnsi="Cambria Math"/>
              <w:sz w:val="26"/>
              <w:szCs w:val="26"/>
            </w:rPr>
            <m:t>, (5)</m:t>
          </m:r>
        </m:oMath>
      </m:oMathPara>
    </w:p>
    <w:p>
      <w:pPr>
        <w:pStyle w:val="style0"/>
        <w:spacing w:lineRule="auto" w:line="360"/>
        <w:ind w:firstLine="709"/>
        <w:jc w:val="both"/>
        <w:rPr/>
      </w:pPr>
      <w:r>
        <w:t xml:space="preserve">В нашем примере при темпе инфляции 66,1% для удвоения уровня цен потребуется 70 / 66,1 = </w:t>
      </w:r>
      <w:r>
        <w:t xml:space="preserve">чуть более 1 года. При темпах инфляции 6,6% для этого понадобилось бы 10 лет. </w:t>
      </w:r>
      <w:r>
        <w:t>[</w:t>
      </w:r>
      <w:r>
        <w:t xml:space="preserve">5. </w:t>
      </w:r>
      <w:r>
        <w:t>с.168</w:t>
      </w:r>
      <w:r>
        <w:t>]</w:t>
      </w:r>
    </w:p>
    <w:p>
      <w:pPr>
        <w:pStyle w:val="style0"/>
        <w:spacing w:before="240" w:after="0" w:lineRule="auto" w:line="360"/>
        <w:ind w:firstLine="709"/>
        <w:jc w:val="both"/>
        <w:rPr/>
      </w:pPr>
      <w:r>
        <w:t>Для измерения общего уровня цен чаще используется индекс цен валового национального продукта – дефлятор ВНП. С 1996 г. введено ежеквартальное исчисление данного индекс</w:t>
      </w:r>
      <w:r>
        <w:t>а. Его корзина включает в себя все конечные товары и услуги, произведенные в обществе. То есть, дефлятор ВНП более полно отражает изменение цен в обществе, охватывая не только отдельные группы товаров и услуг.</w:t>
      </w:r>
    </w:p>
    <w:p>
      <w:pPr>
        <w:pStyle w:val="style0"/>
        <w:spacing w:before="240" w:lineRule="auto" w:line="360"/>
        <w:ind w:firstLine="709"/>
        <w:jc w:val="both"/>
        <w:rPr/>
      </w:pPr>
      <m:oMathPara>
        <m:oMath>
          <m:r>
            <w:rPr>
              <w:rFonts w:ascii="Cambria Math" w:hAnsi="Cambria Math"/>
            </w:rPr>
            <m:t>Дефлятор ВНП=</m:t>
          </m:r>
          <m:f>
            <m:fPr>
              <m:ctrlPr>
                <w:rPr>
                  <w:rFonts w:ascii="Cambria Math" w:hAnsi="Cambria Math"/>
                  <w:i/>
                </w:rPr>
              </m:ctrlPr>
            </m:fPr>
            <m:num>
              <m:r>
                <w:rPr>
                  <w:rFonts w:ascii="Cambria Math" w:hAnsi="Cambria Math"/>
                </w:rPr>
                <m:t>Номинальный ВНП</m:t>
              </m:r>
            </m:num>
            <m:den>
              <m:r>
                <w:rPr>
                  <w:rFonts w:ascii="Cambria Math" w:hAnsi="Cambria Math"/>
                </w:rPr>
                <m:t>Реальный ВНП*100%</m:t>
              </m:r>
            </m:den>
          </m:f>
          <m:r>
            <w:rPr>
              <w:rFonts w:ascii="Cambria Math" w:hAnsi="Cambria Math"/>
            </w:rPr>
            <m:t>,</m:t>
          </m:r>
          <m:r>
            <w:rPr>
              <w:rFonts w:ascii="Cambria Math" w:hAnsi="Cambria Math"/>
            </w:rPr>
            <m:t xml:space="preserve"> (6)</m:t>
          </m:r>
        </m:oMath>
      </m:oMathPara>
    </w:p>
    <w:p>
      <w:pPr>
        <w:pStyle w:val="style0"/>
        <w:spacing w:lineRule="auto" w:line="360"/>
        <w:ind w:firstLine="709"/>
        <w:jc w:val="both"/>
        <w:rPr/>
      </w:pPr>
      <w:r>
        <w:t>Где номинальный ВНП – расходы в нынешнем году по текущим ценам; реальный ВНП – расходы в нынешнем году по ценам базового года.</w:t>
      </w:r>
    </w:p>
    <w:p>
      <w:pPr>
        <w:pStyle w:val="style0"/>
        <w:spacing w:after="0" w:lineRule="auto" w:line="360"/>
        <w:ind w:firstLine="709"/>
        <w:jc w:val="both"/>
        <w:rPr/>
      </w:pPr>
      <w:r>
        <w:t xml:space="preserve">Реальный ВНП показывает, насколько возрос валовой национальный продукт исключительно за счет роста цен. </w:t>
      </w:r>
      <w:r>
        <w:t>[</w:t>
      </w:r>
      <w:r>
        <w:t>6. с.422</w:t>
      </w:r>
      <w:r>
        <w:t>]</w:t>
      </w:r>
    </w:p>
    <w:p>
      <w:pPr>
        <w:pStyle w:val="style0"/>
        <w:spacing w:after="0" w:lineRule="auto" w:line="360"/>
        <w:ind w:firstLine="709"/>
        <w:jc w:val="both"/>
        <w:rPr/>
      </w:pPr>
      <w:r>
        <w:t>Таким обр</w:t>
      </w:r>
      <w:r>
        <w:t xml:space="preserve">азом, можно сделать вывод, что методы измерения инфляции многообразны. На сегодняшний день существует официальная статистика индексов потребительски цен, на базе которых можно рассчитать темпы инфляции, а также формулы, по которым можно определить уровень </w:t>
      </w:r>
      <w:r>
        <w:t xml:space="preserve">инфляции. </w:t>
      </w:r>
    </w:p>
    <w:p>
      <w:pPr>
        <w:pStyle w:val="style0"/>
        <w:spacing w:after="0" w:lineRule="auto" w:line="360"/>
        <w:ind w:firstLine="709"/>
        <w:jc w:val="both"/>
        <w:rPr/>
      </w:pPr>
    </w:p>
    <w:p>
      <w:pPr>
        <w:pStyle w:val="style0"/>
        <w:spacing w:after="0" w:lineRule="auto" w:line="360"/>
        <w:ind w:firstLine="709"/>
        <w:rPr>
          <w:b/>
          <w:bCs/>
        </w:rPr>
      </w:pPr>
      <w:r>
        <w:rPr>
          <w:b/>
          <w:bCs/>
        </w:rPr>
        <w:t>1.3 Причины и последствия возникновения инфляции</w:t>
      </w:r>
    </w:p>
    <w:p>
      <w:pPr>
        <w:pStyle w:val="style179"/>
        <w:spacing w:after="0" w:lineRule="auto" w:line="360"/>
        <w:ind w:left="1128"/>
        <w:rPr>
          <w:b/>
          <w:bCs/>
        </w:rPr>
      </w:pPr>
    </w:p>
    <w:p>
      <w:pPr>
        <w:pStyle w:val="style0"/>
        <w:spacing w:after="0" w:lineRule="auto" w:line="360"/>
        <w:ind w:firstLine="709"/>
        <w:jc w:val="both"/>
        <w:rPr/>
      </w:pPr>
      <w:r>
        <w:t>Сложность в процессе определения причин возникновения инфляции заключается в том, что современная инфляция может быть вызвана не только чрезмерным объемом денежной массы, но и целым рядом других</w:t>
      </w:r>
      <w:r>
        <w:t xml:space="preserve"> взаимосвязанных факторов. Именно поэтому инфляция зачастую определяется как многофакторное явление. [9. </w:t>
      </w:r>
      <w:r>
        <w:rPr>
          <w:lang w:val="en-US"/>
        </w:rPr>
        <w:t>c</w:t>
      </w:r>
      <w:r>
        <w:t>.20]</w:t>
      </w:r>
    </w:p>
    <w:p>
      <w:pPr>
        <w:pStyle w:val="style0"/>
        <w:spacing w:after="0" w:lineRule="auto" w:line="360"/>
        <w:ind w:firstLine="709"/>
        <w:jc w:val="both"/>
        <w:rPr/>
      </w:pPr>
      <w:r>
        <w:t xml:space="preserve">Основные причины возникновения инфляции можно разделить на две группы: денежные и неденежные. </w:t>
      </w:r>
    </w:p>
    <w:p>
      <w:pPr>
        <w:pStyle w:val="style0"/>
        <w:spacing w:after="0" w:lineRule="auto" w:line="360"/>
        <w:ind w:firstLine="709"/>
        <w:jc w:val="both"/>
        <w:rPr/>
      </w:pPr>
      <w:r>
        <w:t>Денежные факторы – перенасыщение сферы обращения и</w:t>
      </w:r>
      <w:r>
        <w:t xml:space="preserve">збыточной массой денежных средств. Если объем возрастает, а остальные параметры остаются на одном уровне, то увеличивается и уровень инфляции. </w:t>
      </w:r>
    </w:p>
    <w:p>
      <w:pPr>
        <w:pStyle w:val="style0"/>
        <w:spacing w:after="0" w:lineRule="auto" w:line="360"/>
        <w:ind w:firstLine="709"/>
        <w:jc w:val="both"/>
        <w:rPr/>
      </w:pPr>
      <w:r>
        <w:t xml:space="preserve">К денежным факторам инфляции относят: </w:t>
      </w:r>
    </w:p>
    <w:p>
      <w:pPr>
        <w:pStyle w:val="style0"/>
        <w:spacing w:after="0" w:lineRule="auto" w:line="360"/>
        <w:ind w:firstLine="709"/>
        <w:jc w:val="both"/>
        <w:rPr/>
      </w:pPr>
      <w:r>
        <w:t xml:space="preserve">1. избыточная эмиссия денег – люди могут позволить себе купить больше товаров и услуг, и производство не может удовлетворить потребности населения. Или, выражаясь экономическими терминами, совокупный спрос становится больше совокупного предложения; </w:t>
      </w:r>
    </w:p>
    <w:p>
      <w:pPr>
        <w:pStyle w:val="style0"/>
        <w:spacing w:after="0" w:lineRule="auto" w:line="360"/>
        <w:ind w:firstLine="709"/>
        <w:jc w:val="both"/>
        <w:rPr/>
      </w:pPr>
      <w:r>
        <w:t>2. пов</w:t>
      </w:r>
      <w:r>
        <w:t xml:space="preserve">ышение скорости обращения – это может произойти из-за опасения людей потерять все свои средства. Население начинает избавляться </w:t>
      </w:r>
      <w:r>
        <w:t xml:space="preserve">от денег и увеличивает количество сделок. Это приводит к обесцениванию национальной валюты; </w:t>
      </w:r>
    </w:p>
    <w:p>
      <w:pPr>
        <w:pStyle w:val="style0"/>
        <w:spacing w:after="0" w:lineRule="auto" w:line="360"/>
        <w:ind w:firstLine="709"/>
        <w:jc w:val="both"/>
        <w:rPr/>
      </w:pPr>
      <w:r>
        <w:t>3. циклическое развитие экономики – неспособность преодолеть инфляцию порождается недостатками хозяйственного механизма. В условиях централизованной экономики практически отсутствовала обратная связь, не было эффективных экономических рычагов, которые были</w:t>
      </w:r>
      <w:r>
        <w:t xml:space="preserve"> способны регулировать соотношение между денежной и товарной массой; что касается административных ограничителей, то они «работали» недостаточно эффективно; </w:t>
      </w:r>
    </w:p>
    <w:p>
      <w:pPr>
        <w:pStyle w:val="style0"/>
        <w:spacing w:after="0" w:lineRule="auto" w:line="360"/>
        <w:ind w:firstLine="709"/>
        <w:jc w:val="both"/>
        <w:rPr/>
      </w:pPr>
      <w:r>
        <w:t xml:space="preserve">4. кредитная экспансия банка – кредитование – это достаточно сложный механизм, который приводит к </w:t>
      </w:r>
      <w:r>
        <w:t>экономическому дисбалансу и влияет на рост уровня цен. Но в настоящий момент выдача займов под проценты стала неотъемлемой частью жизни общества. Из-за этого уже на протяжении многих лет в стране присутствует инфляция, к которой большинство людей привыкло;</w:t>
      </w:r>
      <w:r>
        <w:t xml:space="preserve"> </w:t>
      </w:r>
    </w:p>
    <w:p>
      <w:pPr>
        <w:pStyle w:val="style0"/>
        <w:spacing w:after="0" w:lineRule="auto" w:line="360"/>
        <w:ind w:firstLine="709"/>
        <w:jc w:val="both"/>
        <w:rPr/>
      </w:pPr>
      <w:r>
        <w:t xml:space="preserve">5. несбалансированные инвестиции – государству часто приходится делать вложения, которые не учитывались при составлении бюджета. Это может быть военная промышленность или восстановление жилья после чрезвычайных происшествий; </w:t>
      </w:r>
    </w:p>
    <w:p>
      <w:pPr>
        <w:pStyle w:val="style0"/>
        <w:spacing w:after="0" w:lineRule="auto" w:line="360"/>
        <w:ind w:firstLine="709"/>
        <w:jc w:val="both"/>
        <w:rPr/>
      </w:pPr>
      <w:r>
        <w:t>6. военизация экономики – по</w:t>
      </w:r>
      <w:r>
        <w:t>вышение военных затрат временно оживляет конъюнктуру денежной системы, хотя в общем приводит к деформации структуры товарного производства и разгоняет течение инфляции. Военные затраты становятся основой создания вспомогательного платежеспособного спроса с</w:t>
      </w:r>
      <w:r>
        <w:t xml:space="preserve">о стороны тех лиц, которые присутствуют на военной службе либо заняты в военном секторе экономики. Итогом этого становится подъем валютной массы в перспективе отсутствия реально поступающих продуктов в оборот; </w:t>
      </w:r>
    </w:p>
    <w:p>
      <w:pPr>
        <w:pStyle w:val="style0"/>
        <w:spacing w:after="0" w:lineRule="auto" w:line="360"/>
        <w:ind w:firstLine="709"/>
        <w:jc w:val="both"/>
        <w:rPr/>
      </w:pPr>
      <w:r>
        <w:t xml:space="preserve">7. кризис государственных финансов – таковой </w:t>
      </w:r>
      <w:r>
        <w:t xml:space="preserve">упадок появляется тогда уже, когда правительство расширяет собственные социально-экономические функции, собственно приводит к повышению непродуктивных затрат. Способы, используемые для покрытия бюджетного недостатка, обычно, </w:t>
      </w:r>
      <w:r>
        <w:t>способствуют росту обращающейся</w:t>
      </w:r>
      <w:r>
        <w:t xml:space="preserve"> валютной массы. Промышленно-развитые страны устремляются не допустить эмиссии и для погашения дефицита госбюджета предпочитают применять налоги, также государственный кредит; </w:t>
      </w:r>
    </w:p>
    <w:p>
      <w:pPr>
        <w:pStyle w:val="style0"/>
        <w:spacing w:after="0" w:lineRule="auto" w:line="360"/>
        <w:ind w:firstLine="709"/>
        <w:jc w:val="both"/>
        <w:rPr/>
      </w:pPr>
      <w:r>
        <w:t>8. конкретно налоги не считаются аспектом, основополагающим причины инфляции, х</w:t>
      </w:r>
      <w:r>
        <w:t>отя они виляют на ценообразование. Косвенные налоги входят в состав стоимости облагаемых ими продуктов, а их увеличение приводит к ценовому подъему. Воздействие муниципального долга на инфляцию находится в зависимости от способов размещения государственных</w:t>
      </w:r>
      <w:r>
        <w:t xml:space="preserve"> обязанностей. Когда ценные бумаги государственного значения (то есть облигации) располагаются в банковских структурах методом эмиссии платежных инструментов, то что и ведет к инфляционным результатам. </w:t>
      </w:r>
    </w:p>
    <w:p>
      <w:pPr>
        <w:pStyle w:val="style0"/>
        <w:spacing w:after="0" w:lineRule="auto" w:line="360"/>
        <w:ind w:firstLine="709"/>
        <w:jc w:val="both"/>
        <w:rPr/>
      </w:pPr>
      <w:r>
        <w:t>Неденежные факторы – в основном связаны с диспропорци</w:t>
      </w:r>
      <w:r>
        <w:t xml:space="preserve">ями в общественном воспроизводстве или с затратным механизмом хозяйствования. </w:t>
      </w:r>
    </w:p>
    <w:p>
      <w:pPr>
        <w:pStyle w:val="style0"/>
        <w:spacing w:after="0" w:lineRule="auto" w:line="360"/>
        <w:ind w:firstLine="709"/>
        <w:jc w:val="both"/>
        <w:rPr/>
      </w:pPr>
      <w:r>
        <w:t xml:space="preserve">К этим факторам относят: </w:t>
      </w:r>
    </w:p>
    <w:p>
      <w:pPr>
        <w:pStyle w:val="style0"/>
        <w:spacing w:after="0" w:lineRule="auto" w:line="360"/>
        <w:ind w:firstLine="709"/>
        <w:jc w:val="both"/>
        <w:rPr/>
      </w:pPr>
      <w:r>
        <w:t>1. снижение производительности труда – в этом случае на производство единицы продукции требуется больше времени. При этом многие издержки остаются неиз</w:t>
      </w:r>
      <w:r>
        <w:t>менными (заработная плата, энергия, налоги). Получается, что себестоимость производства увеличивается;</w:t>
      </w:r>
    </w:p>
    <w:p>
      <w:pPr>
        <w:pStyle w:val="style0"/>
        <w:spacing w:after="0" w:lineRule="auto" w:line="360"/>
        <w:ind w:firstLine="709"/>
        <w:jc w:val="both"/>
        <w:rPr/>
      </w:pPr>
      <w:r>
        <w:t>2. монополистическое ценообразование – ключевую роль в формировании инфляционных процессов играют монополии, а происходит это через процесс ценообразован</w:t>
      </w:r>
      <w:r>
        <w:t xml:space="preserve">ия. Они оказывают давление в сторону повышения цен двумя способами: </w:t>
      </w:r>
    </w:p>
    <w:p>
      <w:pPr>
        <w:pStyle w:val="style0"/>
        <w:spacing w:after="0" w:lineRule="auto" w:line="360"/>
        <w:ind w:firstLine="709"/>
        <w:jc w:val="both"/>
        <w:rPr/>
      </w:pPr>
      <w:r>
        <w:rPr/>
        <w:sym w:font="Symbol" w:char="f0b7"/>
      </w:r>
      <w:r>
        <w:t xml:space="preserve"> картельное соглашение – явный либо тайный сговор по ценовой стратегии между небольшим количеством ведущих производителей (т.е. монополистов); </w:t>
      </w:r>
    </w:p>
    <w:p>
      <w:pPr>
        <w:pStyle w:val="style0"/>
        <w:spacing w:after="0" w:lineRule="auto" w:line="360"/>
        <w:ind w:firstLine="709"/>
        <w:jc w:val="both"/>
        <w:rPr/>
      </w:pPr>
      <w:r>
        <w:rPr/>
        <w:sym w:font="Symbol" w:char="f0b7"/>
      </w:r>
      <w:r>
        <w:t xml:space="preserve"> принцип лидерства в ценах – заключается </w:t>
      </w:r>
      <w:r>
        <w:t xml:space="preserve">в том, что предприниматели ориентируются на цены, которые устанавливают компании-лидеры, т.е. самые </w:t>
      </w:r>
      <w:r>
        <w:t xml:space="preserve">крупные производители, а эти цены характеризуются прибылью, превышающую среднюю норму. </w:t>
      </w:r>
    </w:p>
    <w:p>
      <w:pPr>
        <w:pStyle w:val="style0"/>
        <w:spacing w:after="0" w:lineRule="auto" w:line="360"/>
        <w:ind w:firstLine="709"/>
        <w:jc w:val="both"/>
        <w:rPr/>
      </w:pPr>
      <w:r>
        <w:t>3. рост издержек производства и обращения – при росте курса иностран</w:t>
      </w:r>
      <w:r>
        <w:t>ной валюты растут и цены на весь импорт. Если на производстве нет возможности заменить импортное сырье на отечественное, увеличивается себестоимость производства товаров. Также регулярно растут цены из-за подорожания топлива и увеличения других сопутствующ</w:t>
      </w:r>
      <w:r>
        <w:t xml:space="preserve">их расходов (страховки, налогов, запчастей). Цены повышаются из-за подорожания электроэнергии, услуг обслуживающих организаций и многого другого; </w:t>
      </w:r>
    </w:p>
    <w:p>
      <w:pPr>
        <w:pStyle w:val="style0"/>
        <w:spacing w:after="0" w:lineRule="auto" w:line="360"/>
        <w:ind w:firstLine="709"/>
        <w:jc w:val="both"/>
        <w:rPr/>
      </w:pPr>
      <w:r>
        <w:t>4. мировые структурные кризисы – в 70-х гг. внешними критериями инфляции стали мировые структурные катаклизмы</w:t>
      </w:r>
      <w:r>
        <w:t>, которые проявлялись в перестройке структуры цен. В 70-г гг. произошел пересмотр цен в нефтедобывающей отрасли, цены на все виды сырья выросли в 7 раз, а на сырую нефть стоимость</w:t>
      </w:r>
      <w:r>
        <w:t xml:space="preserve"> увеличилась</w:t>
      </w:r>
      <w:r>
        <w:t xml:space="preserve"> в 20 раз. Все это привело к удорожанию импорта сырья и к ценовом</w:t>
      </w:r>
      <w:r>
        <w:t xml:space="preserve">у росту на внутреннем рынке. </w:t>
      </w:r>
    </w:p>
    <w:p>
      <w:pPr>
        <w:pStyle w:val="style0"/>
        <w:spacing w:after="0" w:lineRule="auto" w:line="360"/>
        <w:ind w:firstLine="709"/>
        <w:jc w:val="both"/>
        <w:rPr/>
      </w:pPr>
      <w:r>
        <w:t>Помимо перечисленных выше причин, факторы инфляции могут носить не экономический характер – это так именуемые инфляционные ожидания, возникающие в результате политической нестабильности (войны, революции, утрата доверия к прав</w:t>
      </w:r>
      <w:r>
        <w:t>ительству и прочие) [4. с.48]</w:t>
      </w:r>
    </w:p>
    <w:p>
      <w:pPr>
        <w:pStyle w:val="style0"/>
        <w:spacing w:after="0" w:lineRule="auto" w:line="360"/>
        <w:ind w:firstLine="709"/>
        <w:jc w:val="both"/>
        <w:rPr/>
      </w:pPr>
      <w:r>
        <w:t xml:space="preserve">Помимо рассмотренных выше внутренних факторов, являющихся основополагающими причинами возникновения инфляции, также есть внешние факторы, в которые входят: </w:t>
      </w:r>
    </w:p>
    <w:p>
      <w:pPr>
        <w:pStyle w:val="style0"/>
        <w:spacing w:after="0" w:lineRule="auto" w:line="360"/>
        <w:ind w:firstLine="709"/>
        <w:jc w:val="both"/>
        <w:rPr/>
      </w:pPr>
      <w:r>
        <w:t>Мировые структуры кризиса (сырьевой, энергетический, валютный);</w:t>
      </w:r>
    </w:p>
    <w:p>
      <w:pPr>
        <w:pStyle w:val="style0"/>
        <w:spacing w:after="0" w:lineRule="auto" w:line="360"/>
        <w:ind w:firstLine="709"/>
        <w:jc w:val="both"/>
        <w:rPr/>
      </w:pPr>
      <w:r>
        <w:t>Валют</w:t>
      </w:r>
      <w:r>
        <w:t xml:space="preserve">ная политика государства, направленная на экспорт инфляции в другие страны, нелегальный экспорт золота, валюты. [2. </w:t>
      </w:r>
      <w:r>
        <w:rPr>
          <w:lang w:val="en-US"/>
        </w:rPr>
        <w:t>c</w:t>
      </w:r>
      <w:r>
        <w:t>.48]</w:t>
      </w:r>
    </w:p>
    <w:p>
      <w:pPr>
        <w:pStyle w:val="style0"/>
        <w:spacing w:after="0" w:lineRule="auto" w:line="360"/>
        <w:ind w:firstLine="709"/>
        <w:jc w:val="both"/>
        <w:rPr/>
      </w:pPr>
      <w:r>
        <w:t>Рассматривая последствия возникновения инфляции необходимо смотреть как отрицательные, так и положительные процессы.</w:t>
      </w:r>
    </w:p>
    <w:p>
      <w:pPr>
        <w:pStyle w:val="style0"/>
        <w:spacing w:after="0" w:lineRule="auto" w:line="360"/>
        <w:ind w:firstLine="709"/>
        <w:jc w:val="both"/>
        <w:rPr/>
      </w:pPr>
      <w:r>
        <w:t>В список отрицательных последствий возникновения инфляции выделяют:</w:t>
      </w:r>
    </w:p>
    <w:p>
      <w:pPr>
        <w:pStyle w:val="style0"/>
        <w:spacing w:after="0" w:lineRule="auto" w:line="360"/>
        <w:ind w:firstLine="709"/>
        <w:jc w:val="both"/>
        <w:rPr/>
      </w:pPr>
      <w:r>
        <w:t xml:space="preserve">Для сферы производства: </w:t>
      </w:r>
    </w:p>
    <w:p>
      <w:pPr>
        <w:pStyle w:val="style0"/>
        <w:spacing w:after="0" w:lineRule="auto" w:line="360"/>
        <w:ind w:firstLine="709"/>
        <w:jc w:val="both"/>
        <w:rPr/>
      </w:pPr>
      <w:r>
        <w:t xml:space="preserve">— снижение занятости, расстройство всей системы регулирования экономики; </w:t>
      </w:r>
    </w:p>
    <w:p>
      <w:pPr>
        <w:pStyle w:val="style0"/>
        <w:spacing w:after="0" w:lineRule="auto" w:line="360"/>
        <w:ind w:firstLine="709"/>
        <w:jc w:val="both"/>
        <w:rPr/>
      </w:pPr>
      <w:r>
        <w:t xml:space="preserve">— обесценение всего фонда накопления; </w:t>
      </w:r>
    </w:p>
    <w:p>
      <w:pPr>
        <w:pStyle w:val="style0"/>
        <w:spacing w:after="0" w:lineRule="auto" w:line="360"/>
        <w:ind w:firstLine="709"/>
        <w:jc w:val="both"/>
        <w:rPr/>
      </w:pPr>
      <w:r>
        <w:t>— обесценение кредитов;</w:t>
      </w:r>
    </w:p>
    <w:p>
      <w:pPr>
        <w:pStyle w:val="style0"/>
        <w:spacing w:after="0" w:lineRule="auto" w:line="360"/>
        <w:ind w:firstLine="709"/>
        <w:jc w:val="both"/>
        <w:rPr/>
      </w:pPr>
      <w:r>
        <w:t xml:space="preserve">— стимулирование с помощью высоких процентных ставок не производства, а спекуляции. </w:t>
      </w:r>
    </w:p>
    <w:p>
      <w:pPr>
        <w:pStyle w:val="style0"/>
        <w:spacing w:after="0" w:lineRule="auto" w:line="360"/>
        <w:ind w:firstLine="709"/>
        <w:jc w:val="both"/>
        <w:rPr/>
      </w:pPr>
      <w:r>
        <w:t xml:space="preserve">При распределении доходов: </w:t>
      </w:r>
    </w:p>
    <w:p>
      <w:pPr>
        <w:pStyle w:val="style0"/>
        <w:spacing w:after="0" w:lineRule="auto" w:line="360"/>
        <w:ind w:firstLine="709"/>
        <w:jc w:val="both"/>
        <w:rPr/>
      </w:pPr>
      <w:r>
        <w:t>— перераспределение доходов, с увеличением доходов тех, кто выплачивает задолженности по фиксированным процентам, и снижением доходов их кредит</w:t>
      </w:r>
      <w:r>
        <w:t xml:space="preserve">оров (правительства, накопившие значительный государственный долг, нередко проводят политику кратковременного стимулирования инфляции, которая способствует обесценению задолженности); </w:t>
      </w:r>
    </w:p>
    <w:p>
      <w:pPr>
        <w:pStyle w:val="style0"/>
        <w:spacing w:after="0" w:lineRule="auto" w:line="360"/>
        <w:ind w:firstLine="709"/>
        <w:jc w:val="both"/>
        <w:rPr/>
      </w:pPr>
      <w:r>
        <w:t>— отрицательное воздействие на население с фиксированными доходами (бюд</w:t>
      </w:r>
      <w:r>
        <w:t xml:space="preserve">жетники, студенты, пенсионеры), которые обесцениваются; </w:t>
      </w:r>
    </w:p>
    <w:p>
      <w:pPr>
        <w:pStyle w:val="style0"/>
        <w:spacing w:after="0" w:lineRule="auto" w:line="360"/>
        <w:ind w:firstLine="709"/>
        <w:jc w:val="both"/>
        <w:rPr/>
      </w:pPr>
      <w:r>
        <w:t xml:space="preserve">— обесценение доходов населения влечет за собой сокращение текущего потребления; </w:t>
      </w:r>
    </w:p>
    <w:p>
      <w:pPr>
        <w:pStyle w:val="style0"/>
        <w:spacing w:after="0" w:lineRule="auto" w:line="360"/>
        <w:ind w:firstLine="709"/>
        <w:jc w:val="both"/>
        <w:rPr/>
      </w:pPr>
      <w:r>
        <w:t>— определение реального дохода уже не по количеству денег, которые человек получает в качестве дохода, а по количеств</w:t>
      </w:r>
      <w:r>
        <w:t xml:space="preserve">у товаров и услуг, которые он может купить; </w:t>
      </w:r>
    </w:p>
    <w:p>
      <w:pPr>
        <w:pStyle w:val="style0"/>
        <w:spacing w:after="0" w:lineRule="auto" w:line="360"/>
        <w:ind w:firstLine="709"/>
        <w:jc w:val="both"/>
        <w:rPr/>
      </w:pPr>
      <w:r>
        <w:t xml:space="preserve">— снижение покупательной способности денежной единицы. </w:t>
      </w:r>
    </w:p>
    <w:p>
      <w:pPr>
        <w:pStyle w:val="style0"/>
        <w:spacing w:after="0" w:lineRule="auto" w:line="360"/>
        <w:ind w:firstLine="709"/>
        <w:jc w:val="both"/>
        <w:rPr/>
      </w:pPr>
      <w:r>
        <w:t xml:space="preserve">Для экономических отношений: </w:t>
      </w:r>
    </w:p>
    <w:p>
      <w:pPr>
        <w:pStyle w:val="style0"/>
        <w:spacing w:after="0" w:lineRule="auto" w:line="360"/>
        <w:ind w:firstLine="709"/>
        <w:jc w:val="both"/>
        <w:rPr/>
      </w:pPr>
      <w:r>
        <w:t>— владельцы предприятий не знают, какую цену ставить на свою продукцию;</w:t>
      </w:r>
    </w:p>
    <w:p>
      <w:pPr>
        <w:pStyle w:val="style0"/>
        <w:spacing w:after="0" w:lineRule="auto" w:line="360"/>
        <w:ind w:firstLine="709"/>
        <w:jc w:val="both"/>
        <w:rPr/>
      </w:pPr>
      <w:r>
        <w:t>— потребители не знают, какая цена является оправданн</w:t>
      </w:r>
      <w:r>
        <w:t xml:space="preserve">ой и какую продукцию выгоднее покупать в первую очередь; </w:t>
      </w:r>
    </w:p>
    <w:p>
      <w:pPr>
        <w:pStyle w:val="style0"/>
        <w:spacing w:after="0" w:lineRule="auto" w:line="360"/>
        <w:ind w:firstLine="709"/>
        <w:jc w:val="both"/>
        <w:rPr/>
      </w:pPr>
      <w:r>
        <w:t xml:space="preserve">— поставщики сырья предпочитают получать реальные товары, а не быстро обесценивающиеся деньги, это повлекло развитию бартера (от англ. barter — менять, обменивать) — натурального обмена; </w:t>
      </w:r>
    </w:p>
    <w:p>
      <w:pPr>
        <w:pStyle w:val="style0"/>
        <w:spacing w:after="0" w:lineRule="auto" w:line="360"/>
        <w:ind w:firstLine="709"/>
        <w:jc w:val="both"/>
        <w:rPr/>
      </w:pPr>
      <w:r>
        <w:t>— кредитор</w:t>
      </w:r>
      <w:r>
        <w:t xml:space="preserve">ы избегают давать в долг. </w:t>
      </w:r>
    </w:p>
    <w:p>
      <w:pPr>
        <w:pStyle w:val="style0"/>
        <w:spacing w:after="0" w:lineRule="auto" w:line="360"/>
        <w:ind w:firstLine="709"/>
        <w:jc w:val="both"/>
        <w:rPr/>
      </w:pPr>
      <w:r>
        <w:t xml:space="preserve">Для денежной массы: </w:t>
      </w:r>
    </w:p>
    <w:p>
      <w:pPr>
        <w:pStyle w:val="style0"/>
        <w:spacing w:after="0" w:lineRule="auto" w:line="360"/>
        <w:ind w:firstLine="709"/>
        <w:jc w:val="both"/>
        <w:rPr/>
      </w:pPr>
      <w:r>
        <w:t xml:space="preserve">— потеря деньгами своей ценности и прекращение выполнения своей функции как меры стоимости и средства обращения, что ведёт к финансовому краху. </w:t>
      </w:r>
    </w:p>
    <w:p>
      <w:pPr>
        <w:pStyle w:val="style0"/>
        <w:spacing w:after="0" w:lineRule="auto" w:line="360"/>
        <w:ind w:firstLine="709"/>
        <w:jc w:val="both"/>
        <w:rPr/>
      </w:pPr>
      <w:r>
        <w:t xml:space="preserve">Для социальной стабильности в обществе: </w:t>
      </w:r>
    </w:p>
    <w:p>
      <w:pPr>
        <w:pStyle w:val="style0"/>
        <w:spacing w:after="0" w:lineRule="auto" w:line="360"/>
        <w:ind w:firstLine="709"/>
        <w:jc w:val="both"/>
        <w:rPr/>
      </w:pPr>
      <w:r>
        <w:t>— снижение расходов го</w:t>
      </w:r>
      <w:r>
        <w:t xml:space="preserve">сударственного бюджета. направляемых на реализацию социальных программ; </w:t>
      </w:r>
    </w:p>
    <w:p>
      <w:pPr>
        <w:pStyle w:val="style0"/>
        <w:spacing w:after="0" w:lineRule="auto" w:line="360"/>
        <w:ind w:firstLine="709"/>
        <w:jc w:val="both"/>
        <w:rPr/>
      </w:pPr>
      <w:r>
        <w:t xml:space="preserve">— возникновение социальной напряжённости в обществе. </w:t>
      </w:r>
    </w:p>
    <w:p>
      <w:pPr>
        <w:pStyle w:val="style0"/>
        <w:spacing w:after="0" w:lineRule="auto" w:line="360"/>
        <w:ind w:firstLine="709"/>
        <w:rPr/>
      </w:pPr>
      <w:r>
        <w:t>Рассматривая положительные последствия возникновения инфляции говорят о:</w:t>
      </w:r>
    </w:p>
    <w:p>
      <w:pPr>
        <w:pStyle w:val="style0"/>
        <w:spacing w:after="0" w:lineRule="auto" w:line="360"/>
        <w:ind w:firstLine="709"/>
        <w:jc w:val="both"/>
        <w:rPr/>
      </w:pPr>
      <w:r>
        <w:t>— повышени</w:t>
      </w:r>
      <w:r>
        <w:t>и</w:t>
      </w:r>
      <w:r>
        <w:t xml:space="preserve"> цен и прибыли, умерен' ная инфляция выступает как фактор стимулирования деловой активности, экономического роста, ускорения процесса инвестирования; </w:t>
      </w:r>
    </w:p>
    <w:p>
      <w:pPr>
        <w:pStyle w:val="style0"/>
        <w:spacing w:after="0" w:lineRule="auto" w:line="360"/>
        <w:ind w:firstLine="709"/>
        <w:jc w:val="both"/>
        <w:rPr/>
      </w:pPr>
      <w:r>
        <w:t>— уменьш</w:t>
      </w:r>
      <w:r>
        <w:t xml:space="preserve">ении </w:t>
      </w:r>
      <w:r>
        <w:t>внутренн</w:t>
      </w:r>
      <w:r>
        <w:t xml:space="preserve">его </w:t>
      </w:r>
      <w:r>
        <w:t>государствен</w:t>
      </w:r>
      <w:r>
        <w:t>ного</w:t>
      </w:r>
      <w:r>
        <w:t xml:space="preserve"> долг</w:t>
      </w:r>
      <w:r>
        <w:t>а</w:t>
      </w:r>
      <w:r>
        <w:t xml:space="preserve">; </w:t>
      </w:r>
    </w:p>
    <w:p>
      <w:pPr>
        <w:pStyle w:val="style0"/>
        <w:spacing w:after="0" w:lineRule="auto" w:line="360"/>
        <w:ind w:firstLine="709"/>
        <w:jc w:val="both"/>
        <w:rPr/>
      </w:pPr>
      <w:r>
        <w:t>— р</w:t>
      </w:r>
      <w:r>
        <w:t>осте</w:t>
      </w:r>
      <w:r>
        <w:t xml:space="preserve"> налоговы</w:t>
      </w:r>
      <w:r>
        <w:t>х</w:t>
      </w:r>
      <w:r>
        <w:t xml:space="preserve"> доход</w:t>
      </w:r>
      <w:r>
        <w:t>ов</w:t>
      </w:r>
      <w:r>
        <w:t xml:space="preserve"> государства; </w:t>
      </w:r>
    </w:p>
    <w:p>
      <w:pPr>
        <w:pStyle w:val="style0"/>
        <w:spacing w:after="0" w:lineRule="auto" w:line="360"/>
        <w:ind w:firstLine="709"/>
        <w:jc w:val="both"/>
        <w:rPr/>
      </w:pPr>
      <w:r>
        <w:t>— при падении к</w:t>
      </w:r>
      <w:r>
        <w:t xml:space="preserve">урса национальной валюты может удешевляться экспорт, что позволяет расширить зарубежные рынки сбыта продукции. Одновременно растёт стоимость импорта, уменьшая конкурентоспособность иностранных товаров. </w:t>
      </w:r>
    </w:p>
    <w:p>
      <w:pPr>
        <w:pStyle w:val="style0"/>
        <w:spacing w:after="0" w:lineRule="auto" w:line="360"/>
        <w:ind w:firstLine="709"/>
        <w:jc w:val="both"/>
        <w:rPr/>
      </w:pPr>
      <w:r>
        <w:t>Негативные экономические и социальные последствия инф</w:t>
      </w:r>
      <w:r>
        <w:t xml:space="preserve">ляции вынуждают правительство проводить антиинфляционную экономическую политику. </w:t>
      </w:r>
      <w:r>
        <w:t>[</w:t>
      </w:r>
      <w:r>
        <w:t>4. с.50</w:t>
      </w:r>
      <w:r>
        <w:t>]</w:t>
      </w:r>
    </w:p>
    <w:p>
      <w:pPr>
        <w:pStyle w:val="style0"/>
        <w:spacing w:after="0" w:lineRule="auto" w:line="360"/>
        <w:ind w:firstLine="709"/>
        <w:jc w:val="both"/>
        <w:rPr/>
      </w:pPr>
    </w:p>
    <w:p>
      <w:pPr>
        <w:pStyle w:val="style0"/>
        <w:spacing w:lineRule="auto" w:line="259"/>
        <w:rPr>
          <w:b/>
          <w:bCs/>
        </w:rPr>
      </w:pPr>
      <w:r>
        <w:rPr>
          <w:b/>
          <w:bCs/>
        </w:rPr>
        <w:br w:type="page"/>
      </w:r>
    </w:p>
    <w:p>
      <w:pPr>
        <w:pStyle w:val="style0"/>
        <w:spacing w:after="0" w:lineRule="auto" w:line="360"/>
        <w:ind w:left="1134" w:hanging="425"/>
        <w:rPr>
          <w:b/>
          <w:bCs/>
        </w:rPr>
      </w:pPr>
      <w:r>
        <w:rPr>
          <w:b/>
          <w:bCs/>
        </w:rPr>
        <w:t>2 Анализ направлений возможной антиинфляционной политики в современной экономике Российской Федерации</w:t>
      </w:r>
    </w:p>
    <w:p>
      <w:pPr>
        <w:pStyle w:val="style0"/>
        <w:spacing w:after="0" w:lineRule="auto" w:line="360"/>
        <w:ind w:left="993" w:hanging="284"/>
        <w:rPr>
          <w:b/>
          <w:bCs/>
        </w:rPr>
      </w:pPr>
    </w:p>
    <w:p>
      <w:pPr>
        <w:pStyle w:val="style0"/>
        <w:spacing w:after="0" w:lineRule="auto" w:line="360"/>
        <w:ind w:left="993" w:hanging="284"/>
        <w:rPr>
          <w:b/>
          <w:bCs/>
        </w:rPr>
      </w:pPr>
      <w:r>
        <w:rPr>
          <w:b/>
          <w:bCs/>
        </w:rPr>
        <w:t xml:space="preserve">2.1 Анализ </w:t>
      </w:r>
      <w:bookmarkStart w:id="7" w:name="_Hlk121403126"/>
      <w:r>
        <w:rPr>
          <w:b/>
          <w:bCs/>
        </w:rPr>
        <w:t>динамики инфляционных процессов</w:t>
      </w:r>
      <w:r>
        <w:rPr>
          <w:b/>
          <w:bCs/>
        </w:rPr>
        <w:t xml:space="preserve"> в период с 2013 по </w:t>
      </w:r>
    </w:p>
    <w:p>
      <w:pPr>
        <w:pStyle w:val="style0"/>
        <w:spacing w:after="0" w:lineRule="auto" w:line="360"/>
        <w:ind w:left="1560" w:hanging="426"/>
        <w:rPr>
          <w:b/>
          <w:bCs/>
        </w:rPr>
      </w:pPr>
      <w:r>
        <w:rPr>
          <w:b/>
          <w:bCs/>
        </w:rPr>
        <w:t>2022 гг.</w:t>
      </w:r>
    </w:p>
    <w:bookmarkEnd w:id="7"/>
    <w:p>
      <w:pPr>
        <w:pStyle w:val="style0"/>
        <w:spacing w:before="240" w:after="0" w:lineRule="auto" w:line="360"/>
        <w:ind w:firstLine="715"/>
        <w:jc w:val="both"/>
        <w:rPr/>
      </w:pPr>
      <w:r>
        <w:t>Сегодня Россия находится на пути полноценного становления рыночной экономики. Это позволит нашей стране занимать более высокое положение на мировой арене и на мировом рынке. Но, из-за преобразований в области экономики, в стра</w:t>
      </w:r>
      <w:r>
        <w:t xml:space="preserve">не имеют место негативные последствия этих преобразований. Одно из центральных мест занимает проблема инфляции. </w:t>
      </w:r>
    </w:p>
    <w:p>
      <w:pPr>
        <w:pStyle w:val="style0"/>
        <w:spacing w:lineRule="auto" w:line="360"/>
        <w:ind w:firstLine="709"/>
        <w:jc w:val="both"/>
        <w:rPr/>
      </w:pPr>
      <w:r>
        <w:t xml:space="preserve">В практической части курсовой работы мне хотелось бы рассказать об инфляционных процессах в нашей стране за последние 9 лет. </w:t>
      </w:r>
      <w:r>
        <w:t>(таб.3)</w:t>
      </w:r>
    </w:p>
    <w:p>
      <w:pPr>
        <w:pStyle w:val="style0"/>
        <w:spacing w:lineRule="auto" w:line="360"/>
        <w:jc w:val="both"/>
        <w:rPr/>
      </w:pPr>
      <w:r>
        <w:t>Таблица 3 – Сравнение показателей инфляции в период с 2013 по 2022 г.</w:t>
      </w:r>
    </w:p>
    <w:tbl>
      <w:tblPr>
        <w:tblStyle w:val="style154"/>
        <w:tblW w:w="0" w:type="auto"/>
        <w:tblLook w:val="04A0" w:firstRow="1" w:lastRow="0" w:firstColumn="1" w:lastColumn="0" w:noHBand="0" w:noVBand="1"/>
      </w:tblPr>
      <w:tblGrid>
        <w:gridCol w:w="1778"/>
        <w:gridCol w:w="1552"/>
        <w:gridCol w:w="1833"/>
        <w:gridCol w:w="1844"/>
        <w:gridCol w:w="2349"/>
      </w:tblGrid>
      <w:tr>
        <w:trPr/>
        <w:tc>
          <w:tcPr>
            <w:tcW w:w="1590" w:type="dxa"/>
            <w:tcBorders/>
          </w:tcPr>
          <w:p>
            <w:pPr>
              <w:pStyle w:val="style0"/>
              <w:spacing w:lineRule="auto" w:line="360"/>
              <w:jc w:val="center"/>
              <w:rPr/>
            </w:pPr>
            <w:r>
              <w:t>Показатели</w:t>
            </w:r>
          </w:p>
        </w:tc>
        <w:tc>
          <w:tcPr>
            <w:tcW w:w="1416" w:type="dxa"/>
            <w:tcBorders/>
          </w:tcPr>
          <w:p>
            <w:pPr>
              <w:pStyle w:val="style0"/>
              <w:spacing w:lineRule="auto" w:line="360"/>
              <w:jc w:val="center"/>
              <w:rPr/>
            </w:pPr>
            <w:r>
              <w:t>Цель по инфляции</w:t>
            </w:r>
          </w:p>
        </w:tc>
        <w:tc>
          <w:tcPr>
            <w:tcW w:w="1893" w:type="dxa"/>
            <w:tcBorders/>
          </w:tcPr>
          <w:p>
            <w:pPr>
              <w:pStyle w:val="style0"/>
              <w:spacing w:lineRule="auto" w:line="360"/>
              <w:ind w:right="-29"/>
              <w:jc w:val="center"/>
              <w:rPr/>
            </w:pPr>
            <w:r>
              <w:t>Уровень инфляции за год</w:t>
            </w:r>
          </w:p>
        </w:tc>
        <w:tc>
          <w:tcPr>
            <w:tcW w:w="1900" w:type="dxa"/>
            <w:tcBorders/>
          </w:tcPr>
          <w:p>
            <w:pPr>
              <w:pStyle w:val="style0"/>
              <w:spacing w:lineRule="auto" w:line="360"/>
              <w:jc w:val="center"/>
              <w:rPr/>
            </w:pPr>
            <w:r>
              <w:t xml:space="preserve">Ключевая ставка, </w:t>
            </w:r>
            <w:r>
              <w:br/>
            </w:r>
            <w:r>
              <w:t>% годовых</w:t>
            </w:r>
          </w:p>
        </w:tc>
        <w:tc>
          <w:tcPr>
            <w:tcW w:w="2546" w:type="dxa"/>
            <w:tcBorders/>
          </w:tcPr>
          <w:p>
            <w:pPr>
              <w:pStyle w:val="style0"/>
              <w:spacing w:lineRule="auto" w:line="360"/>
              <w:ind w:left="-112" w:right="-109" w:hanging="112"/>
              <w:jc w:val="center"/>
              <w:rPr/>
            </w:pPr>
            <w:r>
              <w:t>Место России в мировом рейтинге по уровню инфляции</w:t>
            </w:r>
          </w:p>
        </w:tc>
      </w:tr>
      <w:tr>
        <w:tblPrEx/>
        <w:trPr/>
        <w:tc>
          <w:tcPr>
            <w:tcW w:w="1590" w:type="dxa"/>
            <w:tcBorders/>
          </w:tcPr>
          <w:p>
            <w:pPr>
              <w:pStyle w:val="style0"/>
              <w:spacing w:lineRule="auto" w:line="360"/>
              <w:jc w:val="center"/>
              <w:rPr/>
            </w:pPr>
            <w:r>
              <w:t>2013 год</w:t>
            </w:r>
          </w:p>
        </w:tc>
        <w:tc>
          <w:tcPr>
            <w:tcW w:w="1416" w:type="dxa"/>
            <w:tcBorders/>
          </w:tcPr>
          <w:p>
            <w:pPr>
              <w:pStyle w:val="style0"/>
              <w:spacing w:lineRule="auto" w:line="360"/>
              <w:jc w:val="center"/>
              <w:rPr/>
            </w:pPr>
            <w:r>
              <w:t>4,5%</w:t>
            </w:r>
          </w:p>
        </w:tc>
        <w:tc>
          <w:tcPr>
            <w:tcW w:w="1893" w:type="dxa"/>
            <w:tcBorders/>
          </w:tcPr>
          <w:p>
            <w:pPr>
              <w:pStyle w:val="style0"/>
              <w:spacing w:lineRule="auto" w:line="360"/>
              <w:jc w:val="center"/>
              <w:rPr/>
            </w:pPr>
            <w:r>
              <w:t>6,45%</w:t>
            </w:r>
          </w:p>
        </w:tc>
        <w:tc>
          <w:tcPr>
            <w:tcW w:w="1900" w:type="dxa"/>
            <w:tcBorders/>
          </w:tcPr>
          <w:p>
            <w:pPr>
              <w:pStyle w:val="style0"/>
              <w:spacing w:lineRule="auto" w:line="360"/>
              <w:jc w:val="center"/>
              <w:rPr/>
            </w:pPr>
            <w:r>
              <w:t>5,50</w:t>
            </w:r>
          </w:p>
        </w:tc>
        <w:tc>
          <w:tcPr>
            <w:tcW w:w="2546" w:type="dxa"/>
            <w:tcBorders/>
          </w:tcPr>
          <w:p>
            <w:pPr>
              <w:pStyle w:val="style0"/>
              <w:spacing w:lineRule="auto" w:line="360"/>
              <w:jc w:val="center"/>
              <w:rPr/>
            </w:pPr>
            <w:r>
              <w:t>15</w:t>
            </w:r>
          </w:p>
        </w:tc>
      </w:tr>
      <w:tr>
        <w:tblPrEx/>
        <w:trPr/>
        <w:tc>
          <w:tcPr>
            <w:tcW w:w="1590" w:type="dxa"/>
            <w:tcBorders/>
          </w:tcPr>
          <w:p>
            <w:pPr>
              <w:pStyle w:val="style0"/>
              <w:spacing w:lineRule="auto" w:line="360"/>
              <w:jc w:val="center"/>
              <w:rPr/>
            </w:pPr>
            <w:r>
              <w:t>2014 год</w:t>
            </w:r>
          </w:p>
        </w:tc>
        <w:tc>
          <w:tcPr>
            <w:tcW w:w="1416" w:type="dxa"/>
            <w:tcBorders/>
          </w:tcPr>
          <w:p>
            <w:pPr>
              <w:pStyle w:val="style0"/>
              <w:spacing w:lineRule="auto" w:line="360"/>
              <w:jc w:val="center"/>
              <w:rPr/>
            </w:pPr>
            <w:r>
              <w:t>4%</w:t>
            </w:r>
          </w:p>
        </w:tc>
        <w:tc>
          <w:tcPr>
            <w:tcW w:w="1893" w:type="dxa"/>
            <w:tcBorders/>
          </w:tcPr>
          <w:p>
            <w:pPr>
              <w:pStyle w:val="style0"/>
              <w:spacing w:lineRule="auto" w:line="360"/>
              <w:jc w:val="center"/>
              <w:rPr/>
            </w:pPr>
            <w:r>
              <w:t>11,36%</w:t>
            </w:r>
          </w:p>
        </w:tc>
        <w:tc>
          <w:tcPr>
            <w:tcW w:w="1900" w:type="dxa"/>
            <w:tcBorders/>
          </w:tcPr>
          <w:p>
            <w:pPr>
              <w:pStyle w:val="style0"/>
              <w:spacing w:lineRule="auto" w:line="360"/>
              <w:jc w:val="center"/>
              <w:rPr/>
            </w:pPr>
            <w:r>
              <w:t>10,5</w:t>
            </w:r>
          </w:p>
        </w:tc>
        <w:tc>
          <w:tcPr>
            <w:tcW w:w="2546" w:type="dxa"/>
            <w:tcBorders/>
          </w:tcPr>
          <w:p>
            <w:pPr>
              <w:pStyle w:val="style0"/>
              <w:spacing w:lineRule="auto" w:line="360"/>
              <w:jc w:val="center"/>
              <w:rPr/>
            </w:pPr>
            <w:r>
              <w:t>16</w:t>
            </w:r>
          </w:p>
        </w:tc>
      </w:tr>
      <w:tr>
        <w:tblPrEx/>
        <w:trPr/>
        <w:tc>
          <w:tcPr>
            <w:tcW w:w="1590" w:type="dxa"/>
            <w:tcBorders/>
          </w:tcPr>
          <w:p>
            <w:pPr>
              <w:pStyle w:val="style0"/>
              <w:spacing w:lineRule="auto" w:line="360"/>
              <w:jc w:val="center"/>
              <w:rPr/>
            </w:pPr>
            <w:r>
              <w:t>2015 год</w:t>
            </w:r>
          </w:p>
        </w:tc>
        <w:tc>
          <w:tcPr>
            <w:tcW w:w="1416" w:type="dxa"/>
            <w:tcBorders/>
          </w:tcPr>
          <w:p>
            <w:pPr>
              <w:pStyle w:val="style0"/>
              <w:spacing w:lineRule="auto" w:line="360"/>
              <w:jc w:val="center"/>
              <w:rPr/>
            </w:pPr>
            <w:r>
              <w:t>4%</w:t>
            </w:r>
          </w:p>
        </w:tc>
        <w:tc>
          <w:tcPr>
            <w:tcW w:w="1893" w:type="dxa"/>
            <w:tcBorders/>
          </w:tcPr>
          <w:p>
            <w:pPr>
              <w:pStyle w:val="style0"/>
              <w:spacing w:lineRule="auto" w:line="360"/>
              <w:jc w:val="center"/>
              <w:rPr>
                <w:lang w:val="en-US"/>
              </w:rPr>
            </w:pPr>
            <w:r>
              <w:t>12,9%</w:t>
            </w:r>
            <w:r>
              <w:rPr>
                <w:lang w:val="en-US"/>
              </w:rPr>
              <w:t xml:space="preserve"> (max)</w:t>
            </w:r>
          </w:p>
        </w:tc>
        <w:tc>
          <w:tcPr>
            <w:tcW w:w="1900" w:type="dxa"/>
            <w:tcBorders/>
          </w:tcPr>
          <w:p>
            <w:pPr>
              <w:pStyle w:val="style0"/>
              <w:spacing w:lineRule="auto" w:line="360"/>
              <w:jc w:val="center"/>
              <w:rPr/>
            </w:pPr>
            <w:r>
              <w:t>11</w:t>
            </w:r>
          </w:p>
        </w:tc>
        <w:tc>
          <w:tcPr>
            <w:tcW w:w="2546" w:type="dxa"/>
            <w:tcBorders/>
          </w:tcPr>
          <w:p>
            <w:pPr>
              <w:pStyle w:val="style0"/>
              <w:spacing w:lineRule="auto" w:line="360"/>
              <w:jc w:val="center"/>
              <w:rPr/>
            </w:pPr>
            <w:r>
              <w:t>17</w:t>
            </w:r>
          </w:p>
        </w:tc>
      </w:tr>
      <w:tr>
        <w:tblPrEx/>
        <w:trPr/>
        <w:tc>
          <w:tcPr>
            <w:tcW w:w="1590" w:type="dxa"/>
            <w:tcBorders/>
          </w:tcPr>
          <w:p>
            <w:pPr>
              <w:pStyle w:val="style0"/>
              <w:spacing w:lineRule="auto" w:line="360"/>
              <w:jc w:val="center"/>
              <w:rPr/>
            </w:pPr>
            <w:r>
              <w:t>2016 год</w:t>
            </w:r>
          </w:p>
        </w:tc>
        <w:tc>
          <w:tcPr>
            <w:tcW w:w="1416" w:type="dxa"/>
            <w:tcBorders/>
          </w:tcPr>
          <w:p>
            <w:pPr>
              <w:pStyle w:val="style0"/>
              <w:spacing w:lineRule="auto" w:line="360"/>
              <w:jc w:val="center"/>
              <w:rPr/>
            </w:pPr>
            <w:r>
              <w:t>4%</w:t>
            </w:r>
          </w:p>
        </w:tc>
        <w:tc>
          <w:tcPr>
            <w:tcW w:w="1893" w:type="dxa"/>
            <w:tcBorders/>
          </w:tcPr>
          <w:p>
            <w:pPr>
              <w:pStyle w:val="style0"/>
              <w:spacing w:lineRule="auto" w:line="360"/>
              <w:jc w:val="center"/>
              <w:rPr/>
            </w:pPr>
            <w:r>
              <w:t>5,38%</w:t>
            </w:r>
          </w:p>
        </w:tc>
        <w:tc>
          <w:tcPr>
            <w:tcW w:w="1900" w:type="dxa"/>
            <w:tcBorders/>
          </w:tcPr>
          <w:p>
            <w:pPr>
              <w:pStyle w:val="style0"/>
              <w:spacing w:lineRule="auto" w:line="360"/>
              <w:jc w:val="center"/>
              <w:rPr/>
            </w:pPr>
            <w:r>
              <w:t>10</w:t>
            </w:r>
          </w:p>
        </w:tc>
        <w:tc>
          <w:tcPr>
            <w:tcW w:w="2546" w:type="dxa"/>
            <w:tcBorders/>
          </w:tcPr>
          <w:p>
            <w:pPr>
              <w:pStyle w:val="style0"/>
              <w:spacing w:lineRule="auto" w:line="360"/>
              <w:jc w:val="center"/>
              <w:rPr/>
            </w:pPr>
            <w:r>
              <w:t>13</w:t>
            </w:r>
          </w:p>
        </w:tc>
      </w:tr>
      <w:tr>
        <w:tblPrEx/>
        <w:trPr/>
        <w:tc>
          <w:tcPr>
            <w:tcW w:w="1590" w:type="dxa"/>
            <w:tcBorders/>
          </w:tcPr>
          <w:p>
            <w:pPr>
              <w:pStyle w:val="style0"/>
              <w:spacing w:lineRule="auto" w:line="360"/>
              <w:jc w:val="center"/>
              <w:rPr/>
            </w:pPr>
            <w:r>
              <w:t>2017 год</w:t>
            </w:r>
          </w:p>
        </w:tc>
        <w:tc>
          <w:tcPr>
            <w:tcW w:w="1416" w:type="dxa"/>
            <w:tcBorders/>
          </w:tcPr>
          <w:p>
            <w:pPr>
              <w:pStyle w:val="style0"/>
              <w:spacing w:lineRule="auto" w:line="360"/>
              <w:jc w:val="center"/>
              <w:rPr/>
            </w:pPr>
            <w:r>
              <w:t>4%</w:t>
            </w:r>
          </w:p>
        </w:tc>
        <w:tc>
          <w:tcPr>
            <w:tcW w:w="1893" w:type="dxa"/>
            <w:tcBorders/>
          </w:tcPr>
          <w:p>
            <w:pPr>
              <w:pStyle w:val="style0"/>
              <w:spacing w:lineRule="auto" w:line="360"/>
              <w:jc w:val="center"/>
              <w:rPr>
                <w:lang w:val="en-US"/>
              </w:rPr>
            </w:pPr>
            <w:r>
              <w:t>2,52%</w:t>
            </w:r>
            <w:r>
              <w:rPr>
                <w:lang w:val="en-US"/>
              </w:rPr>
              <w:t xml:space="preserve"> </w:t>
            </w:r>
            <w:r>
              <w:t>(</w:t>
            </w:r>
            <w:r>
              <w:rPr>
                <w:lang w:val="en-US"/>
              </w:rPr>
              <w:t>min)</w:t>
            </w:r>
          </w:p>
        </w:tc>
        <w:tc>
          <w:tcPr>
            <w:tcW w:w="1900" w:type="dxa"/>
            <w:tcBorders/>
          </w:tcPr>
          <w:p>
            <w:pPr>
              <w:pStyle w:val="style0"/>
              <w:spacing w:lineRule="auto" w:line="360"/>
              <w:jc w:val="center"/>
              <w:rPr/>
            </w:pPr>
            <w:r>
              <w:t>7,75</w:t>
            </w:r>
          </w:p>
        </w:tc>
        <w:tc>
          <w:tcPr>
            <w:tcW w:w="2546" w:type="dxa"/>
            <w:tcBorders/>
          </w:tcPr>
          <w:p>
            <w:pPr>
              <w:pStyle w:val="style0"/>
              <w:spacing w:lineRule="auto" w:line="360"/>
              <w:jc w:val="center"/>
              <w:rPr>
                <w:lang w:val="en-US"/>
              </w:rPr>
            </w:pPr>
            <w:r>
              <w:rPr>
                <w:lang w:val="en-US"/>
              </w:rPr>
              <w:t>8</w:t>
            </w:r>
          </w:p>
        </w:tc>
      </w:tr>
      <w:tr>
        <w:tblPrEx/>
        <w:trPr/>
        <w:tc>
          <w:tcPr>
            <w:tcW w:w="1590" w:type="dxa"/>
            <w:tcBorders/>
          </w:tcPr>
          <w:p>
            <w:pPr>
              <w:pStyle w:val="style0"/>
              <w:spacing w:lineRule="auto" w:line="360"/>
              <w:jc w:val="center"/>
              <w:rPr/>
            </w:pPr>
            <w:r>
              <w:t>2018 год</w:t>
            </w:r>
          </w:p>
        </w:tc>
        <w:tc>
          <w:tcPr>
            <w:tcW w:w="1416" w:type="dxa"/>
            <w:tcBorders/>
          </w:tcPr>
          <w:p>
            <w:pPr>
              <w:pStyle w:val="style0"/>
              <w:spacing w:lineRule="auto" w:line="360"/>
              <w:jc w:val="center"/>
              <w:rPr/>
            </w:pPr>
            <w:r>
              <w:t>4%</w:t>
            </w:r>
          </w:p>
        </w:tc>
        <w:tc>
          <w:tcPr>
            <w:tcW w:w="1893" w:type="dxa"/>
            <w:tcBorders/>
          </w:tcPr>
          <w:p>
            <w:pPr>
              <w:pStyle w:val="style0"/>
              <w:spacing w:lineRule="auto" w:line="360"/>
              <w:jc w:val="center"/>
              <w:rPr/>
            </w:pPr>
            <w:r>
              <w:rPr>
                <w:lang w:val="en-US"/>
              </w:rPr>
              <w:t>4</w:t>
            </w:r>
            <w:r>
              <w:t>,27%</w:t>
            </w:r>
          </w:p>
        </w:tc>
        <w:tc>
          <w:tcPr>
            <w:tcW w:w="1900" w:type="dxa"/>
            <w:tcBorders/>
          </w:tcPr>
          <w:p>
            <w:pPr>
              <w:pStyle w:val="style0"/>
              <w:spacing w:lineRule="auto" w:line="360"/>
              <w:jc w:val="center"/>
              <w:rPr/>
            </w:pPr>
            <w:r>
              <w:t>7,75</w:t>
            </w:r>
          </w:p>
        </w:tc>
        <w:tc>
          <w:tcPr>
            <w:tcW w:w="2546" w:type="dxa"/>
            <w:tcBorders/>
          </w:tcPr>
          <w:p>
            <w:pPr>
              <w:pStyle w:val="style0"/>
              <w:spacing w:lineRule="auto" w:line="360"/>
              <w:jc w:val="center"/>
              <w:rPr/>
            </w:pPr>
            <w:r>
              <w:t>13</w:t>
            </w:r>
          </w:p>
        </w:tc>
      </w:tr>
      <w:tr>
        <w:tblPrEx/>
        <w:trPr/>
        <w:tc>
          <w:tcPr>
            <w:tcW w:w="1590" w:type="dxa"/>
            <w:tcBorders/>
          </w:tcPr>
          <w:p>
            <w:pPr>
              <w:pStyle w:val="style0"/>
              <w:spacing w:lineRule="auto" w:line="360"/>
              <w:jc w:val="center"/>
              <w:rPr/>
            </w:pPr>
            <w:r>
              <w:t>2019 год</w:t>
            </w:r>
          </w:p>
        </w:tc>
        <w:tc>
          <w:tcPr>
            <w:tcW w:w="1416" w:type="dxa"/>
            <w:tcBorders/>
          </w:tcPr>
          <w:p>
            <w:pPr>
              <w:pStyle w:val="style0"/>
              <w:spacing w:lineRule="auto" w:line="360"/>
              <w:jc w:val="center"/>
              <w:rPr/>
            </w:pPr>
            <w:r>
              <w:t>4%</w:t>
            </w:r>
          </w:p>
        </w:tc>
        <w:tc>
          <w:tcPr>
            <w:tcW w:w="1893" w:type="dxa"/>
            <w:tcBorders/>
          </w:tcPr>
          <w:p>
            <w:pPr>
              <w:pStyle w:val="style0"/>
              <w:spacing w:lineRule="auto" w:line="360"/>
              <w:jc w:val="center"/>
              <w:rPr/>
            </w:pPr>
            <w:r>
              <w:t>3,05%</w:t>
            </w:r>
          </w:p>
        </w:tc>
        <w:tc>
          <w:tcPr>
            <w:tcW w:w="1900" w:type="dxa"/>
            <w:tcBorders/>
          </w:tcPr>
          <w:p>
            <w:pPr>
              <w:pStyle w:val="style0"/>
              <w:spacing w:lineRule="auto" w:line="360"/>
              <w:jc w:val="center"/>
              <w:rPr/>
            </w:pPr>
            <w:r>
              <w:t>6,25</w:t>
            </w:r>
          </w:p>
        </w:tc>
        <w:tc>
          <w:tcPr>
            <w:tcW w:w="2546" w:type="dxa"/>
            <w:tcBorders/>
          </w:tcPr>
          <w:p>
            <w:pPr>
              <w:pStyle w:val="style0"/>
              <w:spacing w:lineRule="auto" w:line="360"/>
              <w:jc w:val="center"/>
              <w:rPr/>
            </w:pPr>
            <w:r>
              <w:t>13</w:t>
            </w:r>
          </w:p>
        </w:tc>
      </w:tr>
      <w:tr>
        <w:tblPrEx/>
        <w:trPr/>
        <w:tc>
          <w:tcPr>
            <w:tcW w:w="1590" w:type="dxa"/>
            <w:tcBorders/>
          </w:tcPr>
          <w:p>
            <w:pPr>
              <w:pStyle w:val="style0"/>
              <w:spacing w:lineRule="auto" w:line="360"/>
              <w:jc w:val="center"/>
              <w:rPr/>
            </w:pPr>
            <w:r>
              <w:t>2020 год</w:t>
            </w:r>
          </w:p>
        </w:tc>
        <w:tc>
          <w:tcPr>
            <w:tcW w:w="1416" w:type="dxa"/>
            <w:tcBorders/>
          </w:tcPr>
          <w:p>
            <w:pPr>
              <w:pStyle w:val="style0"/>
              <w:spacing w:lineRule="auto" w:line="360"/>
              <w:jc w:val="center"/>
              <w:rPr/>
            </w:pPr>
            <w:r>
              <w:t>4%</w:t>
            </w:r>
          </w:p>
        </w:tc>
        <w:tc>
          <w:tcPr>
            <w:tcW w:w="1893" w:type="dxa"/>
            <w:tcBorders/>
          </w:tcPr>
          <w:p>
            <w:pPr>
              <w:pStyle w:val="style0"/>
              <w:spacing w:lineRule="auto" w:line="360"/>
              <w:jc w:val="center"/>
              <w:rPr/>
            </w:pPr>
            <w:r>
              <w:t>4,91%</w:t>
            </w:r>
          </w:p>
        </w:tc>
        <w:tc>
          <w:tcPr>
            <w:tcW w:w="1900" w:type="dxa"/>
            <w:tcBorders/>
          </w:tcPr>
          <w:p>
            <w:pPr>
              <w:pStyle w:val="style0"/>
              <w:spacing w:lineRule="auto" w:line="360"/>
              <w:jc w:val="center"/>
              <w:rPr/>
            </w:pPr>
            <w:r>
              <w:t>4,5</w:t>
            </w:r>
          </w:p>
        </w:tc>
        <w:tc>
          <w:tcPr>
            <w:tcW w:w="2546" w:type="dxa"/>
            <w:tcBorders/>
          </w:tcPr>
          <w:p>
            <w:pPr>
              <w:pStyle w:val="style0"/>
              <w:spacing w:lineRule="auto" w:line="360"/>
              <w:jc w:val="center"/>
              <w:rPr/>
            </w:pPr>
            <w:r>
              <w:t>6</w:t>
            </w:r>
          </w:p>
        </w:tc>
      </w:tr>
      <w:tr>
        <w:tblPrEx/>
        <w:trPr/>
        <w:tc>
          <w:tcPr>
            <w:tcW w:w="1590" w:type="dxa"/>
            <w:tcBorders/>
          </w:tcPr>
          <w:p>
            <w:pPr>
              <w:pStyle w:val="style0"/>
              <w:spacing w:lineRule="auto" w:line="360"/>
              <w:jc w:val="center"/>
              <w:rPr/>
            </w:pPr>
            <w:r>
              <w:t>2021 год</w:t>
            </w:r>
          </w:p>
        </w:tc>
        <w:tc>
          <w:tcPr>
            <w:tcW w:w="1416" w:type="dxa"/>
            <w:tcBorders/>
          </w:tcPr>
          <w:p>
            <w:pPr>
              <w:pStyle w:val="style0"/>
              <w:spacing w:lineRule="auto" w:line="360"/>
              <w:jc w:val="center"/>
              <w:rPr/>
            </w:pPr>
            <w:r>
              <w:t>4%</w:t>
            </w:r>
          </w:p>
        </w:tc>
        <w:tc>
          <w:tcPr>
            <w:tcW w:w="1893" w:type="dxa"/>
            <w:tcBorders/>
          </w:tcPr>
          <w:p>
            <w:pPr>
              <w:pStyle w:val="style0"/>
              <w:spacing w:lineRule="auto" w:line="360"/>
              <w:jc w:val="center"/>
              <w:rPr/>
            </w:pPr>
            <w:r>
              <w:t>8,39%</w:t>
            </w:r>
          </w:p>
        </w:tc>
        <w:tc>
          <w:tcPr>
            <w:tcW w:w="1900" w:type="dxa"/>
            <w:tcBorders/>
          </w:tcPr>
          <w:p>
            <w:pPr>
              <w:pStyle w:val="style0"/>
              <w:spacing w:lineRule="auto" w:line="360"/>
              <w:jc w:val="center"/>
              <w:rPr/>
            </w:pPr>
            <w:r>
              <w:t>8,5</w:t>
            </w:r>
          </w:p>
        </w:tc>
        <w:tc>
          <w:tcPr>
            <w:tcW w:w="2546" w:type="dxa"/>
            <w:tcBorders/>
          </w:tcPr>
          <w:p>
            <w:pPr>
              <w:pStyle w:val="style0"/>
              <w:spacing w:lineRule="auto" w:line="360"/>
              <w:jc w:val="center"/>
              <w:rPr/>
            </w:pPr>
            <w:r>
              <w:t>8</w:t>
            </w:r>
          </w:p>
        </w:tc>
      </w:tr>
      <w:tr>
        <w:tblPrEx/>
        <w:trPr/>
        <w:tc>
          <w:tcPr>
            <w:tcW w:w="1590" w:type="dxa"/>
            <w:tcBorders/>
          </w:tcPr>
          <w:p>
            <w:pPr>
              <w:pStyle w:val="style0"/>
              <w:spacing w:lineRule="auto" w:line="360"/>
              <w:jc w:val="center"/>
              <w:rPr/>
            </w:pPr>
            <w:r>
              <w:t>2022 год</w:t>
            </w:r>
          </w:p>
        </w:tc>
        <w:tc>
          <w:tcPr>
            <w:tcW w:w="1416" w:type="dxa"/>
            <w:tcBorders/>
          </w:tcPr>
          <w:p>
            <w:pPr>
              <w:pStyle w:val="style0"/>
              <w:spacing w:lineRule="auto" w:line="360"/>
              <w:jc w:val="center"/>
              <w:rPr/>
            </w:pPr>
            <w:r>
              <w:t>4%</w:t>
            </w:r>
          </w:p>
        </w:tc>
        <w:tc>
          <w:tcPr>
            <w:tcW w:w="1893" w:type="dxa"/>
            <w:tcBorders/>
          </w:tcPr>
          <w:p>
            <w:pPr>
              <w:pStyle w:val="style0"/>
              <w:spacing w:lineRule="auto" w:line="360"/>
              <w:jc w:val="center"/>
              <w:rPr/>
            </w:pPr>
            <w:r>
              <w:t>12,63%</w:t>
            </w:r>
          </w:p>
        </w:tc>
        <w:tc>
          <w:tcPr>
            <w:tcW w:w="1900" w:type="dxa"/>
            <w:tcBorders/>
          </w:tcPr>
          <w:p>
            <w:pPr>
              <w:pStyle w:val="style0"/>
              <w:spacing w:lineRule="auto" w:line="360"/>
              <w:jc w:val="center"/>
              <w:rPr/>
            </w:pPr>
            <w:r>
              <w:t>7,5</w:t>
            </w:r>
          </w:p>
        </w:tc>
        <w:tc>
          <w:tcPr>
            <w:tcW w:w="2546" w:type="dxa"/>
            <w:tcBorders/>
          </w:tcPr>
          <w:p>
            <w:pPr>
              <w:pStyle w:val="style0"/>
              <w:spacing w:lineRule="auto" w:line="360"/>
              <w:jc w:val="center"/>
              <w:rPr/>
            </w:pPr>
            <w:r>
              <w:t>10</w:t>
            </w:r>
          </w:p>
        </w:tc>
      </w:tr>
    </w:tbl>
    <w:p>
      <w:pPr>
        <w:pStyle w:val="style0"/>
        <w:spacing w:after="0" w:lineRule="auto" w:line="360"/>
        <w:jc w:val="both"/>
        <w:rPr/>
      </w:pPr>
    </w:p>
    <w:p>
      <w:pPr>
        <w:pStyle w:val="style0"/>
        <w:spacing w:after="0" w:lineRule="auto" w:line="360"/>
        <w:ind w:firstLine="709"/>
        <w:jc w:val="both"/>
        <w:rPr/>
      </w:pPr>
      <w:r>
        <w:t>В 2015 году рост инфляции</w:t>
      </w:r>
      <w:r>
        <w:t xml:space="preserve"> </w:t>
      </w:r>
      <w:r>
        <w:t xml:space="preserve">был обусловлен финансовым кризисом 2014- 2015 годов, который был вызван резким ослаблением российского рубля по отношению к иностранным валютам, а также введением экономических санкций в отношении России. </w:t>
      </w:r>
    </w:p>
    <w:p>
      <w:pPr>
        <w:pStyle w:val="style0"/>
        <w:spacing w:after="0" w:lineRule="auto" w:line="360"/>
        <w:ind w:firstLine="709"/>
        <w:jc w:val="both"/>
        <w:rPr/>
      </w:pPr>
      <w:r>
        <w:t>Подводя итоги 2017 года, президент Российской Феде</w:t>
      </w:r>
      <w:r>
        <w:t>рации, Владимир Владимирович Путин, отмечал, что минимальный уровень инфляции в стране является заслугами как Центробанка, так и правительства.</w:t>
      </w:r>
    </w:p>
    <w:p>
      <w:pPr>
        <w:pStyle w:val="style0"/>
        <w:spacing w:after="0" w:lineRule="auto" w:line="360"/>
        <w:ind w:firstLine="709"/>
        <w:jc w:val="both"/>
        <w:rPr/>
      </w:pPr>
      <w:r>
        <w:t xml:space="preserve">В 2019 году уровень инфляции снизился </w:t>
      </w:r>
      <w:r>
        <w:t>до</w:t>
      </w:r>
      <w:r>
        <w:t xml:space="preserve"> 3,05%, при этом в декабре ее годовой показатель продолжил замедляться. </w:t>
      </w:r>
      <w:r>
        <w:t>Основными причинами выступили дальнейшее расширение предложения продовольствия, укрепление рубля, слабая динамика спроса, а также разовые события, включая эффекты базы, в основном связанные с временной активизацией спроса и роста цен на отдельные товары в </w:t>
      </w:r>
      <w:r>
        <w:t xml:space="preserve">конце 2018 г. в преддверии повышения ставки НДС. </w:t>
      </w:r>
      <w:r>
        <w:t>[</w:t>
      </w:r>
      <w:r>
        <w:t>12</w:t>
      </w:r>
      <w:r>
        <w:t>]</w:t>
      </w:r>
    </w:p>
    <w:p>
      <w:pPr>
        <w:pStyle w:val="style0"/>
        <w:spacing w:after="0" w:lineRule="auto" w:line="360"/>
        <w:ind w:firstLine="709"/>
        <w:jc w:val="both"/>
        <w:rPr/>
      </w:pPr>
      <w:r>
        <w:t>В 2020 году</w:t>
      </w:r>
      <w:r>
        <w:t xml:space="preserve"> </w:t>
      </w:r>
      <w:r>
        <w:t>Минэкономразвитие выделил, что главной причиной ускорения инфляции в 2020 году стало ослабление национальной валюты. Также ускорению инфляции послужил рост цен на сельхозпродукцию на мировых</w:t>
      </w:r>
      <w:r>
        <w:t xml:space="preserve"> рынках</w:t>
      </w:r>
      <w:r>
        <w:t>.</w:t>
      </w:r>
    </w:p>
    <w:p>
      <w:pPr>
        <w:pStyle w:val="style0"/>
        <w:spacing w:after="0" w:lineRule="auto" w:line="360"/>
        <w:ind w:firstLine="709"/>
        <w:jc w:val="both"/>
        <w:rPr/>
      </w:pPr>
      <w:r>
        <w:t xml:space="preserve">В 2021 году </w:t>
      </w:r>
      <w:r>
        <w:t>в</w:t>
      </w:r>
      <w:r>
        <w:t>едущий специалист Цент</w:t>
      </w:r>
      <w:r>
        <w:t>р</w:t>
      </w:r>
      <w:r>
        <w:t>а экспертизы образовательных программ РАНХиГС Наталья Булетова основной причиной назвала пандемию, которая привела к перераспределению рабочей силы и денег в экономике, пересмотру портфеля инвестиций собственник</w:t>
      </w:r>
      <w:r>
        <w:t xml:space="preserve">ами капитала, изменению структуры потребления и набора товаров в семейной продуктовой корзине. </w:t>
      </w:r>
    </w:p>
    <w:p>
      <w:pPr>
        <w:pStyle w:val="style0"/>
        <w:spacing w:after="0" w:lineRule="auto" w:line="360"/>
        <w:ind w:firstLine="709"/>
        <w:jc w:val="both"/>
        <w:rPr/>
      </w:pPr>
      <w:r>
        <w:t>В следующем 2022 году на ускорение уровня инфляции повлияли общероссийские факторы: продолжающийся рост издержек производителей и поставщиков, опережающий рост спроса относительно динамики предложения на рынке непродовольственных товаров.</w:t>
      </w:r>
      <w:r>
        <w:t>[</w:t>
      </w:r>
      <w:r>
        <w:t>13</w:t>
      </w:r>
      <w:r>
        <w:t>]</w:t>
      </w:r>
      <w:bookmarkStart w:id="8" w:name="_Hlk122175271"/>
      <w:r>
        <w:t>. В базовом сценарии прогноза Банка России с учетом проводимой денежно-кредитной политики годовая инфляция снизится до 5–7% в 2023 году.</w:t>
      </w:r>
      <w:r>
        <w:t xml:space="preserve"> [</w:t>
      </w:r>
      <w:r>
        <w:t>14</w:t>
      </w:r>
      <w:r>
        <w:t>]</w:t>
      </w:r>
      <w:r>
        <w:t>.</w:t>
      </w:r>
    </w:p>
    <w:bookmarkEnd w:id="8"/>
    <w:p>
      <w:pPr>
        <w:pStyle w:val="style0"/>
        <w:spacing w:after="0" w:lineRule="auto" w:line="360"/>
        <w:ind w:firstLine="709"/>
        <w:jc w:val="both"/>
        <w:rPr/>
      </w:pPr>
      <w:r>
        <w:t xml:space="preserve">Для обобщения всех данных </w:t>
      </w:r>
      <w:r>
        <w:t>приводится график общего уровня инфляции в период с 2013 по 2022 год. (рис.1)</w:t>
      </w:r>
    </w:p>
    <w:p>
      <w:pPr>
        <w:pStyle w:val="style0"/>
        <w:spacing w:after="0" w:lineRule="auto" w:line="360"/>
        <w:ind w:left="-709" w:firstLine="709"/>
        <w:rPr/>
      </w:pPr>
      <w:r>
        <w:rPr>
          <w:noProof/>
        </w:rPr>
        <w:drawing>
          <wp:inline distL="0" distT="0" distB="0" distR="0">
            <wp:extent cx="5915465" cy="2529840"/>
            <wp:effectExtent l="0" t="0" r="9525" b="3810"/>
            <wp:docPr id="1026" name="Рисунок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2"/>
                    <pic:cNvPicPr/>
                  </pic:nvPicPr>
                  <pic:blipFill>
                    <a:blip r:embed="rId3" cstate="print"/>
                    <a:srcRect l="0" t="0" r="0" b="0"/>
                    <a:stretch/>
                  </pic:blipFill>
                  <pic:spPr>
                    <a:xfrm rot="0">
                      <a:off x="0" y="0"/>
                      <a:ext cx="5915465" cy="2529840"/>
                    </a:xfrm>
                    <a:prstGeom prst="rect"/>
                  </pic:spPr>
                </pic:pic>
              </a:graphicData>
            </a:graphic>
          </wp:inline>
        </w:drawing>
      </w:r>
    </w:p>
    <w:p>
      <w:pPr>
        <w:pStyle w:val="style0"/>
        <w:spacing w:after="0" w:lineRule="auto" w:line="360"/>
        <w:ind w:firstLine="709"/>
        <w:jc w:val="both"/>
        <w:rPr/>
      </w:pPr>
      <w:r>
        <w:rPr>
          <w:noProof/>
          <w:color w:val="d0cece"/>
        </w:rPr>
        <mc:AlternateContent>
          <mc:Choice Requires="wps">
            <w:drawing>
              <wp:anchor distT="0" distB="0" distL="0" distR="0" simplePos="false" relativeHeight="8" behindDoc="false" locked="false" layoutInCell="true" allowOverlap="true">
                <wp:simplePos x="0" y="0"/>
                <wp:positionH relativeFrom="column">
                  <wp:posOffset>4317875</wp:posOffset>
                </wp:positionH>
                <wp:positionV relativeFrom="paragraph">
                  <wp:posOffset>78684</wp:posOffset>
                </wp:positionV>
                <wp:extent cx="90535" cy="81482"/>
                <wp:effectExtent l="0" t="0" r="24130" b="13970"/>
                <wp:wrapNone/>
                <wp:docPr id="1027" name="Овал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535" cy="81482"/>
                        </a:xfrm>
                        <a:prstGeom prst="ellipse"/>
                        <a:solidFill>
                          <a:srgbClr val="a5a5a5"/>
                        </a:solidFill>
                        <a:ln cmpd="sng" cap="flat" w="12700">
                          <a:solidFill>
                            <a:srgbClr val="ffffff"/>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oval id="1027" fillcolor="#a5a5a5" stroked="t" style="position:absolute;margin-left:339.99pt;margin-top:6.2pt;width:7.13pt;height:6.42pt;z-index:8;mso-position-horizontal-relative:text;mso-position-vertical-relative:text;mso-width-percent:0;mso-height-percent:0;mso-width-relative:margin;mso-height-relative:margin;mso-wrap-distance-left:0.0pt;mso-wrap-distance-right:0.0pt;visibility:visible;">
                <v:stroke joinstyle="miter" color="white" weight="1.0pt"/>
                <v:fill/>
              </v:oval>
            </w:pict>
          </mc:Fallback>
        </mc:AlternateContent>
      </w:r>
      <w:r>
        <w:rPr>
          <w:noProof/>
        </w:rPr>
        <mc:AlternateContent>
          <mc:Choice Requires="wps">
            <w:drawing>
              <wp:anchor distT="0" distB="0" distL="0" distR="0" simplePos="false" relativeHeight="7" behindDoc="false" locked="false" layoutInCell="true" allowOverlap="true">
                <wp:simplePos x="0" y="0"/>
                <wp:positionH relativeFrom="column">
                  <wp:posOffset>1890213</wp:posOffset>
                </wp:positionH>
                <wp:positionV relativeFrom="paragraph">
                  <wp:posOffset>69850</wp:posOffset>
                </wp:positionV>
                <wp:extent cx="90534" cy="81481"/>
                <wp:effectExtent l="0" t="0" r="24130" b="13970"/>
                <wp:wrapNone/>
                <wp:docPr id="1028" name="Овал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534" cy="81481"/>
                        </a:xfrm>
                        <a:prstGeom prst="ellipse"/>
                        <a:solidFill>
                          <a:srgbClr val="2f5496"/>
                        </a:solidFill>
                        <a:ln cmpd="sng" cap="flat" w="12700">
                          <a:solidFill>
                            <a:srgbClr val="ffffff"/>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oval id="1028" fillcolor="#2f5496" stroked="t" style="position:absolute;margin-left:148.84pt;margin-top:5.5pt;width:7.13pt;height:6.42pt;z-index:7;mso-position-horizontal-relative:text;mso-position-vertical-relative:text;mso-width-percent:0;mso-height-percent:0;mso-width-relative:margin;mso-height-relative:margin;mso-wrap-distance-left:0.0pt;mso-wrap-distance-right:0.0pt;visibility:visible;">
                <v:stroke joinstyle="miter" color="white" weight="1.0pt"/>
                <v:fill/>
              </v:oval>
            </w:pict>
          </mc:Fallback>
        </mc:AlternateContent>
      </w:r>
      <w:r>
        <w:rPr>
          <w:noProof/>
        </w:rPr>
        <mc:AlternateContent>
          <mc:Choice Requires="wps">
            <w:drawing>
              <wp:anchor distT="0" distB="0" distL="0" distR="0" simplePos="false" relativeHeight="6" behindDoc="false" locked="false" layoutInCell="true" allowOverlap="true">
                <wp:simplePos x="0" y="0"/>
                <wp:positionH relativeFrom="column">
                  <wp:posOffset>431656</wp:posOffset>
                </wp:positionH>
                <wp:positionV relativeFrom="paragraph">
                  <wp:posOffset>50165</wp:posOffset>
                </wp:positionV>
                <wp:extent cx="90534" cy="81482"/>
                <wp:effectExtent l="0" t="0" r="24130" b="13970"/>
                <wp:wrapNone/>
                <wp:docPr id="1029" name="Овал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534" cy="81482"/>
                        </a:xfrm>
                        <a:prstGeom prst="ellipse"/>
                        <a:solidFill>
                          <a:srgbClr val="ff0000"/>
                        </a:solidFill>
                        <a:ln cmpd="sng" cap="flat" w="12700">
                          <a:solidFill>
                            <a:srgbClr val="ffffff"/>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oval id="1029" fillcolor="red" stroked="t" style="position:absolute;margin-left:33.99pt;margin-top:3.95pt;width:7.13pt;height:6.42pt;z-index:6;mso-position-horizontal-relative:text;mso-position-vertical-relative:text;mso-width-percent:0;mso-height-percent:0;mso-width-relative:margin;mso-height-relative:margin;mso-wrap-distance-left:0.0pt;mso-wrap-distance-right:0.0pt;visibility:visible;">
                <v:stroke joinstyle="miter" color="white" weight="1.0pt"/>
                <v:fill/>
              </v:oval>
            </w:pict>
          </mc:Fallback>
        </mc:AlternateContent>
      </w:r>
      <w:r>
        <w:t xml:space="preserve">  Инфляция, % г/г     Ключевая ставка, % годовых     Цель по инф-и, %                 </w:t>
      </w:r>
    </w:p>
    <w:p>
      <w:pPr>
        <w:pStyle w:val="style0"/>
        <w:spacing w:after="0" w:lineRule="auto" w:line="360"/>
        <w:ind w:right="-1" w:firstLine="567"/>
        <w:jc w:val="center"/>
        <w:rPr/>
      </w:pPr>
      <w:r>
        <w:t xml:space="preserve">Рисунок </w:t>
      </w:r>
      <w:r>
        <w:t>1</w:t>
      </w:r>
      <w:r>
        <w:t xml:space="preserve"> – Соотношение ключевой ставки Банка России и инфляции</w:t>
      </w:r>
      <w:r>
        <w:t xml:space="preserve"> в период 2013 – 2022 г. </w:t>
      </w:r>
      <w:r>
        <w:t>[</w:t>
      </w:r>
      <w:r>
        <w:t>15</w:t>
      </w:r>
      <w:r>
        <w:t>]</w:t>
      </w:r>
    </w:p>
    <w:p>
      <w:pPr>
        <w:pStyle w:val="style0"/>
        <w:spacing w:after="0" w:lineRule="auto" w:line="360"/>
        <w:ind w:firstLine="709"/>
        <w:jc w:val="both"/>
        <w:rPr/>
      </w:pPr>
      <w:r>
        <w:t xml:space="preserve">Множество экономистов отмечают наличие у инфляции в России специфических признаков. </w:t>
      </w:r>
    </w:p>
    <w:p>
      <w:pPr>
        <w:pStyle w:val="style0"/>
        <w:spacing w:after="0" w:lineRule="auto" w:line="360"/>
        <w:ind w:firstLine="709"/>
        <w:jc w:val="both"/>
        <w:rPr/>
      </w:pPr>
      <w:r>
        <w:t xml:space="preserve">Во-первых, это </w:t>
      </w:r>
      <w:bookmarkStart w:id="9" w:name="_Hlk122187025"/>
      <w:r>
        <w:t>рост тарифов на услуги жилищно-коммунального хозяйства (ЖКХ)</w:t>
      </w:r>
      <w:bookmarkEnd w:id="9"/>
      <w:r>
        <w:t xml:space="preserve">. Тенденция </w:t>
      </w:r>
      <w:r>
        <w:t xml:space="preserve">роста жилищно-коммунальных услуг берет свое начало в 2000 году. </w:t>
      </w:r>
      <w:r>
        <w:t>(рис.2)</w:t>
      </w:r>
    </w:p>
    <w:p>
      <w:pPr>
        <w:pStyle w:val="style0"/>
        <w:spacing w:after="0" w:lineRule="auto" w:line="360"/>
        <w:jc w:val="center"/>
        <w:rPr/>
      </w:pPr>
      <w:r>
        <w:rPr>
          <w:noProof/>
        </w:rPr>
        <w:drawing>
          <wp:inline distL="0" distT="0" distB="0" distR="0">
            <wp:extent cx="5915025" cy="2525222"/>
            <wp:effectExtent l="0" t="0" r="0" b="889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 cstate="print"/>
                    <a:srcRect l="0" t="0" r="0" b="0"/>
                    <a:stretch/>
                  </pic:blipFill>
                  <pic:spPr>
                    <a:xfrm rot="0">
                      <a:off x="0" y="0"/>
                      <a:ext cx="5915025" cy="2525222"/>
                    </a:xfrm>
                    <a:prstGeom prst="rect"/>
                  </pic:spPr>
                </pic:pic>
              </a:graphicData>
            </a:graphic>
          </wp:inline>
        </w:drawing>
      </w:r>
    </w:p>
    <w:p>
      <w:pPr>
        <w:pStyle w:val="style0"/>
        <w:spacing w:after="0" w:lineRule="auto" w:line="360"/>
        <w:ind w:firstLine="709"/>
        <w:jc w:val="center"/>
        <w:rPr/>
      </w:pPr>
      <w:r>
        <w:t>Рисунок 2</w:t>
      </w:r>
      <w:r>
        <w:t xml:space="preserve"> </w:t>
      </w:r>
      <w:r>
        <w:t>–</w:t>
      </w:r>
      <w:r>
        <w:t xml:space="preserve"> </w:t>
      </w:r>
      <w:r>
        <w:t>Р</w:t>
      </w:r>
      <w:r>
        <w:t>ост тарифов на услуги жилищно-коммунального хозяйства (ЖКХ)</w:t>
      </w:r>
      <w:r>
        <w:t xml:space="preserve"> в период с 2000 по 2010 г.</w:t>
      </w:r>
    </w:p>
    <w:p>
      <w:pPr>
        <w:pStyle w:val="style0"/>
        <w:spacing w:after="0" w:lineRule="auto" w:line="360"/>
        <w:ind w:firstLine="709"/>
        <w:jc w:val="both"/>
        <w:rPr/>
      </w:pPr>
      <w:r>
        <w:t>За период с 2000 г. по 2009 г. стоимость ЖКУ выросла в 9,2 раза. Среднегодовые тем</w:t>
      </w:r>
      <w:r>
        <w:t>пы инфляции за 9 лет составили 12,4 %, а средние темпы роста тарифов ЖКХ – 28,7 %.</w:t>
      </w:r>
    </w:p>
    <w:p>
      <w:pPr>
        <w:pStyle w:val="style0"/>
        <w:spacing w:after="0" w:lineRule="auto" w:line="360"/>
        <w:ind w:firstLine="709"/>
        <w:jc w:val="both"/>
        <w:rPr/>
      </w:pPr>
      <w:r>
        <w:t>В 2010 г. Цены на коммунальные услуги выросли на 13 %, в 2011 г. – на 11,7 %, а в 2012 г. – на 12-14 %. В 2013 г. Рост цен составил в среднем 15 %.</w:t>
      </w:r>
    </w:p>
    <w:p>
      <w:pPr>
        <w:pStyle w:val="style0"/>
        <w:spacing w:after="0" w:lineRule="auto" w:line="360"/>
        <w:ind w:firstLine="709"/>
        <w:jc w:val="both"/>
        <w:rPr/>
      </w:pPr>
      <w:r>
        <w:t>Есть несколько причин так</w:t>
      </w:r>
      <w:r>
        <w:t>ого стремительного роста тарифов ЖКХ.</w:t>
      </w:r>
    </w:p>
    <w:p>
      <w:pPr>
        <w:pStyle w:val="style0"/>
        <w:spacing w:after="0" w:lineRule="auto" w:line="360"/>
        <w:ind w:firstLine="709"/>
        <w:jc w:val="both"/>
        <w:rPr/>
      </w:pPr>
      <w:r>
        <w:t>Первая – это рост цен на коммунальные ресурсы, который диктуется естественными монополистами в соответствующих сферах.</w:t>
      </w:r>
    </w:p>
    <w:p>
      <w:pPr>
        <w:pStyle w:val="style0"/>
        <w:spacing w:after="0" w:lineRule="auto" w:line="360"/>
        <w:ind w:firstLine="709"/>
        <w:jc w:val="both"/>
        <w:rPr/>
      </w:pPr>
      <w:r>
        <w:t>А вторая – затратный характер роста цен, так как увеличение цен происходит не за счет наличия конку</w:t>
      </w:r>
      <w:r>
        <w:t>рентов, а именно за счет повышения стоимости затрат на оказание данных видов услуг.</w:t>
      </w:r>
    </w:p>
    <w:p>
      <w:pPr>
        <w:pStyle w:val="style0"/>
        <w:spacing w:after="0" w:lineRule="auto" w:line="360"/>
        <w:ind w:firstLine="709"/>
        <w:jc w:val="both"/>
        <w:rPr/>
      </w:pPr>
      <w:r>
        <w:t>Также следует заметить, что рост цен на тарифы ЖКХ опережает не только рост общего уровня цен, но и темп роста уровня доходов населения.</w:t>
      </w:r>
    </w:p>
    <w:p>
      <w:pPr>
        <w:pStyle w:val="style0"/>
        <w:spacing w:lineRule="auto" w:line="360"/>
        <w:ind w:firstLine="709"/>
        <w:jc w:val="both"/>
        <w:rPr/>
      </w:pPr>
      <w:r>
        <w:t>Изучив данные роста тарифов на услуги жилищно-коммунального хозяйства с начала изучения – 2000 года, стоит рассмотреть и показатели ближе к нашему времени. (рис.3.)</w:t>
      </w:r>
    </w:p>
    <w:p>
      <w:pPr>
        <w:pStyle w:val="style0"/>
        <w:spacing w:after="0" w:lineRule="auto" w:line="360"/>
        <w:jc w:val="center"/>
        <w:rPr/>
      </w:pPr>
      <w:r>
        <w:rPr>
          <w:noProof/>
        </w:rPr>
        <w:drawing>
          <wp:inline distL="0" distT="0" distB="0" distR="0">
            <wp:extent cx="5864225" cy="2299580"/>
            <wp:effectExtent l="0" t="0" r="3175" b="5715"/>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 cstate="print"/>
                    <a:srcRect l="0" t="0" r="0" b="0"/>
                    <a:stretch/>
                  </pic:blipFill>
                  <pic:spPr>
                    <a:xfrm rot="0">
                      <a:off x="0" y="0"/>
                      <a:ext cx="5864225" cy="2299580"/>
                    </a:xfrm>
                    <a:prstGeom prst="rect"/>
                  </pic:spPr>
                </pic:pic>
              </a:graphicData>
            </a:graphic>
          </wp:inline>
        </w:drawing>
      </w:r>
    </w:p>
    <w:p>
      <w:pPr>
        <w:pStyle w:val="style0"/>
        <w:spacing w:after="0" w:lineRule="auto" w:line="360"/>
        <w:ind w:firstLine="709"/>
        <w:jc w:val="center"/>
        <w:rPr/>
      </w:pPr>
      <w:r>
        <w:t xml:space="preserve">Рисунок 3 – </w:t>
      </w:r>
      <w:r>
        <w:t>Д</w:t>
      </w:r>
      <w:r>
        <w:t>инамика цен на жилищно-коммунальные услуги в период с 2019 по нынешний 2022 год.</w:t>
      </w:r>
    </w:p>
    <w:p>
      <w:pPr>
        <w:pStyle w:val="style0"/>
        <w:spacing w:after="0" w:lineRule="auto" w:line="360"/>
        <w:ind w:firstLine="709"/>
        <w:jc w:val="both"/>
        <w:rPr/>
      </w:pPr>
      <w:r>
        <w:t>С 1 января 2019 года измен</w:t>
      </w:r>
      <w:r>
        <w:t xml:space="preserve">ение цен в сфере предоставления ЖКУ в рамках 1,7 процента обусловлено исключительно увеличением ставки НДС, - сказал руководитель краевого департамента цен и тарифов Сергей Милованов </w:t>
      </w:r>
      <w:r>
        <w:t>во время еженедельного планерного совещании ЗСК. - Что касается роста сто</w:t>
      </w:r>
      <w:r>
        <w:t>имости коммунальных услуг с 1 июля, то с этой даты сетевой газ в среднем по краю подорожает на 1,7 процента, свет - на 2,56 процента для городского населения и на 2,74 - для сельского.</w:t>
      </w:r>
    </w:p>
    <w:p>
      <w:pPr>
        <w:pStyle w:val="style0"/>
        <w:spacing w:after="0" w:lineRule="auto" w:line="360"/>
        <w:ind w:firstLine="709"/>
        <w:jc w:val="both"/>
        <w:rPr/>
      </w:pPr>
      <w:r>
        <w:t>В 2020 году также произошла индексация тарифов по ЖКУ для каждого регио</w:t>
      </w:r>
      <w:r>
        <w:t>на. Сильнее всего коммуналка может подорожать в Чечне: на 6,5%. В Москве — на 5%, в Московской и Новгородской областях — на 4,1%, а самый низкий показатель — в Ненецком автономном округе: 2,4%. Например, если в 2019 году житель Ярославля платил за воду, св</w:t>
      </w:r>
      <w:r>
        <w:t>ет и отопление в квартире 4000 ₽, то в 2020 году он будет платить на 3,6% больше — 4144 ₽. В Москве за тот же набор услуг придется платить на 5% больше — 4200 ₽.</w:t>
      </w:r>
    </w:p>
    <w:p>
      <w:pPr>
        <w:pStyle w:val="style0"/>
        <w:spacing w:after="0" w:lineRule="auto" w:line="360"/>
        <w:ind w:firstLine="709"/>
        <w:jc w:val="both"/>
        <w:rPr/>
      </w:pPr>
      <w:r>
        <w:t>В июле 2021 года произошла индексация тарифов по ЖКУ, которые увеличились в промежутке от 3,2%</w:t>
      </w:r>
      <w:r>
        <w:t xml:space="preserve"> в Мурманской области, до 6,5% в Чеченской республике. Например, в Ростовской области тарифы по ЖКУ увеличились на 3,4%, в республике Адыгея – 3,5, в Саратовской области и Краснодарском крае – 4%, в городе Москва – 4,6%, а в республике Крым – 6,2%.</w:t>
      </w:r>
    </w:p>
    <w:p>
      <w:pPr>
        <w:pStyle w:val="style0"/>
        <w:spacing w:after="0" w:lineRule="auto" w:line="360"/>
        <w:ind w:firstLine="709"/>
        <w:jc w:val="both"/>
        <w:rPr/>
      </w:pPr>
      <w:r>
        <w:t>С 1 июл</w:t>
      </w:r>
      <w:r>
        <w:t>я 2022 года тарифы на коммунальные услуги выросли на 2,9 – 6,5% в зависимости от региона. В результате поправок плата за коммунальные услуги будет увеличена уже второй раз в текущем году. При этом Минэкономразвития России обещает, что потом индексация не б</w:t>
      </w:r>
      <w:r>
        <w:t>удет проводиться полтора года (следующая должна состояться только 1 июля 2024 года). Декабрьская индексация коснется платы за холодную и горячую воду, электроэнергию, отопление, газ и вывоз мусора. Чиновники заверяют, что средний ежемесячный платеж на одну</w:t>
      </w:r>
      <w:r>
        <w:t xml:space="preserve"> семью из трех человек в месяц вырастет на 324 руб. В результате следующих индексаций плата увеличится следующим образом: с 1 июля 2024 года – на 248 руб. в месяц и с 1 июля 2025 года – на 221 руб. в месяц. </w:t>
      </w:r>
      <w:r>
        <w:t>[</w:t>
      </w:r>
      <w:r>
        <w:t>16</w:t>
      </w:r>
      <w:r>
        <w:t>]</w:t>
      </w:r>
    </w:p>
    <w:p>
      <w:pPr>
        <w:pStyle w:val="style0"/>
        <w:spacing w:after="0" w:lineRule="auto" w:line="360"/>
        <w:ind w:firstLine="709"/>
        <w:jc w:val="both"/>
        <w:rPr/>
      </w:pPr>
      <w:r>
        <w:t>Во-вторых, рост цен на продукты первой необх</w:t>
      </w:r>
      <w:r>
        <w:t xml:space="preserve">одимости и продовольственные товары. ИПЦ – наиболее используемый экономический </w:t>
      </w:r>
      <w:r>
        <w:t>показатель, рассчитывающий среднее изменение цен с течением времени, которые уплачивает потребитель за корзину товаров и услуг, рост инфляции и эффективности деятельности правит</w:t>
      </w:r>
      <w:r>
        <w:t xml:space="preserve">ельства. Он дает представление об изменениях в экономике и служит основой для принятия решений как органами власти, так и производителями, потребителями. </w:t>
      </w:r>
      <w:r>
        <w:t>[</w:t>
      </w:r>
      <w:r>
        <w:t>17</w:t>
      </w:r>
      <w:r>
        <w:t>]</w:t>
      </w:r>
    </w:p>
    <w:p>
      <w:pPr>
        <w:pStyle w:val="style0"/>
        <w:spacing w:after="0" w:lineRule="auto" w:line="360"/>
        <w:ind w:firstLine="709"/>
        <w:jc w:val="both"/>
        <w:rPr/>
      </w:pPr>
      <w:r>
        <w:t xml:space="preserve">Рассмотрим </w:t>
      </w:r>
      <w:r>
        <w:t xml:space="preserve">динамику </w:t>
      </w:r>
      <w:r>
        <w:t>индекс</w:t>
      </w:r>
      <w:r>
        <w:t>ов</w:t>
      </w:r>
      <w:r>
        <w:t xml:space="preserve"> потребительских цен продовольственных товаров за </w:t>
      </w:r>
      <w:r>
        <w:t>анализируемый период</w:t>
      </w:r>
      <w:r>
        <w:t xml:space="preserve"> (рис.</w:t>
      </w:r>
      <w:r>
        <w:t>4</w:t>
      </w:r>
      <w:r>
        <w:t>)</w:t>
      </w:r>
    </w:p>
    <w:p>
      <w:pPr>
        <w:pStyle w:val="style0"/>
        <w:spacing w:after="0" w:lineRule="auto" w:line="360"/>
        <w:jc w:val="both"/>
        <w:rPr/>
      </w:pPr>
      <w:r>
        <w:rPr>
          <w:noProof/>
        </w:rPr>
      </w:r>
      <w:r>
        <w:rPr>
          <w:noProof/>
        </w:rPr>
      </w:r>
      <w:r>
        <w:rPr>
          <w:noProof/>
        </w:rPr>
      </w:r>
      <w:r>
        <w:rPr>
          <w:noProof/>
        </w:rPr>
        <w:drawing>
          <wp:inline distL="114300" distT="0" distB="0" distR="114300">
            <wp:extent cx="5916930" cy="2558122"/>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noProof/>
        </w:rPr>
      </w:r>
    </w:p>
    <w:p>
      <w:pPr>
        <w:pStyle w:val="style0"/>
        <w:spacing w:after="0" w:lineRule="auto" w:line="360"/>
        <w:ind w:firstLine="709"/>
        <w:jc w:val="center"/>
        <w:rPr/>
      </w:pPr>
      <w:r>
        <w:t xml:space="preserve">Рисунок </w:t>
      </w:r>
      <w:r>
        <w:t>4</w:t>
      </w:r>
      <w:r>
        <w:t xml:space="preserve"> - </w:t>
      </w:r>
      <w:r>
        <w:t>И</w:t>
      </w:r>
      <w:r>
        <w:t xml:space="preserve">ндексы потребительских цен на продовольственные товары в РФ </w:t>
      </w:r>
      <w:r>
        <w:t>с</w:t>
      </w:r>
      <w:r>
        <w:t xml:space="preserve"> 2013 – 2022 год.</w:t>
      </w:r>
      <w:r>
        <w:t xml:space="preserve"> </w:t>
      </w:r>
      <w:r>
        <w:t>[</w:t>
      </w:r>
      <w:r>
        <w:t>18</w:t>
      </w:r>
      <w:r>
        <w:t>]</w:t>
      </w:r>
    </w:p>
    <w:p>
      <w:pPr>
        <w:pStyle w:val="style0"/>
        <w:spacing w:before="240" w:after="0" w:lineRule="auto" w:line="360"/>
        <w:ind w:firstLine="709"/>
        <w:jc w:val="both"/>
        <w:rPr/>
      </w:pPr>
      <w:r>
        <w:t>Изучив данный рисунок, можно сделать вывод о том, что ИПЦ и инфляция</w:t>
      </w:r>
      <w:r>
        <w:t xml:space="preserve"> –</w:t>
      </w:r>
      <w:r>
        <w:t xml:space="preserve"> это зав</w:t>
      </w:r>
      <w:r>
        <w:t>исимые показатели, так как на основе ИПЦ считается темп инфляции, который показывает на сколько процентов за период (год, месяц и пр.) изменился общий уровень цен.</w:t>
      </w:r>
    </w:p>
    <w:p>
      <w:pPr>
        <w:pStyle w:val="style0"/>
        <w:spacing w:after="0" w:lineRule="auto" w:line="360"/>
        <w:ind w:firstLine="709"/>
        <w:jc w:val="both"/>
        <w:rPr/>
      </w:pPr>
    </w:p>
    <w:p>
      <w:pPr>
        <w:pStyle w:val="style0"/>
        <w:tabs>
          <w:tab w:val="left" w:leader="none" w:pos="1134"/>
        </w:tabs>
        <w:spacing w:lineRule="auto" w:line="360"/>
        <w:ind w:left="709"/>
        <w:rPr>
          <w:b/>
          <w:bCs/>
        </w:rPr>
      </w:pPr>
      <w:r>
        <w:rPr>
          <w:b/>
          <w:bCs/>
        </w:rPr>
        <w:t xml:space="preserve">2.2 Оценка факторов, влияющих на инфляцию в рыночной </w:t>
      </w:r>
      <w:r>
        <w:rPr>
          <w:b/>
          <w:bCs/>
        </w:rPr>
        <w:t xml:space="preserve">           </w:t>
      </w:r>
      <w:r>
        <w:rPr>
          <w:b/>
          <w:bCs/>
        </w:rPr>
        <w:t>экономике</w:t>
      </w:r>
    </w:p>
    <w:p>
      <w:pPr>
        <w:pStyle w:val="style0"/>
        <w:spacing w:lineRule="auto" w:line="360"/>
        <w:ind w:firstLine="709"/>
        <w:jc w:val="both"/>
        <w:rPr/>
      </w:pPr>
      <w:r>
        <w:t xml:space="preserve">Рассматривая инфляцию как результат взаимодействия монетарных факторов (спроса) и неденежных факторов (предложения), можно определить причины. </w:t>
      </w:r>
    </w:p>
    <w:p>
      <w:pPr>
        <w:pStyle w:val="style0"/>
        <w:spacing w:after="0" w:lineRule="auto" w:line="360"/>
        <w:ind w:firstLine="709"/>
        <w:jc w:val="center"/>
        <w:rPr/>
      </w:pPr>
      <w:r>
        <w:t xml:space="preserve">Инфляцию спроса вызывают три основных </w:t>
      </w:r>
      <w:r>
        <w:t>денежных фактора (рис.</w:t>
      </w:r>
      <w:r>
        <w:t>5</w:t>
      </w:r>
      <w:r>
        <w:t>).</w:t>
      </w:r>
    </w:p>
    <w:tbl>
      <w:tblPr>
        <w:tblStyle w:val="style15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329"/>
        <w:gridCol w:w="2552"/>
        <w:gridCol w:w="274"/>
        <w:gridCol w:w="2566"/>
      </w:tblGrid>
      <w:tr>
        <w:trPr/>
        <w:tc>
          <w:tcPr>
            <w:tcW w:w="2501" w:type="dxa"/>
            <w:tcBorders>
              <w:right w:val="single" w:sz="4" w:space="0" w:color="auto"/>
            </w:tcBorders>
          </w:tcPr>
          <w:p>
            <w:pPr>
              <w:pStyle w:val="style0"/>
              <w:spacing w:lineRule="auto" w:line="360"/>
              <w:rPr/>
            </w:pPr>
          </w:p>
        </w:tc>
        <w:tc>
          <w:tcPr>
            <w:tcW w:w="3155" w:type="dxa"/>
            <w:gridSpan w:val="3"/>
            <w:tcBorders>
              <w:top w:val="single" w:sz="4" w:space="0" w:color="auto"/>
              <w:left w:val="single" w:sz="4" w:space="0" w:color="auto"/>
              <w:bottom w:val="single" w:sz="4" w:space="0" w:color="auto"/>
              <w:right w:val="single" w:sz="4" w:space="0" w:color="auto"/>
            </w:tcBorders>
          </w:tcPr>
          <w:p>
            <w:pPr>
              <w:pStyle w:val="style0"/>
              <w:spacing w:lineRule="auto" w:line="360"/>
              <w:jc w:val="center"/>
              <w:rPr/>
            </w:pPr>
            <w:r>
              <w:rPr>
                <w:noProof/>
              </w:rPr>
              <w:object>
                <v:line id="1034" stroked="t" from="72.65pt,72.45pt" to="72.65pt,120.95pt" style="position:absolute;z-index:2;mso-position-horizontal-relative:text;mso-position-vertical-relative:text;mso-width-percent:0;mso-width-relative:margin;mso-height-relative:page;mso-wrap-distance-left:0.0pt;mso-wrap-distance-right:0.0pt;visibility:visible;">
                  <v:stroke joinstyle="miter" weight="0.5pt"/>
                  <v:fill/>
                </v:line>
                <o:OLEObject Type="EMBED" ProgID="Excel.Sheet.8" ShapeID="1034" DrawAspect="Content" ObjectID="0" r:id="rId7"/>
              </w:object>
            </w:r>
            <w:r>
              <w:t>Инфляция спроса (основные монетарные факторы)</w:t>
            </w:r>
          </w:p>
        </w:tc>
        <w:tc>
          <w:tcPr>
            <w:tcW w:w="2566" w:type="dxa"/>
            <w:tcBorders>
              <w:left w:val="single" w:sz="4" w:space="0" w:color="auto"/>
            </w:tcBorders>
          </w:tcPr>
          <w:p>
            <w:pPr>
              <w:pStyle w:val="style0"/>
              <w:spacing w:lineRule="auto" w:line="360"/>
              <w:rPr/>
            </w:pPr>
          </w:p>
        </w:tc>
      </w:tr>
      <w:tr>
        <w:tblPrEx/>
        <w:trPr/>
        <w:tc>
          <w:tcPr>
            <w:tcW w:w="2501" w:type="dxa"/>
            <w:tcBorders/>
          </w:tcPr>
          <w:p>
            <w:pPr>
              <w:pStyle w:val="style0"/>
              <w:spacing w:lineRule="auto" w:line="360"/>
              <w:rPr/>
            </w:pPr>
            <w:r>
              <w:rPr>
                <w:noProof/>
              </w:rPr>
              <mc:AlternateContent>
                <mc:Choice Requires="wps">
                  <w:drawing>
                    <wp:anchor distT="0" distB="0" distL="0" distR="0" simplePos="false" relativeHeight="4" behindDoc="false" locked="false" layoutInCell="true" allowOverlap="true">
                      <wp:simplePos x="0" y="0"/>
                      <wp:positionH relativeFrom="column">
                        <wp:posOffset>592009</wp:posOffset>
                      </wp:positionH>
                      <wp:positionV relativeFrom="paragraph">
                        <wp:posOffset>274377</wp:posOffset>
                      </wp:positionV>
                      <wp:extent cx="0" cy="334984"/>
                      <wp:effectExtent l="0" t="0" r="38100" b="27305"/>
                      <wp:wrapNone/>
                      <wp:docPr id="1035" name="Прямая соединительная линия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34984"/>
                              </a:xfrm>
                              <a:prstGeom prst="line"/>
                              <a:ln cmpd="sng" cap="flat" w="9525">
                                <a:solidFill>
                                  <a:srgbClr val="000000"/>
                                </a:solidFill>
                                <a:prstDash val="solid"/>
                                <a:miter/>
                                <a:headEnd len="med" w="med" type="none"/>
                                <a:tailEnd len="med" w="med" type="none"/>
                              </a:ln>
                            </wps:spPr>
                            <wps:bodyPr>
                              <a:prstTxWarp prst="textNoShape"/>
                            </wps:bodyPr>
                          </wps:wsp>
                        </a:graphicData>
                      </a:graphic>
                    </wp:anchor>
                  </w:drawing>
                </mc:Choice>
                <mc:Fallback>
                  <w:pict>
                    <v:line id="1035" filled="f" stroked="t" from="46.614883pt,21.604488pt" to="46.614883pt,47.981182pt" style="position:absolute;z-index:4;mso-position-horizontal-relative:text;mso-position-vertical-relative:text;mso-width-relative:page;mso-height-relative:page;mso-wrap-distance-left:0.0pt;mso-wrap-distance-right:0.0pt;visibility:visible;">
                      <v:stroke joinstyle="miter"/>
                      <v:fill/>
                    </v:line>
                  </w:pict>
                </mc:Fallback>
              </mc:AlternateContent>
            </w:r>
            <w:r>
              <w:rPr>
                <w:noProof/>
              </w:rPr>
              <mc:AlternateContent>
                <mc:Choice Requires="wps">
                  <w:drawing>
                    <wp:anchor distT="0" distB="0" distL="0" distR="0" simplePos="false" relativeHeight="3" behindDoc="false" locked="false" layoutInCell="true" allowOverlap="true">
                      <wp:simplePos x="0" y="0"/>
                      <wp:positionH relativeFrom="column">
                        <wp:posOffset>601062</wp:posOffset>
                      </wp:positionH>
                      <wp:positionV relativeFrom="paragraph">
                        <wp:posOffset>256597</wp:posOffset>
                      </wp:positionV>
                      <wp:extent cx="3892990" cy="18107"/>
                      <wp:effectExtent l="0" t="0" r="31750" b="20320"/>
                      <wp:wrapNone/>
                      <wp:docPr id="1036" name="Прямая соединительная линия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92990" cy="18107"/>
                              </a:xfrm>
                              <a:prstGeom prst="line"/>
                              <a:ln cmpd="sng" cap="flat" w="6350">
                                <a:solidFill>
                                  <a:srgbClr val="000000"/>
                                </a:solidFill>
                                <a:prstDash val="solid"/>
                                <a:miter/>
                                <a:headEnd len="med" w="med" type="none"/>
                                <a:tailEnd len="med" w="med" type="none"/>
                              </a:ln>
                            </wps:spPr>
                            <wps:bodyPr>
                              <a:prstTxWarp prst="textNoShape"/>
                            </wps:bodyPr>
                          </wps:wsp>
                        </a:graphicData>
                      </a:graphic>
                    </wp:anchor>
                  </w:drawing>
                </mc:Choice>
                <mc:Fallback>
                  <w:pict>
                    <v:line id="1036" filled="f" stroked="t" from="47.327717pt,20.204489pt" to="353.8624pt,21.630238pt" style="position:absolute;z-index:3;mso-position-horizontal-relative:text;mso-position-vertical-relative:text;mso-width-relative:page;mso-height-relative:page;mso-wrap-distance-left:0.0pt;mso-wrap-distance-right:0.0pt;visibility:visible;">
                      <v:stroke joinstyle="miter" weight="0.5pt"/>
                      <v:fill/>
                    </v:line>
                  </w:pict>
                </mc:Fallback>
              </mc:AlternateContent>
            </w:r>
          </w:p>
        </w:tc>
        <w:tc>
          <w:tcPr>
            <w:tcW w:w="329" w:type="dxa"/>
            <w:tcBorders>
              <w:top w:val="single" w:sz="4" w:space="0" w:color="auto"/>
            </w:tcBorders>
          </w:tcPr>
          <w:p>
            <w:pPr>
              <w:pStyle w:val="style0"/>
              <w:spacing w:lineRule="auto" w:line="360"/>
              <w:rPr/>
            </w:pPr>
          </w:p>
        </w:tc>
        <w:tc>
          <w:tcPr>
            <w:tcW w:w="2552" w:type="dxa"/>
            <w:tcBorders>
              <w:top w:val="single" w:sz="4" w:space="0" w:color="auto"/>
            </w:tcBorders>
          </w:tcPr>
          <w:p>
            <w:pPr>
              <w:pStyle w:val="style0"/>
              <w:spacing w:lineRule="auto" w:line="360"/>
              <w:rPr/>
            </w:pPr>
          </w:p>
        </w:tc>
        <w:tc>
          <w:tcPr>
            <w:tcW w:w="274" w:type="dxa"/>
            <w:tcBorders>
              <w:top w:val="single" w:sz="4" w:space="0" w:color="auto"/>
            </w:tcBorders>
          </w:tcPr>
          <w:p>
            <w:pPr>
              <w:pStyle w:val="style0"/>
              <w:spacing w:lineRule="auto" w:line="360"/>
              <w:rPr/>
            </w:pPr>
          </w:p>
        </w:tc>
        <w:tc>
          <w:tcPr>
            <w:tcW w:w="2566" w:type="dxa"/>
            <w:tcBorders/>
          </w:tcPr>
          <w:p>
            <w:pPr>
              <w:pStyle w:val="style0"/>
              <w:spacing w:lineRule="auto" w:line="360"/>
              <w:rPr/>
            </w:pPr>
            <w:r>
              <w:rPr>
                <w:noProof/>
              </w:rPr>
              <mc:AlternateContent>
                <mc:Choice Requires="wps">
                  <w:drawing>
                    <wp:anchor distT="0" distB="0" distL="0" distR="0" simplePos="false" relativeHeight="5" behindDoc="false" locked="false" layoutInCell="true" allowOverlap="true">
                      <wp:simplePos x="0" y="0"/>
                      <wp:positionH relativeFrom="column">
                        <wp:posOffset>875030</wp:posOffset>
                      </wp:positionH>
                      <wp:positionV relativeFrom="paragraph">
                        <wp:posOffset>274320</wp:posOffset>
                      </wp:positionV>
                      <wp:extent cx="0" cy="308144"/>
                      <wp:effectExtent l="0" t="0" r="38100" b="34925"/>
                      <wp:wrapNone/>
                      <wp:docPr id="1037" name="Прямая соединительная линия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08144"/>
                              </a:xfrm>
                              <a:prstGeom prst="line"/>
                              <a:ln cmpd="sng" cap="flat" w="635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anchor>
                  </w:drawing>
                </mc:Choice>
                <mc:Fallback>
                  <w:pict>
                    <v:line id="1037" filled="f" stroked="t" from="68.9pt,21.6pt" to="68.9pt,45.863308pt" style="position:absolute;z-index:5;mso-position-horizontal-relative:text;mso-position-vertical-relative:text;mso-width-percent:0;mso-width-relative:margin;mso-height-relative:page;mso-wrap-distance-left:0.0pt;mso-wrap-distance-right:0.0pt;visibility:visible;">
                      <v:stroke joinstyle="miter" weight="0.5pt"/>
                      <v:fill/>
                    </v:line>
                  </w:pict>
                </mc:Fallback>
              </mc:AlternateContent>
            </w:r>
          </w:p>
        </w:tc>
      </w:tr>
      <w:tr>
        <w:tblPrEx/>
        <w:trPr/>
        <w:tc>
          <w:tcPr>
            <w:tcW w:w="2501" w:type="dxa"/>
            <w:tcBorders>
              <w:bottom w:val="single" w:sz="4" w:space="0" w:color="auto"/>
            </w:tcBorders>
          </w:tcPr>
          <w:p>
            <w:pPr>
              <w:pStyle w:val="style0"/>
              <w:spacing w:lineRule="auto" w:line="360"/>
              <w:rPr/>
            </w:pPr>
          </w:p>
        </w:tc>
        <w:tc>
          <w:tcPr>
            <w:tcW w:w="329" w:type="dxa"/>
            <w:tcBorders/>
          </w:tcPr>
          <w:p>
            <w:pPr>
              <w:pStyle w:val="style0"/>
              <w:spacing w:lineRule="auto" w:line="360"/>
              <w:rPr/>
            </w:pPr>
          </w:p>
        </w:tc>
        <w:tc>
          <w:tcPr>
            <w:tcW w:w="2552" w:type="dxa"/>
            <w:tcBorders>
              <w:bottom w:val="single" w:sz="4" w:space="0" w:color="auto"/>
            </w:tcBorders>
          </w:tcPr>
          <w:p>
            <w:pPr>
              <w:pStyle w:val="style0"/>
              <w:spacing w:lineRule="auto" w:line="360"/>
              <w:rPr/>
            </w:pPr>
          </w:p>
        </w:tc>
        <w:tc>
          <w:tcPr>
            <w:tcW w:w="274" w:type="dxa"/>
            <w:tcBorders/>
          </w:tcPr>
          <w:p>
            <w:pPr>
              <w:pStyle w:val="style0"/>
              <w:spacing w:lineRule="auto" w:line="360"/>
              <w:rPr/>
            </w:pPr>
          </w:p>
        </w:tc>
        <w:tc>
          <w:tcPr>
            <w:tcW w:w="2566" w:type="dxa"/>
            <w:tcBorders>
              <w:bottom w:val="single" w:sz="4" w:space="0" w:color="auto"/>
            </w:tcBorders>
          </w:tcPr>
          <w:p>
            <w:pPr>
              <w:pStyle w:val="style0"/>
              <w:spacing w:lineRule="auto" w:line="360"/>
              <w:rPr/>
            </w:pPr>
          </w:p>
        </w:tc>
      </w:tr>
      <w:tr>
        <w:tblPrEx/>
        <w:trPr/>
        <w:tc>
          <w:tcPr>
            <w:tcW w:w="2501"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pPr>
            <w:r>
              <w:t>Дефицит государственного бюджета</w:t>
            </w:r>
          </w:p>
        </w:tc>
        <w:tc>
          <w:tcPr>
            <w:tcW w:w="329" w:type="dxa"/>
            <w:tcBorders>
              <w:left w:val="single" w:sz="4" w:space="0" w:color="auto"/>
              <w:right w:val="single" w:sz="4" w:space="0" w:color="auto"/>
            </w:tcBorders>
          </w:tcPr>
          <w:p>
            <w:pPr>
              <w:pStyle w:val="style0"/>
              <w:spacing w:lineRule="auto" w:line="360"/>
              <w:rPr/>
            </w:pPr>
          </w:p>
        </w:tc>
        <w:tc>
          <w:tcPr>
            <w:tcW w:w="2552"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pPr>
            <w:r>
              <w:t>Избыточное кредитование</w:t>
            </w:r>
          </w:p>
        </w:tc>
        <w:tc>
          <w:tcPr>
            <w:tcW w:w="274" w:type="dxa"/>
            <w:tcBorders>
              <w:left w:val="single" w:sz="4" w:space="0" w:color="auto"/>
              <w:right w:val="single" w:sz="4" w:space="0" w:color="auto"/>
            </w:tcBorders>
          </w:tcPr>
          <w:p>
            <w:pPr>
              <w:pStyle w:val="style0"/>
              <w:spacing w:lineRule="auto" w:line="360"/>
              <w:rPr/>
            </w:pPr>
          </w:p>
        </w:tc>
        <w:tc>
          <w:tcPr>
            <w:tcW w:w="2566"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pPr>
            <w:r>
              <w:t>Внешнеэкономи-ческие причины</w:t>
            </w:r>
          </w:p>
        </w:tc>
      </w:tr>
    </w:tbl>
    <w:p>
      <w:pPr>
        <w:pStyle w:val="style0"/>
        <w:spacing w:after="0" w:lineRule="auto" w:line="360"/>
        <w:ind w:left="709"/>
        <w:rPr/>
      </w:pPr>
    </w:p>
    <w:p>
      <w:pPr>
        <w:pStyle w:val="style0"/>
        <w:spacing w:lineRule="auto" w:line="360"/>
        <w:jc w:val="center"/>
        <w:rPr/>
      </w:pPr>
      <w:r>
        <w:t xml:space="preserve">Рисунок </w:t>
      </w:r>
      <w:r>
        <w:t>5</w:t>
      </w:r>
      <w:r>
        <w:t xml:space="preserve"> – Основные факторы инфляции спроса</w:t>
      </w:r>
    </w:p>
    <w:p>
      <w:pPr>
        <w:pStyle w:val="style0"/>
        <w:spacing w:lineRule="auto" w:line="360"/>
        <w:ind w:firstLine="709"/>
        <w:jc w:val="both"/>
        <w:rPr/>
      </w:pPr>
      <w:r>
        <w:t>1. Дефицит государственного бюджета. У него есть возможность финансироваться косвенно, при помощи роста государственного долга либо инфляционного налога. Недостаток усугубляется развитием непродуктивных затрат с</w:t>
      </w:r>
      <w:r>
        <w:t>траны на милитаризацию экономики и укрепления работы государственного агрегата. Покрытие недостатка бюджета происходит методом кредитования правительства ЦБ в виде покупки государственных значимых бумаг на первичном рынке либо предоставление займа правител</w:t>
      </w:r>
      <w:r>
        <w:t>ьству, собственно вызывает эмиссию средств сверх необходимости товарооборота в деньгах</w:t>
      </w:r>
      <w:r>
        <w:t xml:space="preserve"> и</w:t>
      </w:r>
      <w:r>
        <w:t xml:space="preserve"> инфляцию спроса. </w:t>
      </w:r>
      <w:r>
        <w:t>[</w:t>
      </w:r>
      <w:r>
        <w:t>4. с.45</w:t>
      </w:r>
      <w:r>
        <w:t>]</w:t>
      </w:r>
    </w:p>
    <w:p>
      <w:pPr>
        <w:pStyle w:val="style0"/>
        <w:spacing w:after="0" w:lineRule="auto" w:line="360"/>
        <w:ind w:firstLine="709"/>
        <w:jc w:val="both"/>
        <w:rPr/>
      </w:pPr>
      <w:r>
        <w:t>«В текущем году мы повысили планку расходов бюджета РФ, повысили бюджетный стимул, бюджетный импульс для экономики. Поэтому у нас в этом году планируется бюджетный дефицит. Но с тем, чтобы этот импульс сохранялся на ближайшую трехлетку, расходы бюджета на три года будут сохраняться на уровне чуть больше 29 триллионов рублей», — пояснил глава Минфина.</w:t>
      </w:r>
    </w:p>
    <w:p>
      <w:pPr>
        <w:pStyle w:val="style0"/>
        <w:spacing w:after="0" w:lineRule="auto" w:line="360"/>
        <w:ind w:firstLine="709"/>
        <w:jc w:val="both"/>
        <w:rPr/>
      </w:pPr>
      <w:r>
        <w:t>Для рассмотрения данных о значениях доходов и расходов федерального бюджета РФ обратимся к рис.</w:t>
      </w:r>
      <w:r>
        <w:t>6</w:t>
      </w:r>
    </w:p>
    <w:p>
      <w:pPr>
        <w:pStyle w:val="style0"/>
        <w:spacing w:after="0" w:lineRule="auto" w:line="360"/>
        <w:jc w:val="both"/>
        <w:rPr/>
      </w:pPr>
      <w:r>
        <w:rPr>
          <w:noProof/>
        </w:rPr>
      </w:r>
      <w:r>
        <w:rPr>
          <w:noProof/>
        </w:rPr>
      </w:r>
      <w:r>
        <w:rPr>
          <w:noProof/>
        </w:rPr>
      </w:r>
      <w:r>
        <w:rPr>
          <w:noProof/>
        </w:rPr>
        <w:drawing>
          <wp:inline distL="114300" distT="0" distB="0" distR="114300">
            <wp:extent cx="5932805" cy="2392325"/>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r>
    </w:p>
    <w:bookmarkStart w:id="10" w:name="_Hlk122176452"/>
    <w:p>
      <w:pPr>
        <w:pStyle w:val="style0"/>
        <w:spacing w:before="240" w:after="0" w:lineRule="auto" w:line="360"/>
        <w:ind w:firstLine="709"/>
        <w:jc w:val="center"/>
        <w:rPr/>
      </w:pPr>
      <w:r>
        <w:t xml:space="preserve">Рисунок 6 – Динамика доходов и расходов федерального бюджета Российской Федерации </w:t>
      </w:r>
      <w:r>
        <w:t>[</w:t>
      </w:r>
      <w:r>
        <w:t>19</w:t>
      </w:r>
      <w:r>
        <w:t>]</w:t>
      </w:r>
    </w:p>
    <w:bookmarkEnd w:id="10"/>
    <w:p>
      <w:pPr>
        <w:pStyle w:val="style0"/>
        <w:spacing w:before="240" w:after="0" w:lineRule="auto" w:line="360"/>
        <w:ind w:firstLine="709"/>
        <w:jc w:val="both"/>
        <w:rPr/>
      </w:pPr>
      <w:r>
        <w:t>Исходя из данных, рассматриваемых на рис</w:t>
      </w:r>
      <w:r>
        <w:t>.6</w:t>
      </w:r>
      <w:r>
        <w:t xml:space="preserve">, можно сделать вывод о том, что за период 9 лет доходная часть федерального бюджета РФ </w:t>
      </w:r>
      <w:r>
        <w:t xml:space="preserve">всего 4 раза </w:t>
      </w:r>
      <w:r>
        <w:t xml:space="preserve">превышала расходную. </w:t>
      </w:r>
    </w:p>
    <w:p>
      <w:pPr>
        <w:pStyle w:val="style0"/>
        <w:spacing w:before="240" w:after="0" w:lineRule="auto" w:line="360"/>
        <w:ind w:firstLine="709"/>
        <w:jc w:val="both"/>
        <w:rPr/>
      </w:pPr>
      <w:r>
        <w:t>В целях адаптации бюджетной политики в 2023-2024 годах, когда Минфином предполагается постепенный переход на бюджетное правило, предусматривается и превышение предельных расходов по такому правилу — на 2,9 триллиона рублей в 2023 году и на 1,6 триллиона в 2024 году.</w:t>
      </w:r>
    </w:p>
    <w:p>
      <w:pPr>
        <w:pStyle w:val="style0"/>
        <w:spacing w:before="240" w:after="0" w:lineRule="auto" w:line="360"/>
        <w:ind w:firstLine="709"/>
        <w:jc w:val="both"/>
        <w:rPr/>
      </w:pPr>
      <w:r>
        <w:t>В связи с этим, как отметил Силуанов, в Минфине бюджетный дефицит планируют с сокращением — с 2 процентов ВВП в 2023 году до 0,7 процента в 2025 году. Это те параметры баланса, которые, по словам министра, обеспечивают «безопасный уровень» для функционирования экономики.</w:t>
      </w:r>
      <w:r>
        <w:t xml:space="preserve"> </w:t>
      </w:r>
      <w:r>
        <w:t>[</w:t>
      </w:r>
      <w:r>
        <w:t>20</w:t>
      </w:r>
      <w:r>
        <w:t>]</w:t>
      </w:r>
    </w:p>
    <w:p>
      <w:pPr>
        <w:pStyle w:val="style0"/>
        <w:spacing w:before="240" w:after="0" w:lineRule="auto" w:line="360"/>
        <w:ind w:firstLine="709"/>
        <w:jc w:val="both"/>
        <w:rPr/>
      </w:pPr>
      <w:r>
        <w:t>2. Избыточное кредитование. Это увеличение денег в обращении сверх потребностей экономики за счет кре</w:t>
      </w:r>
      <w:r>
        <w:t>дитной экспансии банков, которая ведет к созданию платежеспособных средств в объеме превышающая потребность товарооборота тем самым, создавая дополнительные запросы на товары и услуги.</w:t>
      </w:r>
    </w:p>
    <w:p>
      <w:pPr>
        <w:pStyle w:val="style0"/>
        <w:spacing w:before="240" w:after="0" w:lineRule="auto" w:line="360"/>
        <w:ind w:firstLine="709"/>
        <w:jc w:val="both"/>
        <w:rPr/>
      </w:pPr>
      <w:r>
        <w:t>Увеличение внутреннего спроса, в том числе за счет развития кредитования физических лиц, в малой степени способствует росту отечественного производства в России и в значительной степени сказывается на ценах неторгуемых товаров.</w:t>
      </w:r>
    </w:p>
    <w:p>
      <w:pPr>
        <w:pStyle w:val="style0"/>
        <w:spacing w:before="240" w:after="0" w:lineRule="auto" w:line="360"/>
        <w:ind w:firstLine="709"/>
        <w:jc w:val="both"/>
        <w:rPr/>
      </w:pPr>
      <w:r>
        <w:t>Стоимость кредитов является важным фактором, влияющим на издержки производства и поддерживающим инфляционную составляющую цен.</w:t>
      </w:r>
      <w:r>
        <w:t xml:space="preserve"> </w:t>
      </w:r>
      <w:r>
        <w:t>Наибольшее влияние условия кредитования оказывают на такие отрасли российской экономики, как строительство, сельское хозяйство и торговлю. А наименьшее влияние — на добывающие отрасли, а также транспорт и связь. Это означает, что удорожание заимствований в разной степени отражается на ценах производителей этих отраслей.</w:t>
      </w:r>
    </w:p>
    <w:p>
      <w:pPr>
        <w:pStyle w:val="style0"/>
        <w:spacing w:before="240" w:after="0" w:lineRule="auto" w:line="360"/>
        <w:ind w:firstLine="709"/>
        <w:jc w:val="both"/>
        <w:rPr/>
      </w:pPr>
      <w:r>
        <w:t>Процентные ставки на рынке размещения и привлечения средств в октябре 2022 года изменялись несущественно и разнонаправленно в зависимости от сегмента рынка и срочности операций. Вместе с тем процентные ставки по депозитам преимущественно превысили показатели предыдущего месяца.</w:t>
      </w:r>
    </w:p>
    <w:p>
      <w:pPr>
        <w:pStyle w:val="style0"/>
        <w:spacing w:before="240" w:after="0" w:lineRule="auto" w:line="360"/>
        <w:ind w:firstLine="709"/>
        <w:jc w:val="both"/>
        <w:rPr/>
      </w:pPr>
      <w:r>
        <w:t>В октябре 2022 года отмечалось незначительное снижение (по сравнению с предыдущим месяцем) стоимости краткосрочных (на срок до 1 года) кредитов для физических лиц (ФЛ) и нефинансовых организаций (НО), в том числе для субъектов малого и среднего предпринимательства (МСП). В то же время на рынке долгосрочных (на срок свыше 1 года) кредитов ставки выросли. Так, увеличение процентной ставки в части долгосрочного корпоративного кредитования составило 0,28 п.п., по долгосрочным кредитам ФЛ и МСП ставки возросли на 0,26 и 0,53 п.п. соответственно.</w:t>
      </w:r>
      <w:r>
        <w:t xml:space="preserve"> </w:t>
      </w:r>
    </w:p>
    <w:p>
      <w:pPr>
        <w:pStyle w:val="style0"/>
        <w:spacing w:before="240" w:after="0" w:lineRule="auto" w:line="360"/>
        <w:ind w:firstLine="709"/>
        <w:jc w:val="both"/>
        <w:rPr/>
      </w:pPr>
      <w:r>
        <w:t>Для рассмотрения динамики процентных ставок обратимся к рис.7</w:t>
      </w:r>
    </w:p>
    <w:p>
      <w:pPr>
        <w:pStyle w:val="style0"/>
        <w:spacing w:before="240" w:after="0" w:lineRule="auto" w:line="360"/>
        <w:jc w:val="both"/>
        <w:rPr/>
      </w:pPr>
      <w:r>
        <w:rPr>
          <w:noProof/>
        </w:rPr>
        <w:object>
          <v:shape id="1040" type="#_x0000_t75" filled="f" stroked="f" style="margin-left:0.0pt;margin-top:0.0pt;width:479.5pt;height:210.99pt;mso-wrap-distance-left:0.0pt;mso-wrap-distance-right:0.0pt;visibility:visible;">
            <w10:anchorlock/>
            <v:imagedata r:id="rId9" embosscolor="white" o:title=""/>
            <v:fill/>
          </v:shape>
          <o:OLEObject Type="EMBED" ProgID="Excel.Chart.8" ShapeID="1040" DrawAspect="Content" ObjectID="0" r:id="rId10"/>
        </w:object>
      </w:r>
    </w:p>
    <w:p>
      <w:pPr>
        <w:pStyle w:val="style0"/>
        <w:spacing w:before="240" w:after="0" w:lineRule="auto" w:line="360"/>
        <w:ind w:firstLine="709"/>
        <w:jc w:val="center"/>
        <w:rPr/>
      </w:pPr>
      <w:r>
        <w:t>Рисунок 7 – Динамика процентных ставок по кредитам физических лиц в период с октября 2020 по октябрь 2022 года</w:t>
      </w:r>
    </w:p>
    <w:p>
      <w:pPr>
        <w:pStyle w:val="style0"/>
        <w:spacing w:before="240" w:after="0" w:lineRule="auto" w:line="360"/>
        <w:ind w:firstLine="709"/>
        <w:jc w:val="both"/>
        <w:rPr/>
      </w:pPr>
      <w:r>
        <w:t>Динамика процентных ставок с детальной разбивкой по срочности операций по кредитам ФЛ наглядно демонстрирует превышение стоимости заимствования по краткосрочным кредитам над стоимостью долгосрочного кредитования.</w:t>
      </w:r>
    </w:p>
    <w:p>
      <w:pPr>
        <w:pStyle w:val="style0"/>
        <w:spacing w:before="240" w:after="0" w:lineRule="auto" w:line="360"/>
        <w:ind w:firstLine="709"/>
        <w:jc w:val="both"/>
        <w:rPr/>
      </w:pPr>
      <w:r>
        <w:t>В октябре 2022 года сохранилось прежнее распределение объема кредитов ФЛ в рублях в разрезе срочности операций. Наибольшая доля в структуре оборотов традиционно принадлежала кредитам со сроком свыше 3 лет. Изменение процентной ставки по кредитам с коротким сроком оказалось более волатильным.</w:t>
      </w:r>
      <w:r>
        <w:t xml:space="preserve"> </w:t>
      </w:r>
      <w:r>
        <w:t>[</w:t>
      </w:r>
      <w:r>
        <w:t>21</w:t>
      </w:r>
      <w:r>
        <w:t>]</w:t>
      </w:r>
    </w:p>
    <w:p>
      <w:pPr>
        <w:pStyle w:val="style0"/>
        <w:spacing w:after="0" w:lineRule="auto" w:line="360"/>
        <w:ind w:firstLine="709"/>
        <w:jc w:val="both"/>
        <w:rPr/>
      </w:pPr>
      <w:r>
        <w:t>3. Внешнеэкономический фактор. Для регулирования курса национальной валюты или объема валютных резервов центральный банк покупает иностранную валюту.</w:t>
      </w:r>
    </w:p>
    <w:p>
      <w:pPr>
        <w:pStyle w:val="style0"/>
        <w:spacing w:after="0" w:lineRule="auto" w:line="360"/>
        <w:ind w:firstLine="709"/>
        <w:jc w:val="both"/>
        <w:rPr/>
      </w:pPr>
      <w:r>
        <w:t>Ситуация на биржевом валютном рынке большую часть сентября оставалась стабильной, но на фоне роста геополитических рисков в конце месяца, а также ожиданий введения нового пакета санкций волатильность на валютном рынке возросла. В таких условиях широкий круг участников старался выйти из «токсичных» валют и пере</w:t>
      </w:r>
      <w:r>
        <w:t>йти</w:t>
      </w:r>
      <w:r>
        <w:t xml:space="preserve"> в валюты дружественных </w:t>
      </w:r>
      <w:r>
        <w:t>стран (преимущественно юани). В отличие от периода волатильности февраля 2022 г., когда за последнюю неделю месяца рубль ослаб по отношению к доллару США на 26,6%, в сентябре наблюдалось укрепление национальной валюты, несмотря на некоторое ухудшение ситуации с валютной ликвидностью на внутреннем рынке в конце месяца</w:t>
      </w:r>
      <w:r>
        <w:t>.</w:t>
      </w:r>
    </w:p>
    <w:p>
      <w:pPr>
        <w:pStyle w:val="style0"/>
        <w:spacing w:after="0" w:lineRule="auto" w:line="360"/>
        <w:ind w:firstLine="709"/>
        <w:jc w:val="both"/>
        <w:rPr/>
      </w:pPr>
      <w:r>
        <w:t xml:space="preserve">Совокупные объемы чистых продаж крупнейших экспортеров в сентябре увеличились до 21,0 млрд долл. США (в августе – 20,8 млрд долл. США) </w:t>
      </w:r>
    </w:p>
    <w:p>
      <w:pPr>
        <w:pStyle w:val="style0"/>
        <w:spacing w:after="0" w:lineRule="auto" w:line="360"/>
        <w:ind w:firstLine="709"/>
        <w:jc w:val="both"/>
        <w:rPr/>
      </w:pPr>
      <w:r>
        <w:t>Для рассмотрения вышеуказанных данных обратимся к рис.8</w:t>
      </w:r>
      <w:r>
        <w:t>.</w:t>
      </w:r>
      <w:r>
        <w:t xml:space="preserve"> </w:t>
      </w:r>
      <w:bookmarkStart w:id="11" w:name="_Hlk122182000"/>
      <w:r>
        <w:t xml:space="preserve"> </w:t>
      </w:r>
      <w:r>
        <w:t>[</w:t>
      </w:r>
      <w:r>
        <w:t>22</w:t>
      </w:r>
      <w:r>
        <w:t>]</w:t>
      </w:r>
    </w:p>
    <w:bookmarkEnd w:id="11"/>
    <w:p>
      <w:pPr>
        <w:pStyle w:val="style0"/>
        <w:spacing w:after="0" w:lineRule="auto" w:line="360"/>
        <w:jc w:val="both"/>
        <w:rPr/>
      </w:pPr>
      <w:r>
        <w:rPr>
          <w:noProof/>
        </w:rPr>
        <w:drawing>
          <wp:inline distL="0" distT="0" distB="0" distR="0">
            <wp:extent cx="6015952" cy="2234317"/>
            <wp:effectExtent l="0" t="0" r="4445" b="0"/>
            <wp:docPr id="1041"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1" cstate="print"/>
                    <a:srcRect l="0" t="0" r="0" b="0"/>
                    <a:stretch/>
                  </pic:blipFill>
                  <pic:spPr>
                    <a:xfrm rot="0">
                      <a:off x="0" y="0"/>
                      <a:ext cx="6015952" cy="2234317"/>
                    </a:xfrm>
                    <a:prstGeom prst="rect"/>
                  </pic:spPr>
                </pic:pic>
              </a:graphicData>
            </a:graphic>
          </wp:inline>
        </w:drawing>
      </w:r>
    </w:p>
    <w:p>
      <w:pPr>
        <w:pStyle w:val="style0"/>
        <w:spacing w:after="0" w:lineRule="auto" w:line="360"/>
        <w:ind w:firstLine="709"/>
        <w:jc w:val="center"/>
        <w:rPr/>
      </w:pPr>
      <w:r>
        <w:t>Рисунок 8 – Динамика чистых продаж иностранной валюты крупнейшим экспортерам в 2022 году</w:t>
      </w:r>
    </w:p>
    <w:p>
      <w:pPr>
        <w:pStyle w:val="style0"/>
        <w:spacing w:after="0" w:lineRule="auto" w:line="360"/>
        <w:ind w:firstLine="709"/>
        <w:rPr/>
      </w:pPr>
      <w:r>
        <w:t>Из анализа рисунка 8 можно сказать, что самые выгодные продажи иностранной валюты крупнейшим экспортерам в 2022 году производились в таких месяцах, как: январь, февраль, август и сентябрь.</w:t>
      </w:r>
    </w:p>
    <w:p>
      <w:pPr>
        <w:pStyle w:val="style0"/>
        <w:spacing w:after="0" w:lineRule="auto" w:line="360"/>
        <w:ind w:firstLine="709"/>
        <w:rPr/>
      </w:pPr>
      <w:r>
        <w:t>Самый минимум выгодных продаж за рассматриваемый период произошел в июле 2022 года.</w:t>
      </w:r>
    </w:p>
    <w:p>
      <w:pPr>
        <w:pStyle w:val="style0"/>
        <w:spacing w:before="240" w:after="0" w:lineRule="auto" w:line="360"/>
        <w:ind w:firstLine="709"/>
        <w:rPr/>
      </w:pPr>
      <w:r>
        <w:t>Изучив факторы, влияющие на инфляцию спроса, необходимо рассмотреть инфляцию издержек, а также факторы, которые на нее влияют.</w:t>
      </w:r>
    </w:p>
    <w:p>
      <w:pPr>
        <w:pStyle w:val="style0"/>
        <w:spacing w:before="240" w:after="0" w:lineRule="auto" w:line="360"/>
        <w:ind w:firstLine="709"/>
        <w:jc w:val="center"/>
        <w:rPr/>
      </w:pPr>
      <w:r>
        <w:t>Инфляция издержек (предложения) неразрывно связана с неденежными факторами (рис.</w:t>
      </w:r>
      <w:r>
        <w:t>9</w:t>
      </w:r>
      <w:r>
        <w:t>).</w:t>
      </w:r>
    </w:p>
    <w:tbl>
      <w:tblPr>
        <w:tblStyle w:val="style154"/>
        <w:tblW w:w="8811" w:type="dxa"/>
        <w:jc w:val="center"/>
        <w:tblLook w:val="04A0" w:firstRow="1" w:lastRow="0" w:firstColumn="1" w:lastColumn="0" w:noHBand="0" w:noVBand="1"/>
      </w:tblPr>
      <w:tblGrid>
        <w:gridCol w:w="508"/>
        <w:gridCol w:w="349"/>
        <w:gridCol w:w="699"/>
        <w:gridCol w:w="611"/>
        <w:gridCol w:w="181"/>
        <w:gridCol w:w="699"/>
        <w:gridCol w:w="761"/>
        <w:gridCol w:w="699"/>
        <w:gridCol w:w="792"/>
        <w:gridCol w:w="699"/>
        <w:gridCol w:w="775"/>
        <w:gridCol w:w="161"/>
        <w:gridCol w:w="699"/>
        <w:gridCol w:w="1182"/>
      </w:tblGrid>
      <w:tr>
        <w:trPr>
          <w:trHeight w:val="657" w:hRule="atLeast"/>
          <w:jc w:val="center"/>
        </w:trPr>
        <w:tc>
          <w:tcPr>
            <w:tcW w:w="8811" w:type="dxa"/>
            <w:gridSpan w:val="14"/>
            <w:tcBorders>
              <w:top w:val="single" w:sz="4" w:space="0" w:color="auto"/>
              <w:left w:val="single" w:sz="4" w:space="0" w:color="auto"/>
              <w:bottom w:val="single" w:sz="4" w:space="0" w:color="auto"/>
              <w:right w:val="single" w:sz="4" w:space="0" w:color="auto"/>
            </w:tcBorders>
          </w:tcPr>
          <w:p>
            <w:pPr>
              <w:pStyle w:val="style0"/>
              <w:spacing w:lineRule="auto" w:line="360"/>
              <w:ind w:right="1045"/>
              <w:jc w:val="center"/>
              <w:rPr/>
            </w:pPr>
            <w:r>
              <w:rPr>
                <w:noProof/>
              </w:rPr>
              <mc:AlternateContent>
                <mc:Choice Requires="wps">
                  <w:drawing>
                    <wp:anchor distT="0" distB="0" distL="0" distR="0" simplePos="false" relativeHeight="33" behindDoc="false" locked="false" layoutInCell="true" allowOverlap="true">
                      <wp:simplePos x="0" y="0"/>
                      <wp:positionH relativeFrom="column">
                        <wp:posOffset>2697671</wp:posOffset>
                      </wp:positionH>
                      <wp:positionV relativeFrom="paragraph">
                        <wp:posOffset>412410</wp:posOffset>
                      </wp:positionV>
                      <wp:extent cx="2604976" cy="287020"/>
                      <wp:effectExtent l="0" t="0" r="62230" b="93980"/>
                      <wp:wrapNone/>
                      <wp:docPr id="1042" name="Прямая со стрелкой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04976" cy="287020"/>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type id="_x0000_t32" coordsize="21600,21600" o:spt="32" o:oned="t" path="m,l21600,21600e">
                      <v:path arrowok="t" fillok="f" o:connecttype="none"/>
                      <o:lock v:ext="edit" shapetype="t"/>
                    </v:shapetype>
                    <v:shape id="1042" type="#_x0000_t32" filled="f" style="position:absolute;margin-left:212.42pt;margin-top:32.47pt;width:205.12pt;height:22.6pt;z-index:33;mso-position-horizontal-relative:text;mso-position-vertical-relative:text;mso-width-relative:page;mso-height-relative:page;mso-wrap-distance-left:0.0pt;mso-wrap-distance-right:0.0pt;visibility:visible;">
                      <v:stroke endarrow="block" joinstyle="miter" weight="0.5pt"/>
                      <v:fill/>
                    </v:shape>
                  </w:pict>
                </mc:Fallback>
              </mc:AlternateContent>
            </w:r>
            <w:r>
              <w:rPr>
                <w:noProof/>
              </w:rPr>
              <mc:AlternateContent>
                <mc:Choice Requires="wps">
                  <w:drawing>
                    <wp:anchor distT="0" distB="0" distL="0" distR="0" simplePos="false" relativeHeight="32" behindDoc="false" locked="false" layoutInCell="true" allowOverlap="true">
                      <wp:simplePos x="0" y="0"/>
                      <wp:positionH relativeFrom="column">
                        <wp:posOffset>2542599</wp:posOffset>
                      </wp:positionH>
                      <wp:positionV relativeFrom="paragraph">
                        <wp:posOffset>412410</wp:posOffset>
                      </wp:positionV>
                      <wp:extent cx="1654264" cy="297180"/>
                      <wp:effectExtent l="0" t="0" r="79375" b="83820"/>
                      <wp:wrapNone/>
                      <wp:docPr id="1043" name="Прямая со стрелкой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54264" cy="297180"/>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43" type="#_x0000_t32" filled="f" style="position:absolute;margin-left:200.2pt;margin-top:32.47pt;width:130.26pt;height:23.4pt;z-index:32;mso-position-horizontal-relative:text;mso-position-vertical-relative:text;mso-width-relative:page;mso-height-relative:page;mso-wrap-distance-left:0.0pt;mso-wrap-distance-right:0.0pt;visibility:visible;">
                      <v:stroke endarrow="block" joinstyle="miter" weight="0.5pt"/>
                      <v:fill/>
                    </v:shape>
                  </w:pict>
                </mc:Fallback>
              </mc:AlternateContent>
            </w:r>
            <w:r>
              <w:rPr>
                <w:noProof/>
              </w:rPr>
              <mc:AlternateContent>
                <mc:Choice Requires="wps">
                  <w:drawing>
                    <wp:anchor distT="0" distB="0" distL="0" distR="0" simplePos="false" relativeHeight="31" behindDoc="false" locked="false" layoutInCell="true" allowOverlap="true">
                      <wp:simplePos x="0" y="0"/>
                      <wp:positionH relativeFrom="column">
                        <wp:posOffset>2542599</wp:posOffset>
                      </wp:positionH>
                      <wp:positionV relativeFrom="paragraph">
                        <wp:posOffset>412410</wp:posOffset>
                      </wp:positionV>
                      <wp:extent cx="591008" cy="297711"/>
                      <wp:effectExtent l="0" t="0" r="76200" b="64770"/>
                      <wp:wrapNone/>
                      <wp:docPr id="1044" name="Прямая со стрелкой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1008" cy="297711"/>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44" type="#_x0000_t32" filled="f" style="position:absolute;margin-left:200.2pt;margin-top:32.47pt;width:46.54pt;height:23.44pt;z-index:31;mso-position-horizontal-relative:text;mso-position-vertical-relative:text;mso-width-relative:page;mso-height-relative:page;mso-wrap-distance-left:0.0pt;mso-wrap-distance-right:0.0pt;visibility:visible;">
                      <v:stroke endarrow="block" joinstyle="miter" weight="0.5pt"/>
                      <v:fill/>
                    </v:shape>
                  </w:pict>
                </mc:Fallback>
              </mc:AlternateContent>
            </w:r>
            <w:r>
              <w:rPr>
                <w:noProof/>
              </w:rPr>
              <mc:AlternateContent>
                <mc:Choice Requires="wps">
                  <w:drawing>
                    <wp:anchor distT="0" distB="0" distL="0" distR="0" simplePos="false" relativeHeight="29" behindDoc="false" locked="false" layoutInCell="true" allowOverlap="true">
                      <wp:simplePos x="0" y="0"/>
                      <wp:positionH relativeFrom="column">
                        <wp:posOffset>1294174</wp:posOffset>
                      </wp:positionH>
                      <wp:positionV relativeFrom="paragraph">
                        <wp:posOffset>412410</wp:posOffset>
                      </wp:positionV>
                      <wp:extent cx="1253180" cy="318977"/>
                      <wp:effectExtent l="38100" t="0" r="23495" b="81280"/>
                      <wp:wrapNone/>
                      <wp:docPr id="1045" name="Прямая со стрелкой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253180" cy="318977"/>
                              </a:xfrm>
                              <a:prstGeom prst="straightConnector1"/>
                              <a:ln cmpd="sng" cap="flat" w="6350">
                                <a:solidFill>
                                  <a:srgbClr val="000000"/>
                                </a:solidFill>
                                <a:prstDash val="solid"/>
                                <a:miter/>
                                <a:headEnd/>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5" type="#_x0000_t32" filled="f" style="position:absolute;margin-left:101.9pt;margin-top:32.47pt;width:98.68pt;height:25.12pt;z-index:29;mso-position-horizontal-relative:text;mso-position-vertical-relative:text;mso-width-percent:0;mso-height-percent:0;mso-width-relative:margin;mso-height-relative:margin;mso-wrap-distance-left:0.0pt;mso-wrap-distance-right:0.0pt;visibility:visible;flip:x;">
                      <v:stroke endarrow="block" joinstyle="miter" weight="0.5pt"/>
                      <v:fill/>
                    </v:shape>
                  </w:pict>
                </mc:Fallback>
              </mc:AlternateContent>
            </w:r>
            <w:r>
              <w:rPr>
                <w:noProof/>
              </w:rPr>
              <mc:AlternateContent>
                <mc:Choice Requires="wps">
                  <w:drawing>
                    <wp:anchor distT="0" distB="0" distL="0" distR="0" simplePos="false" relativeHeight="28" behindDoc="false" locked="false" layoutInCell="true" allowOverlap="true">
                      <wp:simplePos x="0" y="0"/>
                      <wp:positionH relativeFrom="column">
                        <wp:posOffset>294714</wp:posOffset>
                      </wp:positionH>
                      <wp:positionV relativeFrom="paragraph">
                        <wp:posOffset>412410</wp:posOffset>
                      </wp:positionV>
                      <wp:extent cx="2275367" cy="287079"/>
                      <wp:effectExtent l="38100" t="0" r="10795" b="93980"/>
                      <wp:wrapNone/>
                      <wp:docPr id="1046" name="Прямая со стрелкой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2275367" cy="287079"/>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46" type="#_x0000_t32" filled="f" style="position:absolute;margin-left:23.21pt;margin-top:32.47pt;width:179.16pt;height:22.6pt;z-index:28;mso-position-horizontal-relative:text;mso-position-vertical-relative:text;mso-width-relative:page;mso-height-relative:page;mso-wrap-distance-left:0.0pt;mso-wrap-distance-right:0.0pt;visibility:visible;flip:x;">
                      <v:stroke endarrow="block" joinstyle="miter" weight="0.5pt"/>
                      <v:fill/>
                    </v:shape>
                  </w:pict>
                </mc:Fallback>
              </mc:AlternateContent>
            </w:r>
            <w:r>
              <w:t>Инфляция издержек (основные немонетарные факторы)</w:t>
            </w:r>
          </w:p>
        </w:tc>
      </w:tr>
      <w:tr>
        <w:tblPrEx/>
        <w:trPr>
          <w:trHeight w:val="484" w:hRule="atLeast"/>
          <w:jc w:val="center"/>
        </w:trPr>
        <w:tc>
          <w:tcPr>
            <w:tcW w:w="924" w:type="dxa"/>
            <w:tcBorders>
              <w:top w:val="single" w:sz="4" w:space="0" w:color="auto"/>
              <w:left w:val="nil"/>
              <w:bottom w:val="single" w:sz="4" w:space="0" w:color="auto"/>
              <w:right w:val="nil"/>
            </w:tcBorders>
          </w:tcPr>
          <w:p>
            <w:pPr>
              <w:pStyle w:val="style0"/>
              <w:spacing w:lineRule="auto" w:line="360"/>
              <w:rPr/>
            </w:pPr>
          </w:p>
        </w:tc>
        <w:tc>
          <w:tcPr>
            <w:tcW w:w="229" w:type="dxa"/>
            <w:tcBorders>
              <w:top w:val="single" w:sz="4" w:space="0" w:color="auto"/>
              <w:left w:val="nil"/>
              <w:bottom w:val="single" w:sz="4" w:space="0" w:color="auto"/>
              <w:right w:val="nil"/>
            </w:tcBorders>
          </w:tcPr>
          <w:p>
            <w:pPr>
              <w:pStyle w:val="style0"/>
              <w:spacing w:lineRule="auto" w:line="360"/>
              <w:rPr/>
            </w:pPr>
          </w:p>
        </w:tc>
        <w:tc>
          <w:tcPr>
            <w:tcW w:w="1288" w:type="dxa"/>
            <w:gridSpan w:val="2"/>
            <w:tcBorders>
              <w:top w:val="single" w:sz="4" w:space="0" w:color="auto"/>
              <w:left w:val="nil"/>
              <w:bottom w:val="nil"/>
              <w:right w:val="nil"/>
            </w:tcBorders>
          </w:tcPr>
          <w:p>
            <w:pPr>
              <w:pStyle w:val="style0"/>
              <w:spacing w:lineRule="auto" w:line="360"/>
              <w:jc w:val="center"/>
              <w:rPr/>
            </w:pPr>
          </w:p>
        </w:tc>
        <w:tc>
          <w:tcPr>
            <w:tcW w:w="4799" w:type="dxa"/>
            <w:gridSpan w:val="7"/>
            <w:tcBorders>
              <w:top w:val="single" w:sz="4" w:space="0" w:color="auto"/>
              <w:left w:val="nil"/>
              <w:bottom w:val="nil"/>
              <w:right w:val="nil"/>
            </w:tcBorders>
          </w:tcPr>
          <w:p>
            <w:pPr>
              <w:pStyle w:val="style0"/>
              <w:spacing w:lineRule="auto" w:line="360"/>
              <w:jc w:val="center"/>
              <w:rPr/>
            </w:pPr>
            <w:r>
              <w:rPr>
                <w:noProof/>
              </w:rPr>
              <mc:AlternateContent>
                <mc:Choice Requires="wps">
                  <w:drawing>
                    <wp:anchor distT="0" distB="0" distL="0" distR="0" simplePos="false" relativeHeight="30" behindDoc="false" locked="false" layoutInCell="true" allowOverlap="true">
                      <wp:simplePos x="0" y="0"/>
                      <wp:positionH relativeFrom="column">
                        <wp:posOffset>690437</wp:posOffset>
                      </wp:positionH>
                      <wp:positionV relativeFrom="paragraph">
                        <wp:posOffset>10130</wp:posOffset>
                      </wp:positionV>
                      <wp:extent cx="287079" cy="297505"/>
                      <wp:effectExtent l="38100" t="0" r="17780" b="64770"/>
                      <wp:wrapNone/>
                      <wp:docPr id="1047" name="Прямая со стрелкой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287079" cy="297505"/>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47" type="#_x0000_t32" filled="f" style="position:absolute;margin-left:54.37pt;margin-top:0.8pt;width:22.6pt;height:23.43pt;z-index:30;mso-position-horizontal-relative:text;mso-position-vertical-relative:text;mso-width-relative:page;mso-height-relative:page;mso-wrap-distance-left:0.0pt;mso-wrap-distance-right:0.0pt;visibility:visible;flip:x;">
                      <v:stroke endarrow="block" joinstyle="miter" weight="0.5pt"/>
                      <v:fill/>
                    </v:shape>
                  </w:pict>
                </mc:Fallback>
              </mc:AlternateContent>
            </w:r>
          </w:p>
        </w:tc>
        <w:tc>
          <w:tcPr>
            <w:tcW w:w="1571" w:type="dxa"/>
            <w:gridSpan w:val="3"/>
            <w:tcBorders>
              <w:top w:val="nil"/>
              <w:left w:val="nil"/>
              <w:bottom w:val="nil"/>
              <w:right w:val="nil"/>
            </w:tcBorders>
          </w:tcPr>
          <w:p>
            <w:pPr>
              <w:pStyle w:val="style0"/>
              <w:spacing w:lineRule="auto" w:line="360"/>
              <w:rPr/>
            </w:pPr>
          </w:p>
        </w:tc>
      </w:tr>
      <w:tr>
        <w:tblPrEx/>
        <w:trPr>
          <w:trHeight w:val="495" w:hRule="atLeast"/>
          <w:jc w:val="center"/>
        </w:trPr>
        <w:tc>
          <w:tcPr>
            <w:tcW w:w="1153" w:type="dxa"/>
            <w:gridSpan w:val="2"/>
            <w:vMerge w:val="restart"/>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r>
              <w:t>Сокращение производства и производительности труда</w:t>
            </w:r>
          </w:p>
        </w:tc>
        <w:tc>
          <w:tcPr>
            <w:tcW w:w="490" w:type="dxa"/>
            <w:vMerge w:val="restart"/>
            <w:tcBorders>
              <w:top w:val="nil"/>
              <w:left w:val="single" w:sz="4" w:space="0" w:color="auto"/>
              <w:right w:val="single" w:sz="4" w:space="0" w:color="auto"/>
            </w:tcBorders>
            <w:textDirection w:val="btLr"/>
          </w:tcPr>
          <w:p>
            <w:pPr>
              <w:pStyle w:val="style0"/>
              <w:spacing w:lineRule="auto" w:line="360"/>
              <w:ind w:left="113" w:right="113"/>
              <w:rPr/>
            </w:pPr>
          </w:p>
        </w:tc>
        <w:tc>
          <w:tcPr>
            <w:tcW w:w="1034" w:type="dxa"/>
            <w:gridSpan w:val="2"/>
            <w:vMerge w:val="restart"/>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r>
              <w:t>Монополистическое ценообразование</w:t>
            </w:r>
          </w:p>
        </w:tc>
        <w:tc>
          <w:tcPr>
            <w:tcW w:w="485" w:type="dxa"/>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921" w:type="dxa"/>
            <w:vMerge w:val="restart"/>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r>
              <w:t>Удорожание сырья и полуфабрикатов</w:t>
            </w:r>
          </w:p>
        </w:tc>
        <w:tc>
          <w:tcPr>
            <w:tcW w:w="407" w:type="dxa"/>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1033" w:type="dxa"/>
            <w:vMerge w:val="restart"/>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r>
              <w:t>Внешнеэкономический фактор</w:t>
            </w:r>
          </w:p>
        </w:tc>
        <w:tc>
          <w:tcPr>
            <w:tcW w:w="426" w:type="dxa"/>
            <w:vMerge w:val="restart"/>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1559" w:type="dxa"/>
            <w:gridSpan w:val="2"/>
            <w:vMerge w:val="restart"/>
            <w:tcBorders>
              <w:top w:val="single" w:sz="4" w:space="0" w:color="auto"/>
              <w:left w:val="single" w:sz="4" w:space="0" w:color="auto"/>
              <w:right w:val="single" w:sz="4" w:space="0" w:color="auto"/>
            </w:tcBorders>
            <w:textDirection w:val="btLr"/>
          </w:tcPr>
          <w:p>
            <w:pPr>
              <w:pStyle w:val="style0"/>
              <w:spacing w:lineRule="auto" w:line="360"/>
              <w:ind w:left="113" w:right="113"/>
              <w:rPr/>
            </w:pPr>
            <w:r>
              <w:t>У</w:t>
            </w:r>
            <w:r>
              <w:t>величение заработной платы и других доходов населен</w:t>
            </w:r>
            <w:r>
              <w:t>ия</w:t>
            </w:r>
          </w:p>
        </w:tc>
        <w:tc>
          <w:tcPr>
            <w:tcW w:w="584" w:type="dxa"/>
            <w:vMerge w:val="restart"/>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719" w:type="dxa"/>
            <w:vMerge w:val="restart"/>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r>
              <w:t>Социальный фактор</w:t>
            </w:r>
          </w:p>
          <w:p>
            <w:pPr>
              <w:pStyle w:val="style0"/>
              <w:spacing w:lineRule="auto" w:line="360"/>
              <w:ind w:left="113" w:right="113"/>
              <w:rPr/>
            </w:pPr>
          </w:p>
        </w:tc>
      </w:tr>
      <w:tr>
        <w:tblPrEx/>
        <w:trPr>
          <w:trHeight w:val="143" w:hRule="atLeast"/>
          <w:jc w:val="center"/>
        </w:trPr>
        <w:tc>
          <w:tcPr>
            <w:tcW w:w="1153" w:type="dxa"/>
            <w:gridSpan w:val="2"/>
            <w:vMerge w:val="continue"/>
            <w:tcBorders>
              <w:top w:val="single" w:sz="4" w:space="0" w:color="auto"/>
              <w:left w:val="single" w:sz="4" w:space="0" w:color="auto"/>
              <w:bottom w:val="single" w:sz="4" w:space="0" w:color="auto"/>
              <w:right w:val="single" w:sz="4" w:space="0" w:color="auto"/>
            </w:tcBorders>
          </w:tcPr>
          <w:p>
            <w:pPr>
              <w:pStyle w:val="style0"/>
              <w:spacing w:lineRule="auto" w:line="360"/>
              <w:ind w:left="113" w:right="113"/>
              <w:rPr/>
            </w:pPr>
          </w:p>
        </w:tc>
        <w:tc>
          <w:tcPr>
            <w:tcW w:w="490" w:type="dxa"/>
            <w:vMerge w:val="continue"/>
            <w:tcBorders>
              <w:left w:val="single" w:sz="4" w:space="0" w:color="auto"/>
              <w:right w:val="single" w:sz="4" w:space="0" w:color="auto"/>
            </w:tcBorders>
          </w:tcPr>
          <w:p>
            <w:pPr>
              <w:pStyle w:val="style0"/>
              <w:spacing w:lineRule="auto" w:line="360"/>
              <w:rPr/>
            </w:pPr>
          </w:p>
        </w:tc>
        <w:tc>
          <w:tcPr>
            <w:tcW w:w="1034" w:type="dxa"/>
            <w:gridSpan w:val="2"/>
            <w:vMerge w:val="continue"/>
            <w:tcBorders>
              <w:top w:val="single" w:sz="4" w:space="0" w:color="auto"/>
              <w:left w:val="single" w:sz="4" w:space="0" w:color="auto"/>
              <w:bottom w:val="single" w:sz="4" w:space="0" w:color="auto"/>
              <w:right w:val="single" w:sz="4" w:space="0" w:color="auto"/>
            </w:tcBorders>
          </w:tcPr>
          <w:p>
            <w:pPr>
              <w:pStyle w:val="style0"/>
              <w:spacing w:lineRule="auto" w:line="360"/>
              <w:ind w:left="113" w:right="113"/>
              <w:rPr/>
            </w:pPr>
          </w:p>
        </w:tc>
        <w:tc>
          <w:tcPr>
            <w:tcW w:w="485" w:type="dxa"/>
            <w:tcBorders>
              <w:top w:val="nil"/>
              <w:left w:val="single" w:sz="4" w:space="0" w:color="auto"/>
              <w:bottom w:val="nil"/>
              <w:right w:val="single" w:sz="4" w:space="0" w:color="auto"/>
            </w:tcBorders>
          </w:tcPr>
          <w:p>
            <w:pPr>
              <w:pStyle w:val="style0"/>
              <w:spacing w:lineRule="auto" w:line="360"/>
              <w:rPr/>
            </w:pPr>
          </w:p>
        </w:tc>
        <w:tc>
          <w:tcPr>
            <w:tcW w:w="921" w:type="dxa"/>
            <w:vMerge w:val="continue"/>
            <w:tcBorders>
              <w:top w:val="single" w:sz="4" w:space="0" w:color="auto"/>
              <w:left w:val="single" w:sz="4" w:space="0" w:color="auto"/>
              <w:bottom w:val="single" w:sz="4" w:space="0" w:color="auto"/>
              <w:right w:val="single" w:sz="4" w:space="0" w:color="auto"/>
            </w:tcBorders>
          </w:tcPr>
          <w:p>
            <w:pPr>
              <w:pStyle w:val="style0"/>
              <w:spacing w:lineRule="auto" w:line="360"/>
              <w:rPr/>
            </w:pPr>
          </w:p>
        </w:tc>
        <w:tc>
          <w:tcPr>
            <w:tcW w:w="407" w:type="dxa"/>
            <w:tcBorders>
              <w:top w:val="nil"/>
              <w:left w:val="single" w:sz="4" w:space="0" w:color="auto"/>
              <w:bottom w:val="nil"/>
              <w:right w:val="single" w:sz="4" w:space="0" w:color="auto"/>
            </w:tcBorders>
          </w:tcPr>
          <w:p>
            <w:pPr>
              <w:pStyle w:val="style0"/>
              <w:spacing w:lineRule="auto" w:line="360"/>
              <w:rPr/>
            </w:pPr>
          </w:p>
        </w:tc>
        <w:tc>
          <w:tcPr>
            <w:tcW w:w="1033" w:type="dxa"/>
            <w:vMerge w:val="continue"/>
            <w:tcBorders>
              <w:top w:val="single" w:sz="4" w:space="0" w:color="auto"/>
              <w:left w:val="single" w:sz="4" w:space="0" w:color="auto"/>
              <w:bottom w:val="single" w:sz="4" w:space="0" w:color="auto"/>
              <w:right w:val="single" w:sz="4" w:space="0" w:color="auto"/>
            </w:tcBorders>
          </w:tcPr>
          <w:p>
            <w:pPr>
              <w:pStyle w:val="style0"/>
              <w:spacing w:lineRule="auto" w:line="360"/>
              <w:rPr/>
            </w:pPr>
          </w:p>
        </w:tc>
        <w:tc>
          <w:tcPr>
            <w:tcW w:w="426" w:type="dxa"/>
            <w:vMerge w:val="continue"/>
            <w:tcBorders>
              <w:top w:val="nil"/>
              <w:left w:val="single" w:sz="4" w:space="0" w:color="auto"/>
              <w:bottom w:val="nil"/>
              <w:right w:val="single" w:sz="4" w:space="0" w:color="auto"/>
            </w:tcBorders>
          </w:tcPr>
          <w:p>
            <w:pPr>
              <w:pStyle w:val="style0"/>
              <w:spacing w:lineRule="auto" w:line="360"/>
              <w:rPr/>
            </w:pPr>
          </w:p>
        </w:tc>
        <w:tc>
          <w:tcPr>
            <w:tcW w:w="1559" w:type="dxa"/>
            <w:gridSpan w:val="2"/>
            <w:vMerge w:val="continue"/>
            <w:tcBorders>
              <w:left w:val="single" w:sz="4" w:space="0" w:color="auto"/>
              <w:right w:val="single" w:sz="4" w:space="0" w:color="auto"/>
            </w:tcBorders>
          </w:tcPr>
          <w:p>
            <w:pPr>
              <w:pStyle w:val="style0"/>
              <w:spacing w:lineRule="auto" w:line="360"/>
              <w:rPr/>
            </w:pPr>
          </w:p>
        </w:tc>
        <w:tc>
          <w:tcPr>
            <w:tcW w:w="584" w:type="dxa"/>
            <w:vMerge w:val="continue"/>
            <w:tcBorders>
              <w:top w:val="nil"/>
              <w:left w:val="single" w:sz="4" w:space="0" w:color="auto"/>
              <w:bottom w:val="nil"/>
              <w:right w:val="single" w:sz="4" w:space="0" w:color="auto"/>
            </w:tcBorders>
          </w:tcPr>
          <w:p>
            <w:pPr>
              <w:pStyle w:val="style0"/>
              <w:spacing w:lineRule="auto" w:line="360"/>
              <w:rPr/>
            </w:pPr>
          </w:p>
        </w:tc>
        <w:tc>
          <w:tcPr>
            <w:tcW w:w="719" w:type="dxa"/>
            <w:vMerge w:val="continue"/>
            <w:tcBorders>
              <w:top w:val="single" w:sz="4" w:space="0" w:color="auto"/>
              <w:left w:val="single" w:sz="4" w:space="0" w:color="auto"/>
              <w:bottom w:val="single" w:sz="4" w:space="0" w:color="auto"/>
              <w:right w:val="single" w:sz="4" w:space="0" w:color="auto"/>
            </w:tcBorders>
          </w:tcPr>
          <w:p>
            <w:pPr>
              <w:pStyle w:val="style0"/>
              <w:spacing w:lineRule="auto" w:line="360"/>
              <w:rPr/>
            </w:pPr>
          </w:p>
        </w:tc>
      </w:tr>
      <w:tr>
        <w:tblPrEx/>
        <w:trPr>
          <w:cantSplit/>
          <w:trHeight w:val="1133" w:hRule="atLeast"/>
          <w:jc w:val="center"/>
        </w:trPr>
        <w:tc>
          <w:tcPr>
            <w:tcW w:w="1153" w:type="dxa"/>
            <w:gridSpan w:val="2"/>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90" w:type="dxa"/>
            <w:vMerge w:val="continue"/>
            <w:tcBorders>
              <w:left w:val="single" w:sz="4" w:space="0" w:color="auto"/>
              <w:right w:val="single" w:sz="4" w:space="0" w:color="auto"/>
            </w:tcBorders>
            <w:textDirection w:val="btLr"/>
          </w:tcPr>
          <w:p>
            <w:pPr>
              <w:pStyle w:val="style0"/>
              <w:spacing w:lineRule="auto" w:line="360"/>
              <w:ind w:left="113" w:right="113"/>
              <w:rPr/>
            </w:pPr>
          </w:p>
        </w:tc>
        <w:tc>
          <w:tcPr>
            <w:tcW w:w="1034" w:type="dxa"/>
            <w:gridSpan w:val="2"/>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85" w:type="dxa"/>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921"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07" w:type="dxa"/>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1033"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26" w:type="dxa"/>
            <w:vMerge w:val="continue"/>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1559" w:type="dxa"/>
            <w:gridSpan w:val="2"/>
            <w:vMerge w:val="continue"/>
            <w:tcBorders>
              <w:left w:val="single" w:sz="4" w:space="0" w:color="auto"/>
              <w:right w:val="single" w:sz="4" w:space="0" w:color="auto"/>
            </w:tcBorders>
            <w:textDirection w:val="btLr"/>
          </w:tcPr>
          <w:p>
            <w:pPr>
              <w:pStyle w:val="style0"/>
              <w:spacing w:lineRule="auto" w:line="360"/>
              <w:ind w:left="113" w:right="113"/>
              <w:rPr/>
            </w:pPr>
          </w:p>
        </w:tc>
        <w:tc>
          <w:tcPr>
            <w:tcW w:w="584" w:type="dxa"/>
            <w:vMerge w:val="continue"/>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719"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r>
      <w:tr>
        <w:tblPrEx/>
        <w:trPr>
          <w:cantSplit/>
          <w:trHeight w:val="1133" w:hRule="atLeast"/>
          <w:jc w:val="center"/>
        </w:trPr>
        <w:tc>
          <w:tcPr>
            <w:tcW w:w="1153" w:type="dxa"/>
            <w:gridSpan w:val="2"/>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90" w:type="dxa"/>
            <w:vMerge w:val="continue"/>
            <w:tcBorders>
              <w:left w:val="single" w:sz="4" w:space="0" w:color="auto"/>
              <w:bottom w:val="nil"/>
              <w:right w:val="single" w:sz="4" w:space="0" w:color="auto"/>
            </w:tcBorders>
            <w:textDirection w:val="btLr"/>
          </w:tcPr>
          <w:p>
            <w:pPr>
              <w:pStyle w:val="style0"/>
              <w:spacing w:lineRule="auto" w:line="360"/>
              <w:ind w:left="113" w:right="113"/>
              <w:rPr/>
            </w:pPr>
          </w:p>
        </w:tc>
        <w:tc>
          <w:tcPr>
            <w:tcW w:w="1034" w:type="dxa"/>
            <w:gridSpan w:val="2"/>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85" w:type="dxa"/>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921"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07" w:type="dxa"/>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1033"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26" w:type="dxa"/>
            <w:vMerge w:val="continue"/>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1559" w:type="dxa"/>
            <w:gridSpan w:val="2"/>
            <w:vMerge w:val="continue"/>
            <w:tcBorders>
              <w:left w:val="single" w:sz="4" w:space="0" w:color="auto"/>
              <w:right w:val="single" w:sz="4" w:space="0" w:color="auto"/>
            </w:tcBorders>
            <w:textDirection w:val="btLr"/>
          </w:tcPr>
          <w:p>
            <w:pPr>
              <w:pStyle w:val="style0"/>
              <w:spacing w:lineRule="auto" w:line="360"/>
              <w:ind w:left="113" w:right="113"/>
              <w:rPr/>
            </w:pPr>
          </w:p>
        </w:tc>
        <w:tc>
          <w:tcPr>
            <w:tcW w:w="584" w:type="dxa"/>
            <w:vMerge w:val="continue"/>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719"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r>
      <w:tr>
        <w:tblPrEx/>
        <w:trPr>
          <w:trHeight w:val="76" w:hRule="atLeast"/>
          <w:jc w:val="center"/>
        </w:trPr>
        <w:tc>
          <w:tcPr>
            <w:tcW w:w="1153" w:type="dxa"/>
            <w:gridSpan w:val="2"/>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90" w:type="dxa"/>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1034" w:type="dxa"/>
            <w:gridSpan w:val="2"/>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85" w:type="dxa"/>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921"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07" w:type="dxa"/>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1033"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c>
          <w:tcPr>
            <w:tcW w:w="426" w:type="dxa"/>
            <w:vMerge w:val="continue"/>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1559" w:type="dxa"/>
            <w:gridSpan w:val="2"/>
            <w:vMerge w:val="continue"/>
            <w:tcBorders>
              <w:left w:val="single" w:sz="4" w:space="0" w:color="auto"/>
              <w:right w:val="single" w:sz="4" w:space="0" w:color="auto"/>
            </w:tcBorders>
            <w:textDirection w:val="btLr"/>
          </w:tcPr>
          <w:p>
            <w:pPr>
              <w:pStyle w:val="style0"/>
              <w:spacing w:lineRule="auto" w:line="360"/>
              <w:ind w:left="113" w:right="113"/>
              <w:rPr/>
            </w:pPr>
          </w:p>
        </w:tc>
        <w:tc>
          <w:tcPr>
            <w:tcW w:w="584" w:type="dxa"/>
            <w:vMerge w:val="continue"/>
            <w:tcBorders>
              <w:top w:val="nil"/>
              <w:left w:val="single" w:sz="4" w:space="0" w:color="auto"/>
              <w:bottom w:val="nil"/>
              <w:right w:val="single" w:sz="4" w:space="0" w:color="auto"/>
            </w:tcBorders>
            <w:textDirection w:val="btLr"/>
          </w:tcPr>
          <w:p>
            <w:pPr>
              <w:pStyle w:val="style0"/>
              <w:spacing w:lineRule="auto" w:line="360"/>
              <w:ind w:left="113" w:right="113"/>
              <w:rPr/>
            </w:pPr>
          </w:p>
        </w:tc>
        <w:tc>
          <w:tcPr>
            <w:tcW w:w="719"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lineRule="auto" w:line="360"/>
              <w:ind w:left="113" w:right="113"/>
              <w:rPr/>
            </w:pPr>
          </w:p>
        </w:tc>
      </w:tr>
      <w:tr>
        <w:tblPrEx/>
        <w:trPr>
          <w:trHeight w:val="495" w:hRule="atLeast"/>
          <w:jc w:val="center"/>
        </w:trPr>
        <w:tc>
          <w:tcPr>
            <w:tcW w:w="1153" w:type="dxa"/>
            <w:gridSpan w:val="2"/>
            <w:vMerge w:val="continue"/>
            <w:tcBorders>
              <w:top w:val="single" w:sz="4" w:space="0" w:color="auto"/>
              <w:left w:val="single" w:sz="4" w:space="0" w:color="auto"/>
              <w:bottom w:val="single" w:sz="4" w:space="0" w:color="auto"/>
              <w:right w:val="single" w:sz="4" w:space="0" w:color="auto"/>
            </w:tcBorders>
            <w:textDirection w:val="btLr"/>
          </w:tcPr>
          <w:p>
            <w:pPr>
              <w:pStyle w:val="style0"/>
              <w:spacing w:before="240" w:lineRule="auto" w:line="360"/>
              <w:ind w:left="113" w:right="113"/>
              <w:rPr/>
            </w:pPr>
          </w:p>
        </w:tc>
        <w:tc>
          <w:tcPr>
            <w:tcW w:w="490" w:type="dxa"/>
            <w:tcBorders>
              <w:top w:val="nil"/>
              <w:left w:val="single" w:sz="4" w:space="0" w:color="auto"/>
              <w:bottom w:val="nil"/>
              <w:right w:val="single" w:sz="4" w:space="0" w:color="auto"/>
            </w:tcBorders>
            <w:textDirection w:val="btLr"/>
          </w:tcPr>
          <w:p>
            <w:pPr>
              <w:pStyle w:val="style0"/>
              <w:spacing w:before="240" w:lineRule="auto" w:line="360"/>
              <w:ind w:left="113" w:right="113"/>
              <w:rPr/>
            </w:pPr>
          </w:p>
        </w:tc>
        <w:tc>
          <w:tcPr>
            <w:tcW w:w="1034" w:type="dxa"/>
            <w:gridSpan w:val="2"/>
            <w:vMerge w:val="continue"/>
            <w:tcBorders>
              <w:top w:val="single" w:sz="4" w:space="0" w:color="auto"/>
              <w:left w:val="single" w:sz="4" w:space="0" w:color="auto"/>
              <w:bottom w:val="single" w:sz="4" w:space="0" w:color="auto"/>
              <w:right w:val="single" w:sz="4" w:space="0" w:color="auto"/>
            </w:tcBorders>
            <w:textDirection w:val="btLr"/>
          </w:tcPr>
          <w:p>
            <w:pPr>
              <w:pStyle w:val="style0"/>
              <w:spacing w:before="240" w:lineRule="auto" w:line="360"/>
              <w:ind w:left="113" w:right="113"/>
              <w:rPr/>
            </w:pPr>
          </w:p>
        </w:tc>
        <w:tc>
          <w:tcPr>
            <w:tcW w:w="485" w:type="dxa"/>
            <w:tcBorders>
              <w:top w:val="nil"/>
              <w:left w:val="single" w:sz="4" w:space="0" w:color="auto"/>
              <w:bottom w:val="nil"/>
              <w:right w:val="single" w:sz="4" w:space="0" w:color="auto"/>
            </w:tcBorders>
            <w:textDirection w:val="btLr"/>
          </w:tcPr>
          <w:p>
            <w:pPr>
              <w:pStyle w:val="style0"/>
              <w:spacing w:before="240" w:lineRule="auto" w:line="360"/>
              <w:ind w:left="113" w:right="113"/>
              <w:rPr/>
            </w:pPr>
          </w:p>
        </w:tc>
        <w:tc>
          <w:tcPr>
            <w:tcW w:w="921"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before="240" w:lineRule="auto" w:line="360"/>
              <w:ind w:left="113" w:right="113"/>
              <w:rPr/>
            </w:pPr>
          </w:p>
        </w:tc>
        <w:tc>
          <w:tcPr>
            <w:tcW w:w="407" w:type="dxa"/>
            <w:tcBorders>
              <w:top w:val="nil"/>
              <w:left w:val="single" w:sz="4" w:space="0" w:color="auto"/>
              <w:bottom w:val="nil"/>
              <w:right w:val="single" w:sz="4" w:space="0" w:color="auto"/>
            </w:tcBorders>
            <w:textDirection w:val="btLr"/>
          </w:tcPr>
          <w:p>
            <w:pPr>
              <w:pStyle w:val="style0"/>
              <w:spacing w:before="240" w:lineRule="auto" w:line="360"/>
              <w:ind w:left="113" w:right="113"/>
              <w:rPr/>
            </w:pPr>
          </w:p>
        </w:tc>
        <w:tc>
          <w:tcPr>
            <w:tcW w:w="1033"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before="240" w:lineRule="auto" w:line="360"/>
              <w:ind w:left="113" w:right="113"/>
              <w:rPr/>
            </w:pPr>
          </w:p>
        </w:tc>
        <w:tc>
          <w:tcPr>
            <w:tcW w:w="426" w:type="dxa"/>
            <w:vMerge w:val="continue"/>
            <w:tcBorders>
              <w:top w:val="nil"/>
              <w:left w:val="single" w:sz="4" w:space="0" w:color="auto"/>
              <w:bottom w:val="nil"/>
              <w:right w:val="single" w:sz="4" w:space="0" w:color="auto"/>
            </w:tcBorders>
            <w:textDirection w:val="btLr"/>
          </w:tcPr>
          <w:p>
            <w:pPr>
              <w:pStyle w:val="style0"/>
              <w:spacing w:before="240" w:lineRule="auto" w:line="360"/>
              <w:ind w:left="113" w:right="113"/>
              <w:rPr/>
            </w:pPr>
          </w:p>
        </w:tc>
        <w:tc>
          <w:tcPr>
            <w:tcW w:w="1559" w:type="dxa"/>
            <w:gridSpan w:val="2"/>
            <w:vMerge w:val="continue"/>
            <w:tcBorders>
              <w:left w:val="single" w:sz="4" w:space="0" w:color="auto"/>
              <w:bottom w:val="single" w:sz="4" w:space="0" w:color="auto"/>
              <w:right w:val="single" w:sz="4" w:space="0" w:color="auto"/>
            </w:tcBorders>
            <w:textDirection w:val="btLr"/>
          </w:tcPr>
          <w:p>
            <w:pPr>
              <w:pStyle w:val="style0"/>
              <w:spacing w:before="240" w:lineRule="auto" w:line="360"/>
              <w:ind w:left="113" w:right="113"/>
              <w:rPr/>
            </w:pPr>
          </w:p>
        </w:tc>
        <w:tc>
          <w:tcPr>
            <w:tcW w:w="584" w:type="dxa"/>
            <w:vMerge w:val="continue"/>
            <w:tcBorders>
              <w:top w:val="nil"/>
              <w:left w:val="single" w:sz="4" w:space="0" w:color="auto"/>
              <w:bottom w:val="nil"/>
              <w:right w:val="single" w:sz="4" w:space="0" w:color="auto"/>
            </w:tcBorders>
            <w:textDirection w:val="btLr"/>
          </w:tcPr>
          <w:p>
            <w:pPr>
              <w:pStyle w:val="style0"/>
              <w:spacing w:before="240" w:lineRule="auto" w:line="360"/>
              <w:ind w:left="113" w:right="113"/>
              <w:rPr/>
            </w:pPr>
          </w:p>
        </w:tc>
        <w:tc>
          <w:tcPr>
            <w:tcW w:w="719" w:type="dxa"/>
            <w:vMerge w:val="continue"/>
            <w:tcBorders>
              <w:top w:val="single" w:sz="4" w:space="0" w:color="auto"/>
              <w:left w:val="single" w:sz="4" w:space="0" w:color="auto"/>
              <w:bottom w:val="single" w:sz="4" w:space="0" w:color="auto"/>
              <w:right w:val="single" w:sz="4" w:space="0" w:color="auto"/>
            </w:tcBorders>
            <w:textDirection w:val="btLr"/>
          </w:tcPr>
          <w:p>
            <w:pPr>
              <w:pStyle w:val="style0"/>
              <w:spacing w:before="240" w:lineRule="auto" w:line="360"/>
              <w:ind w:left="113" w:right="113"/>
              <w:rPr/>
            </w:pPr>
          </w:p>
        </w:tc>
      </w:tr>
    </w:tbl>
    <w:p>
      <w:pPr>
        <w:pStyle w:val="style0"/>
        <w:spacing w:before="240" w:lineRule="auto" w:line="360"/>
        <w:jc w:val="center"/>
        <w:rPr/>
      </w:pPr>
      <w:r>
        <w:t xml:space="preserve">Рисунок </w:t>
      </w:r>
      <w:r>
        <w:t>9</w:t>
      </w:r>
      <w:r>
        <w:t xml:space="preserve"> – Основные факторы инфляции предложения</w:t>
      </w:r>
    </w:p>
    <w:p>
      <w:pPr>
        <w:pStyle w:val="style0"/>
        <w:spacing w:lineRule="auto" w:line="360"/>
        <w:ind w:firstLine="709"/>
        <w:jc w:val="both"/>
        <w:rPr/>
      </w:pPr>
      <w:r>
        <w:t>- сокращение производства и темпов роста производительности труда - вызывается экономическим кризисом и ухудшением общих условий воспроизводства. В 1970 – 1980-е гг. этот фактор сыгр</w:t>
      </w:r>
      <w:r>
        <w:t xml:space="preserve">ал в экономике промышленно развитых стран мира решающую роль. В России в перестроечный период этот фактор был типичным явлением; </w:t>
      </w:r>
      <w:r>
        <w:t>[</w:t>
      </w:r>
      <w:r>
        <w:t>4. с.46</w:t>
      </w:r>
      <w:r>
        <w:t>]</w:t>
      </w:r>
    </w:p>
    <w:p>
      <w:pPr>
        <w:pStyle w:val="style0"/>
        <w:spacing w:after="0" w:lineRule="auto" w:line="360"/>
        <w:ind w:firstLine="709"/>
        <w:jc w:val="both"/>
        <w:rPr/>
      </w:pPr>
      <w:r>
        <w:t>Аналитики прогнозировали определенный скачок безработицы на конец 2022 года (вырастет до 6,5%), затем планомерное сни</w:t>
      </w:r>
      <w:r>
        <w:t>жение в 2023 – 2025 годах до уровня 4,9% к концу 2025 года.  Рынок труда в России быстро оправился от пандемии 2020-2021 годов. Уровень безработицы в России в 2021 году составлял 3 630.5 тыс. чел или 4.83% от трудоспособного населения. Уменьшение по сравне</w:t>
      </w:r>
      <w:r>
        <w:t>нию с предыдущим периодом составило – 690.8 тыс. чел.</w:t>
      </w:r>
      <w:r>
        <w:t xml:space="preserve"> </w:t>
      </w:r>
      <w:r>
        <w:t>По итогу, прогноз аналитиков не сбылся, количество вакансий к началу 2022 года выросло от показателей января 2019 года более чем на 100%, а количество размещенных резюме – 40%. Уровень безработицы в Рос</w:t>
      </w:r>
      <w:r>
        <w:t>сии на июль – сентябрь 2022 составлял 2 880.8 тыс. чел. или 3.84% от трудоспособного населения.</w:t>
      </w:r>
      <w:r>
        <w:t xml:space="preserve"> (рис.</w:t>
      </w:r>
      <w:r>
        <w:t>10</w:t>
      </w:r>
      <w:r>
        <w:t>)</w:t>
      </w:r>
      <w:bookmarkStart w:id="12" w:name="_Hlk122182061"/>
    </w:p>
    <w:bookmarkEnd w:id="12"/>
    <w:p>
      <w:pPr>
        <w:pStyle w:val="style0"/>
        <w:spacing w:after="0" w:lineRule="auto" w:line="360"/>
        <w:jc w:val="right"/>
        <w:rPr/>
      </w:pPr>
    </w:p>
    <w:p>
      <w:pPr>
        <w:pStyle w:val="style0"/>
        <w:spacing w:after="0" w:lineRule="auto" w:line="360"/>
        <w:jc w:val="right"/>
        <w:rPr/>
      </w:pPr>
      <w:r>
        <w:rPr>
          <w:noProof/>
        </w:rPr>
        <w:drawing>
          <wp:inline distL="0" distT="0" distB="0" distR="0">
            <wp:extent cx="5695486" cy="2689860"/>
            <wp:effectExtent l="0" t="0" r="635" b="0"/>
            <wp:docPr id="1048" name="Рисунок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36"/>
                    <pic:cNvPicPr/>
                  </pic:nvPicPr>
                  <pic:blipFill>
                    <a:blip r:embed="rId12" cstate="print"/>
                    <a:srcRect l="0" t="0" r="0" b="0"/>
                    <a:stretch/>
                  </pic:blipFill>
                  <pic:spPr>
                    <a:xfrm rot="0">
                      <a:off x="0" y="0"/>
                      <a:ext cx="5695486" cy="2689860"/>
                    </a:xfrm>
                    <a:prstGeom prst="rect"/>
                  </pic:spPr>
                </pic:pic>
              </a:graphicData>
            </a:graphic>
          </wp:inline>
        </w:drawing>
      </w:r>
    </w:p>
    <w:p>
      <w:pPr>
        <w:pStyle w:val="style0"/>
        <w:spacing w:after="0" w:lineRule="auto" w:line="360"/>
        <w:ind w:firstLine="709"/>
        <w:jc w:val="center"/>
        <w:rPr/>
      </w:pPr>
      <w:r>
        <w:t>Рисунок 10 – Динамика изменения уровня безработицы в России с 2000 до 2021 года</w:t>
      </w:r>
    </w:p>
    <w:p>
      <w:pPr>
        <w:pStyle w:val="style0"/>
        <w:spacing w:after="0" w:lineRule="auto" w:line="360"/>
        <w:ind w:firstLine="709"/>
        <w:jc w:val="both"/>
        <w:rPr/>
      </w:pPr>
      <w:r>
        <w:t xml:space="preserve">Нынешняя ситуация на рынке труда России достаточно </w:t>
      </w:r>
      <w:r>
        <w:t>стабильная, уровень безработицы составляет 3,9%, рассказал президент России Владимир Путин на совещании по вопросам поддержки доходов семей с детьми.</w:t>
      </w:r>
      <w:r>
        <w:t xml:space="preserve"> </w:t>
      </w:r>
    </w:p>
    <w:p>
      <w:pPr>
        <w:pStyle w:val="style0"/>
        <w:spacing w:after="0" w:lineRule="auto" w:line="360"/>
        <w:ind w:firstLine="709"/>
        <w:jc w:val="both"/>
        <w:rPr/>
      </w:pPr>
      <w:r>
        <w:t>С начала СВО в феврале 2022 года рынок труда к сентябрю также восстановился и даже вырос (рис.</w:t>
      </w:r>
      <w:r>
        <w:t>11</w:t>
      </w:r>
      <w:r>
        <w:t>). В октя</w:t>
      </w:r>
      <w:r>
        <w:t>бре-ноябре также наблюдается рост числа вакансий. Но причина роста — призыв сотрудников, хотя в масштабах всей страны его показатель составил всего на 4-5% от уровня, что не критично для экономики. Женщин стали приглашать на работу больше, но это также вли</w:t>
      </w:r>
      <w:r>
        <w:t xml:space="preserve">яние того, что мужчины стали менее доступны. В частности, больше женщин работодатели стали нанимать в традиционно мужских отраслях — транспорт и логистика, добыча, строительство. </w:t>
      </w:r>
      <w:r>
        <w:t>[</w:t>
      </w:r>
      <w:r>
        <w:t>23</w:t>
      </w:r>
      <w:r>
        <w:t>]</w:t>
      </w:r>
    </w:p>
    <w:p>
      <w:pPr>
        <w:pStyle w:val="style0"/>
        <w:spacing w:after="0" w:lineRule="auto" w:line="360"/>
        <w:jc w:val="both"/>
        <w:rPr/>
      </w:pPr>
      <w:r>
        <w:rPr>
          <w:noProof/>
        </w:rPr>
        <w:drawing>
          <wp:inline distL="0" distT="0" distB="0" distR="0">
            <wp:extent cx="5911913" cy="2208530"/>
            <wp:effectExtent l="0" t="0" r="0" b="1270"/>
            <wp:docPr id="1049" name="Рисунок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38"/>
                    <pic:cNvPicPr/>
                  </pic:nvPicPr>
                  <pic:blipFill>
                    <a:blip r:embed="rId13" cstate="print"/>
                    <a:srcRect l="0" t="0" r="0" b="0"/>
                    <a:stretch/>
                  </pic:blipFill>
                  <pic:spPr>
                    <a:xfrm rot="0">
                      <a:off x="0" y="0"/>
                      <a:ext cx="5911913" cy="2208530"/>
                    </a:xfrm>
                    <a:prstGeom prst="rect"/>
                  </pic:spPr>
                </pic:pic>
              </a:graphicData>
            </a:graphic>
          </wp:inline>
        </w:drawing>
      </w:r>
    </w:p>
    <w:p>
      <w:pPr>
        <w:pStyle w:val="style0"/>
        <w:spacing w:after="0" w:lineRule="auto" w:line="360"/>
        <w:ind w:firstLine="709"/>
        <w:jc w:val="center"/>
        <w:rPr/>
      </w:pPr>
      <w:r>
        <w:t xml:space="preserve">Рисунок 11 – Уровень безработицы в текущем году по месяцам (в среднем за 3 месяца) </w:t>
      </w:r>
      <w:r>
        <w:t>[</w:t>
      </w:r>
      <w:r>
        <w:t>24</w:t>
      </w:r>
      <w:r>
        <w:t>]</w:t>
      </w:r>
    </w:p>
    <w:p>
      <w:pPr>
        <w:pStyle w:val="style0"/>
        <w:spacing w:after="0" w:lineRule="auto" w:line="360"/>
        <w:ind w:firstLine="709"/>
        <w:jc w:val="both"/>
        <w:rPr/>
      </w:pPr>
      <w:r>
        <w:t xml:space="preserve">Исходя из рисунка х, с ноября 2020 года уровень безработицы постепенно снижался, в сентябре – ноябре 2021 уровень безработицы снизился вдвое, а уровень инфляции по данным Банка России увеличился почти вдвое по сравнению с </w:t>
      </w:r>
      <w:r>
        <w:t>предыдущим годом с 4,42% до 8,40%. По этим данным можно сделать вывод о том, что с увеличением уровня инфляции значения безработицы снижаются.</w:t>
      </w:r>
    </w:p>
    <w:p>
      <w:pPr>
        <w:pStyle w:val="style0"/>
        <w:spacing w:after="0" w:lineRule="auto" w:line="360"/>
        <w:ind w:firstLine="709"/>
        <w:jc w:val="both"/>
        <w:rPr/>
      </w:pPr>
      <w:r>
        <w:t>- психологический фактор – благодаря данному фактору цены изменяются под влиянием инфляционных ожиданий;</w:t>
      </w:r>
    </w:p>
    <w:p>
      <w:pPr>
        <w:pStyle w:val="style0"/>
        <w:spacing w:after="0" w:lineRule="auto" w:line="360"/>
        <w:ind w:firstLine="709"/>
        <w:jc w:val="both"/>
        <w:rPr/>
      </w:pPr>
      <w:r>
        <w:t>По данны</w:t>
      </w:r>
      <w:r>
        <w:t>м опроса ООО "инФом", в августе медианная оценка инфляционных ожиданий населения на ближайшие 12 месяцев составило 12, 0% (+1.2 п.п. к июлю, -0.4к июню). Инфляционные ожидания в августе выросли только в подгруппе респондентов без</w:t>
      </w:r>
      <w:r>
        <w:t xml:space="preserve"> с</w:t>
      </w:r>
      <w:r>
        <w:t>бережений, причём наиболе</w:t>
      </w:r>
      <w:r>
        <w:t>е сильное — у респондентов с самыми низкими доходами. В последнем месяце оценки ожидаемой инфляции у респондентов без сбережения остаются волатильными, с мая они колеблются в широком диапазоне 11 — 14,5% без выраженного тренда. У респондентов со сбережения</w:t>
      </w:r>
      <w:r>
        <w:t>ми инфляционные ожидания в августе продолжили снижаться пятый месяц подряд, опустившись к 9, 8%.</w:t>
      </w:r>
    </w:p>
    <w:p>
      <w:pPr>
        <w:pStyle w:val="style0"/>
        <w:spacing w:after="0" w:lineRule="auto" w:line="360"/>
        <w:ind w:firstLine="709"/>
        <w:jc w:val="both"/>
        <w:rPr/>
      </w:pPr>
      <w:r>
        <w:t>Наблюдаемое населением годовая инфляция в августе снизилась её медианная оценка составила 20, 5% (-1.7 п.п. к июлю). Изменение оценок наблюдаемой инфляции было</w:t>
      </w:r>
      <w:r>
        <w:t xml:space="preserve"> однонаправленным у респондентов как со сбережениями, так и без сбережений. Уменьшение оценок наблюдаемой инфляции происходила на фоне продолжавшегося снижения беспокойности респондентов ростом цен на большинство продовольственных товаров. Замедление роста</w:t>
      </w:r>
      <w:r>
        <w:t xml:space="preserve"> или снижение цен на многие продукты питания фиксируются ростатом в последние месяцы. В августе отмечалось повышение обеспокоенности корреспондентов ростом цен на жилищно-коммунальные </w:t>
      </w:r>
      <w:r>
        <w:t>услуги — из-за несколько более сильного, чем в предыдущие годы, июльског</w:t>
      </w:r>
      <w:r>
        <w:t>о повышения тарифов.</w:t>
      </w:r>
      <w:r>
        <w:t xml:space="preserve"> (рис.12)</w:t>
      </w:r>
    </w:p>
    <w:p>
      <w:pPr>
        <w:pStyle w:val="style0"/>
        <w:rPr/>
      </w:pPr>
      <w:r>
        <w:rPr>
          <w:noProof/>
        </w:rPr>
        <mc:AlternateContent>
          <mc:Choice Requires="wps">
            <w:drawing>
              <wp:anchor distT="0" distB="0" distL="0" distR="0" simplePos="false" relativeHeight="37" behindDoc="false" locked="false" layoutInCell="true" allowOverlap="true">
                <wp:simplePos x="0" y="0"/>
                <wp:positionH relativeFrom="column">
                  <wp:posOffset>4881245</wp:posOffset>
                </wp:positionH>
                <wp:positionV relativeFrom="paragraph">
                  <wp:posOffset>114934</wp:posOffset>
                </wp:positionV>
                <wp:extent cx="887729" cy="143510"/>
                <wp:effectExtent l="0" t="76200" r="0" b="66040"/>
                <wp:wrapNone/>
                <wp:docPr id="1050" name="Рукописный ввод 10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4">
                      <w14:xfrm rot="0">
                        <a:off x="0" y="0"/>
                        <a:ext cx="887729" cy="143510"/>
                      </w14:xfrm>
                    </w14:contentPart>
                  </a:graphicData>
                </a:graphic>
              </wp:anchor>
            </w:drawing>
          </mc:Choice>
          <mc:Fallback>
            <w:pict>
              <v:shape id="1050" filled="f" stroked="t" style="position:absolute;margin-left:384.35pt;margin-top:9.05pt;width:69.9pt;height:11.3pt;z-index:37;mso-position-horizontal-relative:text;mso-position-vertical-relative:text;mso-width-relative:page;mso-height-relative:page;mso-wrap-distance-left:0.0pt;mso-wrap-distance-right:0.0pt;visibility:visible;">
                <v:stroke color="white" weight="59.53pt"/>
                <v:fill/>
                <o:ink i="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"/>
              </v:shape>
            </w:pict>
          </mc:Fallback>
        </mc:AlternateContent>
      </w:r>
      <w:r>
        <w:rPr>
          <w:noProof/>
        </w:rPr>
        <mc:AlternateContent>
          <mc:Choice Requires="wps">
            <w:drawing>
              <wp:anchor distT="0" distB="0" distL="0" distR="0" simplePos="false" relativeHeight="36" behindDoc="false" locked="false" layoutInCell="true" allowOverlap="true">
                <wp:simplePos x="0" y="0"/>
                <wp:positionH relativeFrom="column">
                  <wp:posOffset>5072578</wp:posOffset>
                </wp:positionH>
                <wp:positionV relativeFrom="paragraph">
                  <wp:posOffset>91084</wp:posOffset>
                </wp:positionV>
                <wp:extent cx="660239" cy="186120"/>
                <wp:effectExtent l="38100" t="76200" r="26035" b="61594"/>
                <wp:wrapNone/>
                <wp:docPr id="1051" name="Рукописный ввод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5">
                      <w14:xfrm rot="0">
                        <a:off x="0" y="0"/>
                        <a:ext cx="660239" cy="186120"/>
                      </w14:xfrm>
                    </w14:contentPart>
                  </a:graphicData>
                </a:graphic>
              </wp:anchor>
            </w:drawing>
          </mc:Choice>
          <mc:Fallback>
            <w:pict>
              <v:shape id="1051" filled="f" stroked="t" style="position:absolute;margin-left:399.42pt;margin-top:7.17pt;width:51.99pt;height:14.66pt;z-index:36;mso-position-horizontal-relative:text;mso-position-vertical-relative:text;mso-width-relative:page;mso-height-relative:page;mso-wrap-distance-left:0.0pt;mso-wrap-distance-right:0.0pt;visibility:visible;">
                <v:stroke color="white" weight="59.53pt"/>
                <v:fill/>
                <o:ink i="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"/>
              </v:shape>
            </w:pict>
          </mc:Fallback>
        </mc:AlternateContent>
      </w:r>
      <w:r>
        <w:rPr>
          <w:noProof/>
        </w:rPr>
        <w:drawing>
          <wp:inline distL="0" distT="0" distB="0" distR="0">
            <wp:extent cx="5724397" cy="2292985"/>
            <wp:effectExtent l="0" t="0" r="0" b="0"/>
            <wp:docPr id="105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6" cstate="print"/>
                    <a:srcRect l="1221" t="70559" r="52472" b="8199"/>
                    <a:stretch/>
                  </pic:blipFill>
                  <pic:spPr>
                    <a:xfrm rot="0">
                      <a:off x="0" y="0"/>
                      <a:ext cx="5724397" cy="2292985"/>
                    </a:xfrm>
                    <a:prstGeom prst="rect"/>
                    <a:ln>
                      <a:noFill/>
                    </a:ln>
                  </pic:spPr>
                </pic:pic>
              </a:graphicData>
            </a:graphic>
          </wp:inline>
        </w:drawing>
      </w:r>
      <w:r>
        <w:rPr>
          <w:noProof/>
        </w:rPr>
        <mc:AlternateContent>
          <mc:Choice Requires="wps">
            <w:drawing>
              <wp:anchor distT="0" distB="0" distL="0" distR="0" simplePos="false" relativeHeight="35" behindDoc="false" locked="false" layoutInCell="true" allowOverlap="true">
                <wp:simplePos x="0" y="0"/>
                <wp:positionH relativeFrom="column">
                  <wp:posOffset>2570218</wp:posOffset>
                </wp:positionH>
                <wp:positionV relativeFrom="paragraph">
                  <wp:posOffset>79330</wp:posOffset>
                </wp:positionV>
                <wp:extent cx="437759" cy="88200"/>
                <wp:effectExtent l="114300" t="209550" r="153035" b="236220"/>
                <wp:wrapNone/>
                <wp:docPr id="1053" name="Рукописный ввод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7">
                      <w14:xfrm rot="0">
                        <a:off x="0" y="0"/>
                        <a:ext cx="437759" cy="88200"/>
                      </w14:xfrm>
                    </w14:contentPart>
                  </a:graphicData>
                </a:graphic>
              </wp:anchor>
            </w:drawing>
          </mc:Choice>
          <mc:Fallback>
            <w:pict>
              <v:shape id="1053" filled="f" stroked="t" style="position:absolute;margin-left:202.38pt;margin-top:6.25pt;width:34.47pt;height:6.94pt;z-index:35;mso-position-horizontal-relative:text;mso-position-vertical-relative:text;mso-width-relative:page;mso-height-relative:page;mso-wrap-distance-left:0.0pt;mso-wrap-distance-right:0.0pt;visibility:visible;">
                <v:stroke color="white" opacity="21845f" weight="28.35pt"/>
                <v:fill/>
                <o:ink i="AH4dBOQCmAQCFxZIEUT///8HRfQDRwFXCQAAAEboB1AAFQAAgD8AAIA/AAAAAAAAAAAKTBeD/Ddf&#10;hWfwf34N1HzB+Cn+GvwfO/wi3zd8gfK/5PT8m38A+3+K38P8Nt9qAIP8Ft+DT+RfkrGMehv4Y+Cf&#10;b59fI+dfnKL+VfjD3pA=&#10;"/>
              </v:shape>
            </w:pict>
          </mc:Fallback>
        </mc:AlternateContent>
      </w:r>
      <w:r>
        <w:rPr>
          <w:noProof/>
        </w:rPr>
        <mc:AlternateContent>
          <mc:Choice Requires="wps">
            <w:drawing>
              <wp:anchor distT="0" distB="0" distL="0" distR="0" simplePos="false" relativeHeight="34" behindDoc="false" locked="false" layoutInCell="true" allowOverlap="true">
                <wp:simplePos x="0" y="0"/>
                <wp:positionH relativeFrom="column">
                  <wp:posOffset>2611258</wp:posOffset>
                </wp:positionH>
                <wp:positionV relativeFrom="paragraph">
                  <wp:posOffset>167170</wp:posOffset>
                </wp:positionV>
                <wp:extent cx="176759" cy="359"/>
                <wp:effectExtent l="114300" t="209550" r="147320" b="247650"/>
                <wp:wrapNone/>
                <wp:docPr id="1054" name="Рукописный ввод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8">
                      <w14:xfrm rot="0">
                        <a:off x="0" y="0"/>
                        <a:ext cx="176759" cy="359"/>
                      </w14:xfrm>
                    </w14:contentPart>
                  </a:graphicData>
                </a:graphic>
              </wp:anchor>
            </w:drawing>
          </mc:Choice>
          <mc:Fallback>
            <w:pict>
              <v:shape id="1054" filled="f" stroked="t" style="position:absolute;margin-left:205.61pt;margin-top:13.16pt;width:13.92pt;height:0.03pt;z-index:34;mso-position-horizontal-relative:text;mso-position-vertical-relative:text;mso-width-relative:page;mso-height-relative:page;mso-wrap-distance-left:0.0pt;mso-wrap-distance-right:0.0pt;visibility:visible;">
                <v:stroke color="white" opacity="21845f" weight="28.35pt"/>
                <v:fill/>
                <o:ink i="AD8dBOQCmAQCFxZIEUT///8HRfQDRwFXCQAAAEboB1AAFQAAgD8AAIA/AAAAAAAAAAAKDQSD+zPw&#10;VH5Xv8VkgwA=&#10;"/>
              </v:shape>
            </w:pict>
          </mc:Fallback>
        </mc:AlternateContent>
      </w:r>
    </w:p>
    <w:p>
      <w:pPr>
        <w:pStyle w:val="style0"/>
        <w:spacing w:after="0" w:lineRule="auto" w:line="360"/>
        <w:ind w:firstLine="709"/>
        <w:jc w:val="center"/>
        <w:rPr/>
      </w:pPr>
      <w:r>
        <w:t>Рисунок 12 – Ожидаемая и наблюдаемая инфляция по подгруппам респондентов</w:t>
      </w:r>
    </w:p>
    <w:p>
      <w:pPr>
        <w:pStyle w:val="style0"/>
        <w:spacing w:after="0" w:lineRule="auto" w:line="360"/>
        <w:ind w:firstLine="709"/>
        <w:jc w:val="both"/>
        <w:rPr/>
      </w:pPr>
      <w:r>
        <w:t>Значение балансов ответов на вопросы о качественном изменении будущей инфляции на месяц и год вперёд в августе увеличилось. Качественные оценки инф</w:t>
      </w:r>
      <w:r>
        <w:t>ляции за прошедший месяц снизились, за прошедший год — почти не изменились.</w:t>
      </w:r>
    </w:p>
    <w:p>
      <w:pPr>
        <w:pStyle w:val="style0"/>
        <w:spacing w:after="0" w:lineRule="auto" w:line="360"/>
        <w:ind w:firstLine="709"/>
        <w:jc w:val="both"/>
        <w:rPr/>
      </w:pPr>
      <w:r>
        <w:t>Долгосрочная инфляционные ожидания населения в августе 2022 г. немного выросли, но оставались заметно ниже уровней второй половины 2021 г. и начала 2022 г. Доля респондентов, счита</w:t>
      </w:r>
      <w:r>
        <w:t>ющих, что через 3 года рост цен будет заметно выше 4%, составила 49% (+2 п.п. к июлю, -8 п.п. к февралю 2022 г.). Для обобщения и визуализации данных, рассмотренных выше, а также сравнения их с уровнем инфляции, посмотрим на рис.</w:t>
      </w:r>
      <w:r>
        <w:t>1</w:t>
      </w:r>
      <w:r>
        <w:t>3</w:t>
      </w:r>
      <w:r>
        <w:t>.</w:t>
      </w:r>
    </w:p>
    <w:p>
      <w:pPr>
        <w:pStyle w:val="style0"/>
        <w:spacing w:after="0" w:lineRule="auto" w:line="360"/>
        <w:jc w:val="both"/>
        <w:rPr/>
      </w:pPr>
      <w:r>
        <w:rPr>
          <w:noProof/>
        </w:rPr>
        <w:drawing>
          <wp:inline distL="0" distT="0" distB="0" distR="0">
            <wp:extent cx="6138250" cy="2353310"/>
            <wp:effectExtent l="0" t="0" r="0" b="8890"/>
            <wp:docPr id="105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6" cstate="print"/>
                    <a:srcRect l="48930" t="70820" r="4671" b="8823"/>
                    <a:stretch/>
                  </pic:blipFill>
                  <pic:spPr>
                    <a:xfrm rot="0">
                      <a:off x="0" y="0"/>
                      <a:ext cx="6138250" cy="2353310"/>
                    </a:xfrm>
                    <a:prstGeom prst="rect"/>
                    <a:ln>
                      <a:noFill/>
                    </a:ln>
                  </pic:spPr>
                </pic:pic>
              </a:graphicData>
            </a:graphic>
          </wp:inline>
        </w:drawing>
      </w:r>
    </w:p>
    <w:p>
      <w:pPr>
        <w:pStyle w:val="style0"/>
        <w:spacing w:after="0" w:lineRule="auto" w:line="360"/>
        <w:ind w:firstLine="709"/>
        <w:jc w:val="center"/>
        <w:rPr/>
      </w:pPr>
      <w:r>
        <w:t>Рисунок 1</w:t>
      </w:r>
      <w:r>
        <w:t>3</w:t>
      </w:r>
      <w:r>
        <w:t xml:space="preserve"> </w:t>
      </w:r>
      <w:r>
        <w:t>–</w:t>
      </w:r>
      <w:r>
        <w:t xml:space="preserve"> </w:t>
      </w:r>
      <w:r>
        <w:t>Индикаторы динамики цен в период с 2018 по 2022 год</w:t>
      </w:r>
    </w:p>
    <w:p>
      <w:pPr>
        <w:pStyle w:val="style0"/>
        <w:spacing w:after="0" w:lineRule="auto" w:line="360"/>
        <w:ind w:firstLine="709"/>
        <w:jc w:val="both"/>
        <w:rPr/>
      </w:pPr>
      <w:r>
        <w:t>- увеличение заработной платы и других доходов населения, темпами, опережающими при проведении рост производительности при индексации доходов для основной массы;</w:t>
      </w:r>
    </w:p>
    <w:p>
      <w:pPr>
        <w:pStyle w:val="style0"/>
        <w:spacing w:after="0" w:lineRule="auto" w:line="360"/>
        <w:ind w:firstLine="709"/>
        <w:jc w:val="both"/>
        <w:rPr/>
      </w:pPr>
      <w:r>
        <w:t xml:space="preserve">Касаемо зарплат, глава государства отметил, что в </w:t>
      </w:r>
      <w:r>
        <w:t xml:space="preserve">номинале за восемь месяцев текущего года среднемесячная зарплата в целом по стране выросла на 12,7%. </w:t>
      </w:r>
      <w:bookmarkStart w:id="13" w:name="_Hlk122182257"/>
      <w:r>
        <w:t>[</w:t>
      </w:r>
      <w:r>
        <w:t>25</w:t>
      </w:r>
      <w:r>
        <w:t>]</w:t>
      </w:r>
    </w:p>
    <w:bookmarkEnd w:id="13"/>
    <w:p>
      <w:pPr>
        <w:pStyle w:val="style0"/>
        <w:tabs>
          <w:tab w:val="left" w:leader="none" w:pos="2073"/>
        </w:tabs>
        <w:spacing w:after="0" w:lineRule="auto" w:line="360"/>
        <w:ind w:firstLine="709"/>
        <w:jc w:val="both"/>
        <w:rPr/>
      </w:pPr>
      <w:r>
        <w:t xml:space="preserve">Одним из важных аспектов в контексте антиинфляционной политики является исследование взаимосвязи инфляции и заработной платы. Взаимосвязь </w:t>
      </w:r>
      <w:r>
        <w:t>инфляции с номинальной и реальной заработной платой – два аспекта единой проблемы. Однако каждый из них имеет свою сферу действия.</w:t>
      </w:r>
    </w:p>
    <w:p>
      <w:pPr>
        <w:pStyle w:val="style0"/>
        <w:tabs>
          <w:tab w:val="left" w:leader="none" w:pos="2073"/>
        </w:tabs>
        <w:spacing w:after="0" w:lineRule="auto" w:line="360"/>
        <w:ind w:firstLine="709"/>
        <w:jc w:val="both"/>
        <w:rPr/>
      </w:pPr>
      <w:r>
        <w:t>Номинальная заработная плата – один из факторов, который надо учитывать с точки зрения его воздействия на инфляционный процес</w:t>
      </w:r>
      <w:r>
        <w:t>с, уровня и путей его воздействия.</w:t>
      </w:r>
    </w:p>
    <w:p>
      <w:pPr>
        <w:pStyle w:val="style0"/>
        <w:tabs>
          <w:tab w:val="left" w:leader="none" w:pos="2073"/>
        </w:tabs>
        <w:spacing w:after="0" w:lineRule="auto" w:line="360"/>
        <w:ind w:firstLine="709"/>
        <w:jc w:val="both"/>
        <w:rPr/>
      </w:pPr>
      <w:r>
        <w:t>Реальная заработная плата – это следствие инфляционных процессов, определяющее не только уровень жизни населения, но и важные параметры экономического развития.</w:t>
      </w:r>
    </w:p>
    <w:p>
      <w:pPr>
        <w:pStyle w:val="style0"/>
        <w:tabs>
          <w:tab w:val="left" w:leader="none" w:pos="2073"/>
        </w:tabs>
        <w:spacing w:after="0" w:lineRule="auto" w:line="360"/>
        <w:ind w:firstLine="709"/>
        <w:jc w:val="both"/>
        <w:rPr/>
      </w:pPr>
      <w:r>
        <w:t>Рассмотрим динамику номинального начисления средней заработной платы по Российской Федерации (рис.14)</w:t>
      </w:r>
    </w:p>
    <w:p>
      <w:pPr>
        <w:pStyle w:val="style0"/>
        <w:spacing w:after="0" w:lineRule="auto" w:line="360"/>
        <w:jc w:val="both"/>
        <w:rPr/>
      </w:pPr>
      <w:r>
        <w:rPr>
          <w:noProof/>
        </w:rPr>
      </w:r>
      <w:r>
        <w:rPr>
          <w:noProof/>
        </w:rPr>
      </w:r>
      <w:r>
        <w:rPr>
          <w:noProof/>
        </w:rPr>
      </w:r>
      <w:r>
        <w:rPr>
          <w:noProof/>
        </w:rPr>
        <w:drawing>
          <wp:inline distL="114300" distT="0" distB="0" distR="114300">
            <wp:extent cx="6018530" cy="3032911"/>
            <wp:effectExtent l="0" t="0" r="0" b="0"/>
            <wp:docPr id="105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r>
    </w:p>
    <w:p>
      <w:pPr>
        <w:pStyle w:val="style0"/>
        <w:spacing w:after="0" w:lineRule="auto" w:line="360"/>
        <w:ind w:firstLine="709"/>
        <w:jc w:val="center"/>
        <w:rPr/>
      </w:pPr>
      <w:r>
        <w:t xml:space="preserve">Рисунок </w:t>
      </w:r>
      <w:r>
        <w:t>14</w:t>
      </w:r>
      <w:r>
        <w:t xml:space="preserve"> – Среднемесячная номинальная начисленная заработная плата работников по полному кругу организаций в целом по экономике Российской Федерации в 2019 – 2022 гг.</w:t>
      </w:r>
      <w:bookmarkStart w:id="14" w:name="_Hlk122182320"/>
      <w:r>
        <w:t xml:space="preserve"> </w:t>
      </w:r>
      <w:r>
        <w:t>[</w:t>
      </w:r>
      <w:r>
        <w:t>26</w:t>
      </w:r>
      <w:r>
        <w:t>]</w:t>
      </w:r>
    </w:p>
    <w:bookmarkEnd w:id="14"/>
    <w:p>
      <w:pPr>
        <w:pStyle w:val="style0"/>
        <w:spacing w:after="0" w:lineRule="auto" w:line="360"/>
        <w:ind w:firstLine="709"/>
        <w:jc w:val="both"/>
        <w:rPr/>
      </w:pPr>
      <w:r>
        <w:t>В рыночной экономике в условиях инфляц</w:t>
      </w:r>
      <w:r>
        <w:t>ии спроса, когда причина или толчок к инфляции возникает на товарном рынке в сфере спроса, создаются возможности для повышения прибылей. Предприниматели расширяют производство, привлекают дополнительную рабочую силу. Вследствие увеличения спроса на рабочую</w:t>
      </w:r>
      <w:r>
        <w:t xml:space="preserve"> силу повышается номинальная заработная плата. Таким образом, в условиях инфляции, вызванной увеличением спроса, увеличение заработной платы является следствием или симптомом инфляции, результатом избыточного совокупного спроса, а не ее причиной. Исходя из</w:t>
      </w:r>
      <w:r>
        <w:t xml:space="preserve"> вышеперечисленной информации можно сделать вывод о том, что увеличение заработной платы не вызывает инфляцию, а способствует ей.</w:t>
      </w:r>
      <w:r>
        <w:t xml:space="preserve"> </w:t>
      </w:r>
    </w:p>
    <w:p>
      <w:pPr>
        <w:pStyle w:val="style0"/>
        <w:spacing w:after="0" w:lineRule="auto" w:line="360"/>
        <w:ind w:firstLine="709"/>
        <w:jc w:val="both"/>
        <w:rPr/>
      </w:pPr>
      <w:r>
        <w:t>- монополистическое ценообразование – данный фактор показывает, что для основной массы продукции поддерживаются завышенные мо</w:t>
      </w:r>
      <w:r>
        <w:t>нопольные цены;</w:t>
      </w:r>
    </w:p>
    <w:p>
      <w:pPr>
        <w:pStyle w:val="style0"/>
        <w:spacing w:after="0" w:lineRule="auto" w:line="360"/>
        <w:ind w:firstLine="709"/>
        <w:jc w:val="both"/>
        <w:rPr/>
      </w:pPr>
      <w:r>
        <w:t xml:space="preserve">Одной из причин инфляции является монополизация экономики. </w:t>
      </w:r>
      <w:r>
        <w:t>Н</w:t>
      </w:r>
      <w:r>
        <w:t>екоторые экономисты склонны считать монополизм чуть ли не единственным фактором ускоряющейся ценовой динамики. Между тем рождение монопольного союза скорее объективная причина высокого уровня цен, нежели фактор неуклонного роста их общего уровня. В то же время движение повышения цен несомненно, обусловлено также монополизмом:</w:t>
      </w:r>
    </w:p>
    <w:p>
      <w:pPr>
        <w:pStyle w:val="style0"/>
        <w:spacing w:after="0" w:lineRule="auto" w:line="360"/>
        <w:ind w:firstLine="709"/>
        <w:jc w:val="both"/>
        <w:rPr/>
      </w:pPr>
      <w:r>
        <w:t>- государства — на эмиссию бумажных денег, установление таможенных пошлин, рост непроизводительных расходов (прежде всего, военных),</w:t>
      </w:r>
      <w:r>
        <w:t xml:space="preserve"> а </w:t>
      </w:r>
      <w:r>
        <w:t>значит, и налогов. Административная монополия может­ проявиться и в виде взвинчивания тарифов на железнодорожные перевозки, услуги почтовой связи, коммунальные платежи и т.п. Предоставляя эти общественные блага населению по монопольно высоким ценам, власти сами становятся мощным инициатором инфляционных процессов;</w:t>
      </w:r>
    </w:p>
    <w:p>
      <w:pPr>
        <w:pStyle w:val="style0"/>
        <w:spacing w:after="0" w:lineRule="auto" w:line="360"/>
        <w:ind w:firstLine="709"/>
        <w:jc w:val="both"/>
        <w:rPr/>
      </w:pPr>
      <w:r>
        <w:t>- фирм, которые в условиях несовершенной конкуренции имеют возможность произвольно взвинчивать свои издержки, а следовательно, повышать цены на выпускаемую ими продукцию. Монополия препятствует наращиванию предложения товаров по мере роста цен, ограничивая через различные барьеры приток свободных капиталов в ту или иную отрасль для ликвидации регулярно возникающего здесь товарного дефицита.</w:t>
      </w:r>
      <w:r>
        <w:t xml:space="preserve"> </w:t>
      </w:r>
      <w:r>
        <w:t>Формой реализации монополии на рынке является не только прямое повышение цен, но и косвенное — через завышение издержек, фальсификацию качества товаров и услуг, недопущение банкротства неэффективных производств. Прямым результатом такого снижения народнохозяйственной эффективности становится рост общего уровня цен.</w:t>
      </w:r>
      <w:r>
        <w:t xml:space="preserve"> </w:t>
      </w:r>
      <w:r>
        <w:t>[</w:t>
      </w:r>
      <w:r>
        <w:t>27</w:t>
      </w:r>
      <w:r>
        <w:t>]</w:t>
      </w:r>
    </w:p>
    <w:p>
      <w:pPr>
        <w:pStyle w:val="style0"/>
        <w:spacing w:after="0" w:lineRule="auto" w:line="360"/>
        <w:ind w:firstLine="709"/>
        <w:jc w:val="both"/>
        <w:rPr/>
      </w:pPr>
      <w:r>
        <w:t>Таким образом, инфляция спроса зависит от масштабов кредитования, а инфляция издержек — от условий кредитования, которые, в свою очередь, связаны с тенденциями развития банковской системы страны. Параметры кредитной системы по-разному сказываются на развитии различных отраслей российской экономики.</w:t>
      </w:r>
    </w:p>
    <w:p>
      <w:pPr>
        <w:pStyle w:val="style0"/>
        <w:spacing w:after="0" w:lineRule="auto" w:line="360"/>
        <w:ind w:firstLine="709"/>
        <w:jc w:val="both"/>
        <w:rPr/>
      </w:pPr>
      <w:r>
        <w:t>- внешнеэкономический фактор – повышение мировых цен на товары, приток иностранного капитала, снижение курса национальной валюты.</w:t>
      </w:r>
    </w:p>
    <w:p>
      <w:pPr>
        <w:pStyle w:val="style0"/>
        <w:spacing w:after="0" w:lineRule="auto" w:line="360"/>
        <w:ind w:firstLine="709"/>
        <w:jc w:val="both"/>
        <w:rPr/>
      </w:pPr>
      <w:r>
        <w:t>Девальвация рубля неизбежно вызывает инфляцию в стране. Этому есть ряд причин, среди которых можно выделить как внешние, так и внутренние.</w:t>
      </w:r>
    </w:p>
    <w:p>
      <w:pPr>
        <w:pStyle w:val="style0"/>
        <w:spacing w:after="0" w:lineRule="auto" w:line="360"/>
        <w:ind w:firstLine="709"/>
        <w:jc w:val="both"/>
        <w:rPr/>
      </w:pPr>
      <w:r>
        <w:t>Внешняя причина: у</w:t>
      </w:r>
      <w:r>
        <w:t>дорожание импорта</w:t>
      </w:r>
      <w:r>
        <w:t xml:space="preserve"> – с</w:t>
      </w:r>
      <w:r>
        <w:t>амая понятная причина роста цен вследствие девальвации</w:t>
      </w:r>
      <w:r>
        <w:t xml:space="preserve"> – это </w:t>
      </w:r>
      <w:r>
        <w:t>удорожание импорта. Эта причина оказывает влияние, в первую очередь, на стоимость тех товаров и услуг, которые поставляются из-за рубежа и оплачиваются в долларах (евро или другой валюте, по отношению к которой национальная валюта девальвирует).</w:t>
      </w:r>
      <w:r>
        <w:t xml:space="preserve"> </w:t>
      </w:r>
      <w:r>
        <w:t>По этой причине от курса доллара самым прямым образом зависят цены на высокотехнологичные товары (компьютеры, мобильные телефоны и т.д.), бытовую технику, автомобили-иномарки, импортную одежду и другие импортные товары.</w:t>
      </w:r>
    </w:p>
    <w:p>
      <w:pPr>
        <w:pStyle w:val="style0"/>
        <w:spacing w:after="0" w:lineRule="auto" w:line="360"/>
        <w:ind w:firstLine="709"/>
        <w:jc w:val="both"/>
        <w:rPr/>
      </w:pPr>
      <w:r>
        <w:t>Однако, эта же причина оказывает влияние и на стоимость товаров и услуг, произведенных внутри страны, для производства которых используется импортное оборудование, импортные материалы, импортные энергоресурсы, импортное сырье</w:t>
      </w:r>
      <w:r>
        <w:t>, от которых</w:t>
      </w:r>
      <w:r>
        <w:t xml:space="preserve"> напрямую зависит, насколько вырастут цены на эту продукцию при девальвации.</w:t>
      </w:r>
      <w:r>
        <w:t xml:space="preserve"> </w:t>
      </w:r>
    </w:p>
    <w:p>
      <w:pPr>
        <w:pStyle w:val="style0"/>
        <w:spacing w:after="0" w:lineRule="auto" w:line="360"/>
        <w:ind w:firstLine="709"/>
        <w:jc w:val="both"/>
        <w:rPr/>
      </w:pPr>
      <w:r>
        <w:t xml:space="preserve">Для </w:t>
      </w:r>
      <w:r>
        <w:t>рассмотрения внешней торговли России в период с 2013 по 2022, объемов товарооборота, а также экспорта и импорта обратимся к рис.15</w:t>
      </w:r>
    </w:p>
    <w:p>
      <w:pPr>
        <w:pStyle w:val="style0"/>
        <w:spacing w:after="0" w:lineRule="auto" w:line="360"/>
        <w:jc w:val="both"/>
        <w:rPr/>
      </w:pPr>
      <w:r>
        <w:rPr>
          <w:noProof/>
        </w:rPr>
      </w:r>
      <w:r>
        <w:rPr>
          <w:noProof/>
        </w:rPr>
      </w:r>
      <w:r>
        <w:rPr>
          <w:noProof/>
        </w:rPr>
      </w:r>
      <w:r>
        <w:rPr>
          <w:noProof/>
        </w:rPr>
        <w:drawing>
          <wp:inline distL="114300" distT="0" distB="0" distR="114300">
            <wp:extent cx="6066790" cy="2321781"/>
            <wp:effectExtent l="0" t="0" r="0" b="0"/>
            <wp:docPr id="105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r>
    </w:p>
    <w:p>
      <w:pPr>
        <w:pStyle w:val="style0"/>
        <w:spacing w:after="0" w:lineRule="auto" w:line="360"/>
        <w:ind w:firstLine="709"/>
        <w:jc w:val="center"/>
        <w:rPr/>
      </w:pPr>
      <w:r>
        <w:t>Рисунок 15 – Внешняя торговля России в 2013 – 2022 году</w:t>
      </w:r>
    </w:p>
    <w:p>
      <w:pPr>
        <w:pStyle w:val="style0"/>
        <w:spacing w:after="0" w:lineRule="auto" w:line="360"/>
        <w:ind w:firstLine="709"/>
        <w:jc w:val="both"/>
        <w:rPr/>
      </w:pPr>
      <w:r>
        <w:t>Таким образом, внешнеторговый оборот России достиг максимальных значений в 2013 году.</w:t>
      </w:r>
    </w:p>
    <w:p>
      <w:pPr>
        <w:pStyle w:val="style0"/>
        <w:spacing w:after="0" w:lineRule="auto" w:line="360"/>
        <w:ind w:firstLine="709"/>
        <w:jc w:val="both"/>
        <w:rPr/>
      </w:pPr>
      <w:r>
        <w:t>Ключевыми экспортными товарами РФ (в стоимостном выражении) являются – нефть, нефтепродукты, природный газ, машины и оборудование, дизельное топливо, чёрные металлы, каменный уголь.</w:t>
      </w:r>
    </w:p>
    <w:p>
      <w:pPr>
        <w:pStyle w:val="style0"/>
        <w:spacing w:after="0" w:lineRule="auto" w:line="360"/>
        <w:ind w:firstLine="709"/>
        <w:jc w:val="both"/>
        <w:rPr/>
      </w:pPr>
      <w:r>
        <w:t>Важнейшая импортируемая продукция – машины и оборудование.</w:t>
      </w:r>
    </w:p>
    <w:p>
      <w:pPr>
        <w:pStyle w:val="style0"/>
        <w:spacing w:after="0" w:lineRule="auto" w:line="360"/>
        <w:ind w:firstLine="709"/>
        <w:jc w:val="both"/>
        <w:rPr/>
      </w:pPr>
      <w:r>
        <w:t>Главные торговые партнёры в 2021г. – Китай, Германия, Нидерланды, Беларусь, США, Турция, Италия, Республика Корея, Великобритания, Казахстан.</w:t>
      </w:r>
    </w:p>
    <w:p>
      <w:pPr>
        <w:pStyle w:val="style0"/>
        <w:spacing w:after="0" w:lineRule="auto" w:line="360"/>
        <w:ind w:firstLine="709"/>
        <w:jc w:val="both"/>
        <w:rPr/>
      </w:pPr>
      <w:r>
        <w:t>По данным ЦБ, за 11 месяцев 2022г. положительное сальдо внешней торговли России составило рекордные 269,8 млрд. долларов.</w:t>
      </w:r>
      <w:r>
        <w:t xml:space="preserve"> </w:t>
      </w:r>
      <w:r>
        <w:t>Это в 1,9 раза превышает прошлогодний показатель (245,5 млрд. USD).</w:t>
      </w:r>
      <w:r>
        <w:t xml:space="preserve"> </w:t>
      </w:r>
      <w:r>
        <w:t>[</w:t>
      </w:r>
      <w:r>
        <w:t>28</w:t>
      </w:r>
      <w:r>
        <w:t>]</w:t>
      </w:r>
    </w:p>
    <w:p>
      <w:pPr>
        <w:pStyle w:val="style0"/>
        <w:spacing w:after="0" w:lineRule="auto" w:line="360"/>
        <w:ind w:firstLine="709"/>
        <w:jc w:val="both"/>
        <w:rPr/>
      </w:pPr>
      <w:r>
        <w:t xml:space="preserve">Таким образом, удорожание импорта вследствие девальвации вызывает наибольшую инфляцию в странах, зависимых от импорта. Чем больше доля </w:t>
      </w:r>
      <w:r>
        <w:t>импорта в расходах страны, чем больше торговый баланс смещен в сторону импорта (т.е. импорт преобладает над экспортом), тем сильнее вырастут цены на товары и услуги при росте курса доллара и евро.</w:t>
      </w:r>
    </w:p>
    <w:p>
      <w:pPr>
        <w:pStyle w:val="style0"/>
        <w:spacing w:after="0" w:lineRule="auto" w:line="360"/>
        <w:ind w:firstLine="709"/>
        <w:jc w:val="both"/>
        <w:rPr/>
      </w:pPr>
      <w:r>
        <w:t>А значит, возможно, сделать выводы – инфляция заявляет о несоблюдении закона валютного обращения, что и приводит к диспропорциям ме</w:t>
      </w:r>
      <w:r>
        <w:t>жду скоплением и потреблением, спросом и предложением. Инфляция, являющая собой многофакторный процесс, в важной ступени ориентируется особенностями особого момента финансового становления той или иной страны. В развивающихся государствах со слабой экономи</w:t>
      </w:r>
      <w:r>
        <w:t>кой инфляционный процесс пребывает под характеризующим действием высокой валютной эмиссии, падает под строгий контроль ЦБ и сможет только возрастать.</w:t>
      </w:r>
    </w:p>
    <w:p>
      <w:pPr>
        <w:pStyle w:val="style0"/>
        <w:spacing w:after="0" w:lineRule="auto" w:line="360"/>
        <w:ind w:firstLine="709"/>
        <w:jc w:val="both"/>
        <w:rPr>
          <w:color w:val="ff0000"/>
        </w:rPr>
      </w:pPr>
      <w:r>
        <w:t>Факторы, вызывающие инфляцию, разнообразны и могут носить как денежный, так и неденежный характер. Общепри</w:t>
      </w:r>
      <w:r>
        <w:t>знанно, что появлению избыточной денежной массы способствует расстройство государственных финансов, которое выражается в дефиците государственного бюджета. Причины этого дефицита многообразны. Велика здесь роль непомерных военных расходов, экономических не</w:t>
      </w:r>
      <w:r>
        <w:t>урядиц. Однако инфляционное развитие непосредственно зависит не от того, чем вызван данный дефицит, а от методов его покрытия. Если последнее происходит напрямую, за счет эмиссии денег, инфляционное воздействие очевидно.</w:t>
      </w:r>
      <w:r>
        <w:t xml:space="preserve"> </w:t>
      </w:r>
      <w:r>
        <w:t>[</w:t>
      </w:r>
      <w:r>
        <w:t>4. с.47</w:t>
      </w:r>
      <w:r>
        <w:t>]</w:t>
      </w:r>
    </w:p>
    <w:p>
      <w:pPr>
        <w:pStyle w:val="style0"/>
        <w:spacing w:after="0" w:lineRule="auto" w:line="360"/>
        <w:ind w:firstLine="709"/>
        <w:jc w:val="both"/>
        <w:rPr/>
      </w:pPr>
    </w:p>
    <w:p>
      <w:pPr>
        <w:pStyle w:val="style0"/>
        <w:spacing w:after="0" w:lineRule="auto" w:line="360"/>
        <w:ind w:left="1134" w:hanging="425"/>
        <w:rPr>
          <w:b/>
          <w:bCs/>
        </w:rPr>
      </w:pPr>
      <w:r>
        <w:rPr>
          <w:b/>
          <w:bCs/>
        </w:rPr>
        <w:t xml:space="preserve">2.3 </w:t>
      </w:r>
      <w:r>
        <w:rPr>
          <w:b/>
          <w:bCs/>
        </w:rPr>
        <w:t>Антиинфляционная политика, проводимая Центральны Банком, анализ инфляционных ожиданий экономических агентов</w:t>
      </w:r>
    </w:p>
    <w:p>
      <w:pPr>
        <w:pStyle w:val="style0"/>
        <w:spacing w:after="0" w:lineRule="auto" w:line="360"/>
        <w:ind w:firstLine="709"/>
        <w:jc w:val="both"/>
        <w:rPr/>
      </w:pPr>
      <w:r>
        <w:t>Антиинфляционная политика – один из видов экономической политики. Под антиинфляционной политикой мы понимаем совокупность мероприятий (действий) вне</w:t>
      </w:r>
      <w:r>
        <w:t xml:space="preserve">шних или внутренних институциональных субъектов, направленных на: прогнозирование инфляционных процессов, учет реальных показателей инфляции, ограничение их в процессе роста, а также </w:t>
      </w:r>
      <w:r>
        <w:t>противодействие их росту в тех случаях, когда они препятствует достижению</w:t>
      </w:r>
      <w:r>
        <w:t xml:space="preserve"> важнейших макроэкономических целей. </w:t>
      </w:r>
    </w:p>
    <w:p>
      <w:pPr>
        <w:pStyle w:val="style0"/>
        <w:spacing w:after="0" w:lineRule="auto" w:line="360"/>
        <w:ind w:firstLine="709"/>
        <w:jc w:val="both"/>
        <w:rPr/>
      </w:pPr>
      <w:r>
        <w:t xml:space="preserve">Для выбора эффективной антиинфляционной политики важно учитывать целый ряд факторов: период и условия ее применения, возможность реализации на практике, влияние на основные составляющие инновационного экономического и </w:t>
      </w:r>
      <w:r>
        <w:t xml:space="preserve">социального развития, результативность и др. </w:t>
      </w:r>
    </w:p>
    <w:p>
      <w:pPr>
        <w:pStyle w:val="style0"/>
        <w:spacing w:after="0" w:lineRule="auto" w:line="360"/>
        <w:ind w:firstLine="709"/>
        <w:jc w:val="both"/>
        <w:rPr/>
      </w:pPr>
      <w:r>
        <w:t>Современная рыночная экономика</w:t>
      </w:r>
      <w:r>
        <w:t xml:space="preserve"> неразрывно связана с инфляцией,</w:t>
      </w:r>
      <w:r>
        <w:t xml:space="preserve"> </w:t>
      </w:r>
      <w:r>
        <w:t>поскольку невозможно устранить все факторы инфляции (бюджетный дефицит, монополии, диспропорции в народном хозяйстве, инфляционные ожидания населен</w:t>
      </w:r>
      <w:r>
        <w:t>ия и предпринимателей, переброс инфляции по внешнеэкономическим каналам и др.). Поэтому очевидно, что полностью ликвидировать инфляцию нереально, и многие государства ставят перед собой цель сделать ее умеренной, контролируемой, не допустить разрушительных</w:t>
      </w:r>
      <w:r>
        <w:t xml:space="preserve"> ее масштабов. </w:t>
      </w:r>
    </w:p>
    <w:p>
      <w:pPr>
        <w:pStyle w:val="style0"/>
        <w:spacing w:after="0" w:lineRule="auto" w:line="360"/>
        <w:ind w:firstLine="709"/>
        <w:jc w:val="both"/>
        <w:rPr/>
      </w:pPr>
      <w:r>
        <w:t>Антиинфляционная политика может быть активной, призванной ограничить обесценение денег и повышение цен, и адаптивной, направленной на смягчение последствий инфляции. В современных условиях правительства развитых стран научились достаточно успешно справлять</w:t>
      </w:r>
      <w:r>
        <w:t xml:space="preserve">ся с инфляционными процессами, обеспечивать их умеренность и управляемость. </w:t>
      </w:r>
      <w:r>
        <w:t xml:space="preserve">[4. </w:t>
      </w:r>
      <w:r>
        <w:rPr>
          <w:lang w:val="en-US"/>
        </w:rPr>
        <w:t>c</w:t>
      </w:r>
      <w:r>
        <w:t>.54]</w:t>
      </w:r>
    </w:p>
    <w:p>
      <w:pPr>
        <w:pStyle w:val="style0"/>
        <w:spacing w:after="0" w:lineRule="auto" w:line="360"/>
        <w:ind w:firstLine="709"/>
        <w:jc w:val="both"/>
        <w:rPr/>
      </w:pPr>
      <w:r>
        <w:t>Уникальный характер российской инфляции требует использования особых методов ее регулирования, соответствующих современным реальным условиям хозяйствования. Антиинфляцион</w:t>
      </w:r>
      <w:r>
        <w:t>ная программа должна учитывать реальное развитие рыночных отношений, возможность использования рыночных механизмов с участием государственного регулирования.</w:t>
      </w:r>
    </w:p>
    <w:p>
      <w:pPr>
        <w:pStyle w:val="style0"/>
        <w:spacing w:after="0" w:lineRule="auto" w:line="360"/>
        <w:ind w:firstLine="709"/>
        <w:jc w:val="both"/>
        <w:rPr/>
      </w:pPr>
      <w:r>
        <w:t xml:space="preserve">Цель антиинфляционной политики государства состоит в том, чтобы установить контроль над инфляцией </w:t>
      </w:r>
      <w:r>
        <w:t xml:space="preserve">и добиться приемлемых для народного хозяйства темпов ее роста, а также добиться регулирования цен и прогнозируемости инфляции. Попытки справиться с инфляцией путем рестрикционной денежной политики в российских условиях имеют </w:t>
      </w:r>
      <w:r>
        <w:t>значительно более тяжелые после</w:t>
      </w:r>
      <w:r>
        <w:t>дствия, чем сама инфляция, так как являются тормозом экономического роста, решения социальных задач.</w:t>
      </w:r>
    </w:p>
    <w:p>
      <w:pPr>
        <w:pStyle w:val="style0"/>
        <w:spacing w:after="0" w:lineRule="auto" w:line="360"/>
        <w:ind w:firstLine="709"/>
        <w:jc w:val="both"/>
        <w:rPr/>
      </w:pPr>
      <w:r>
        <w:t>Основным фактором в борьбе с инфляцией являются улучшение общей экономической ситуации в стране, повышение инвестиционной активности, формирование стабильн</w:t>
      </w:r>
      <w:r>
        <w:t xml:space="preserve">ой рыночной инфраструктуры. В связи с этим особое значение для экономики приобретает поддержка приоритетных отраслей народного хозяйства, стимулирование диверсификации экспорта продукции, разумная протекционистская политика и политика валютного курса, что </w:t>
      </w:r>
      <w:r>
        <w:t>будет способствовать повышению конкурентоспособности отечественных товаров.</w:t>
      </w:r>
    </w:p>
    <w:p>
      <w:pPr>
        <w:pStyle w:val="style0"/>
        <w:spacing w:after="0" w:lineRule="auto" w:line="360"/>
        <w:ind w:firstLine="709"/>
        <w:jc w:val="both"/>
        <w:rPr/>
      </w:pPr>
      <w:r>
        <w:t>Решающим фактором борьбы с инфляцией является возможность восстановления государственных структур управления и контроля за ценами и доходами, распределением и перераспределением ма</w:t>
      </w:r>
      <w:r>
        <w:t>териальных и финансовых ресурсов при проведении курса на преимущественное применение свободных рыночных цен. Вместе с тем сохраняется необходимость государственного регулирования цен на энергоносители, продукцию, выпускаемую монопольными структурами, транс</w:t>
      </w:r>
      <w:r>
        <w:t>портные услуги, услуги ЖКХ, а также в процессе ликвидации ножниц цен на промышленную и сельскохозяйственную продукцию.</w:t>
      </w:r>
    </w:p>
    <w:p>
      <w:pPr>
        <w:pStyle w:val="style0"/>
        <w:spacing w:after="0" w:lineRule="auto" w:line="360"/>
        <w:ind w:firstLine="709"/>
        <w:jc w:val="both"/>
        <w:rPr/>
      </w:pPr>
      <w:r>
        <w:t>Особое внимание в антиинфляционной политике должно быть уделено совершенствованию налоговой системы:</w:t>
      </w:r>
    </w:p>
    <w:p>
      <w:pPr>
        <w:pStyle w:val="style0"/>
        <w:spacing w:after="0" w:lineRule="auto" w:line="360"/>
        <w:ind w:firstLine="709"/>
        <w:jc w:val="both"/>
        <w:rPr/>
      </w:pPr>
      <w:r>
        <w:t>- сокращению количества взимаемых на</w:t>
      </w:r>
      <w:r>
        <w:t>логов;</w:t>
      </w:r>
    </w:p>
    <w:p>
      <w:pPr>
        <w:pStyle w:val="style0"/>
        <w:spacing w:after="0" w:lineRule="auto" w:line="360"/>
        <w:ind w:firstLine="709"/>
        <w:jc w:val="both"/>
        <w:rPr/>
      </w:pPr>
      <w:r>
        <w:t>- пересмотру налоговых платежей, включаемых в издержки производства, которые стимулируют рост цен – отчислений в пенсионный фонд, фонд социального страхования, фонд занятости населения, платы за землю, налога на имущество и т.д.;</w:t>
      </w:r>
    </w:p>
    <w:p>
      <w:pPr>
        <w:pStyle w:val="style0"/>
        <w:spacing w:after="0" w:lineRule="auto" w:line="360"/>
        <w:ind w:firstLine="709"/>
        <w:jc w:val="both"/>
        <w:rPr/>
      </w:pPr>
      <w:r>
        <w:t>- изменению методик</w:t>
      </w:r>
      <w:r>
        <w:t>и налогообложения;</w:t>
      </w:r>
    </w:p>
    <w:p>
      <w:pPr>
        <w:pStyle w:val="style0"/>
        <w:spacing w:after="0" w:lineRule="auto" w:line="360"/>
        <w:ind w:firstLine="709"/>
        <w:jc w:val="both"/>
        <w:rPr/>
      </w:pPr>
      <w:r>
        <w:t>- ликвидации государственной задолженности перед отраслями и сферами народного хозяйства;</w:t>
      </w:r>
    </w:p>
    <w:p>
      <w:pPr>
        <w:pStyle w:val="style0"/>
        <w:spacing w:after="0" w:lineRule="auto" w:line="360"/>
        <w:ind w:firstLine="709"/>
        <w:jc w:val="both"/>
        <w:rPr/>
      </w:pPr>
      <w:r>
        <w:t>- регулированию перераспределительных отношений между бюджетами Федерации и бюджетами регионов.</w:t>
      </w:r>
    </w:p>
    <w:p>
      <w:pPr>
        <w:pStyle w:val="style0"/>
        <w:spacing w:after="0" w:lineRule="auto" w:line="360"/>
        <w:ind w:firstLine="709"/>
        <w:jc w:val="both"/>
        <w:rPr/>
      </w:pPr>
      <w:r>
        <w:t>Важным направлением в антиинфляционной политике явл</w:t>
      </w:r>
      <w:r>
        <w:t xml:space="preserve">яются дальнейшее развитие и государственное регулирование валютного и финансового рынков, а также совершенствование механизма формирования валютного курса. </w:t>
      </w:r>
    </w:p>
    <w:p>
      <w:pPr>
        <w:pStyle w:val="style0"/>
        <w:spacing w:after="0" w:lineRule="auto" w:line="360"/>
        <w:ind w:firstLine="709"/>
        <w:jc w:val="both"/>
        <w:rPr/>
      </w:pPr>
      <w:r>
        <w:t>Основой внешнеэкономической деятельности продолжают оставаться развитие экспорта и укрепление его б</w:t>
      </w:r>
      <w:r>
        <w:t>азы, что требует обеспечения эффективного экспортного и валютного контроля с целью остановить «бегство» капитала за рубеж и обеспечить своевременность и полноту уплаты налогов по этим операциям. Экономика страны нуждается в программе возвращения российских</w:t>
      </w:r>
      <w:r>
        <w:t xml:space="preserve"> капиталов, а также в привлечении иностранных капиталов для инвестиций. Этому может также способствовать восстановление доверия к банкам и правительству.</w:t>
      </w:r>
    </w:p>
    <w:p>
      <w:pPr>
        <w:pStyle w:val="style0"/>
        <w:spacing w:after="0" w:lineRule="auto" w:line="360"/>
        <w:ind w:firstLine="709"/>
        <w:jc w:val="both"/>
        <w:rPr/>
      </w:pPr>
      <w:r>
        <w:t>Предстоит нейтрализовать внешние факторы инфляции за счет использования налоговых пошлин и развития им</w:t>
      </w:r>
      <w:r>
        <w:t>портозаменяющих производств. Кроме этого, России предстоит преодолеть зависимость экономики бюджета, валютного курса, ценообразования от внешних факторов, конъюнктуры мировых рынков.</w:t>
      </w:r>
    </w:p>
    <w:p>
      <w:pPr>
        <w:pStyle w:val="style0"/>
        <w:spacing w:after="0" w:lineRule="auto" w:line="360"/>
        <w:ind w:firstLine="709"/>
        <w:jc w:val="both"/>
        <w:rPr/>
      </w:pPr>
      <w:r>
        <w:t>Большое значение для сдерживании инфляции может иметь перестройка экспорт</w:t>
      </w:r>
      <w:r>
        <w:t>а и импорта. Речь идет о переходе с сырьевой ориентации экспорта на технологические виды продукции, а также отказ от бросовых цен, по которым реализуется отечественное сырье и теряется экспортная выручка на десятки миллиардов долларов в год.</w:t>
      </w:r>
    </w:p>
    <w:p>
      <w:pPr>
        <w:pStyle w:val="style0"/>
        <w:spacing w:after="0" w:lineRule="auto" w:line="360"/>
        <w:ind w:firstLine="709"/>
        <w:jc w:val="both"/>
        <w:rPr/>
      </w:pPr>
      <w:r>
        <w:t>Одну из опреде</w:t>
      </w:r>
      <w:r>
        <w:t>ляющих ролей в проведении антиинфляционной политики играет Центральный банк Российской Федерации, который осуществляет денежно-кредитное регулирование. Он должен ориентироваться не только на снижение инфляции, но и на более равновесное и стабильное развити</w:t>
      </w:r>
      <w:r>
        <w:t>е экономики, а также смягчить ограничения денежной массы в обращении и добиваться улучшения ее структуры, поскольку более высокие темпы роста менее ликвидных компонентов денежной массы приводят к ослаблению инфляционного давления, сокращение же объема нали</w:t>
      </w:r>
      <w:r>
        <w:t xml:space="preserve">чных денег </w:t>
      </w:r>
      <w:r>
        <w:t>позволяет уменьшить темпы инфляции. Улучшение структуры денежной массы предполагает и более активное воздействие Банка России</w:t>
      </w:r>
      <w:r>
        <w:t>,</w:t>
      </w:r>
      <w:r>
        <w:t xml:space="preserve"> а денежный оборот, увеличение уровня монетизации. Россия должна перейти к полноценной системе среднесрочного таргетиро</w:t>
      </w:r>
      <w:r>
        <w:t>вания инфляции на 3 – 5 лет с учетом мирового опыта.</w:t>
      </w:r>
    </w:p>
    <w:p>
      <w:pPr>
        <w:pStyle w:val="style0"/>
        <w:spacing w:after="0" w:lineRule="auto" w:line="360"/>
        <w:ind w:firstLine="709"/>
        <w:jc w:val="both"/>
        <w:rPr/>
      </w:pPr>
      <w:r>
        <w:t>Необходимо прямое управление кредитной эмиссией, направленной на восстановление хозяйственных связей и банковской системы, сохранение прироста производства на 7 – 8 % в год. Для сдерживания инфляции нужн</w:t>
      </w:r>
      <w:r>
        <w:t>а поддержка инвестиционной активности коммерческих банков (хотя бы в рамках льгот по созданию обязательных резервов Банка России), как это принято в мировой практике. Кредитование инвестиционной деятельности должно стать важнейшей стратегической задачей ба</w:t>
      </w:r>
      <w:r>
        <w:t>нков.</w:t>
      </w:r>
    </w:p>
    <w:p>
      <w:pPr>
        <w:pStyle w:val="style0"/>
        <w:spacing w:after="0" w:lineRule="auto" w:line="360"/>
        <w:ind w:firstLine="709"/>
        <w:jc w:val="both"/>
        <w:rPr/>
      </w:pPr>
      <w:r>
        <w:t xml:space="preserve">Важную роль в борьбе с инфляцией играет снятие инфляционных ожиданий как у хозяйствующих структур, так и у населения, что в значительной мере может быть обусловлено экономической и политической стабильностью в стране, более взвешенными выступлениями </w:t>
      </w:r>
      <w:r>
        <w:t xml:space="preserve">в средствах массовой информации. </w:t>
      </w:r>
    </w:p>
    <w:p>
      <w:pPr>
        <w:pStyle w:val="style0"/>
        <w:spacing w:after="0" w:lineRule="auto" w:line="360"/>
        <w:ind w:firstLine="709"/>
        <w:jc w:val="both"/>
        <w:rPr/>
      </w:pPr>
      <w:r>
        <w:t xml:space="preserve">Успешное осуществление антиинфляционной политики возможно только на основе разработки нормативных актов, регулирующих все сферы рыночных отношений и безусловного выполнения существующего законодательства. </w:t>
      </w:r>
      <w:r>
        <w:t>[3.</w:t>
      </w:r>
      <w:r>
        <w:t xml:space="preserve"> с.110</w:t>
      </w:r>
      <w:r>
        <w:t>]</w:t>
      </w:r>
    </w:p>
    <w:p>
      <w:pPr>
        <w:pStyle w:val="style0"/>
        <w:spacing w:after="0" w:lineRule="auto" w:line="360"/>
        <w:ind w:firstLine="709"/>
        <w:jc w:val="both"/>
        <w:rPr/>
      </w:pPr>
      <w:r>
        <w:t>Значит</w:t>
      </w:r>
      <w:r>
        <w:t>ельную роль при проведении Банком России денежно-кредитной политики играет анализ инфляционных ожиданий экономических агентов. Снижение чувствительности инфляционных ожиданий к разовым колебаниям цен на отдельные товары и услуги и закрепление их вблизи цел</w:t>
      </w:r>
      <w:r>
        <w:t>и рассматриваются Банком России как основные критерии их заякоренности. Если инфляционные ожидания не заякорены, их волатильность может привести к отклонению инфляции от цели в среднесрочной перспективе и потребует вмешательства со стороны денежно-кредитно</w:t>
      </w:r>
      <w:r>
        <w:t xml:space="preserve">й политики. </w:t>
      </w:r>
      <w:r>
        <w:t xml:space="preserve">Напротив, заякоривание инфляционных ожиданий вблизи целевого уровня позволит более эффективно поддерживать ценовую стабильность. </w:t>
      </w:r>
    </w:p>
    <w:p>
      <w:pPr>
        <w:pStyle w:val="style0"/>
        <w:spacing w:after="0" w:lineRule="auto" w:line="360"/>
        <w:ind w:firstLine="709"/>
        <w:jc w:val="both"/>
        <w:rPr/>
      </w:pPr>
      <w:r>
        <w:t xml:space="preserve">Для анализа ценовых ожиданий предприятий Банк России использует данные собственного мониторинга </w:t>
      </w:r>
      <w:r>
        <w:t>инфляционных ожиданий населения – опросы, проводимые ООО «инФОМ» по заказу Банка России. Кроме того, информацию об инфляционных ожиданиях экономических агентов дают прогнозы инфляции профессиональных аналитиков и оценки вмененной инфляции, заложенной в цен</w:t>
      </w:r>
      <w:r>
        <w:t xml:space="preserve">ы ОФЗ-ИН. </w:t>
      </w:r>
    </w:p>
    <w:p>
      <w:pPr>
        <w:pStyle w:val="style0"/>
        <w:spacing w:after="0" w:lineRule="auto" w:line="360"/>
        <w:ind w:firstLine="709"/>
        <w:jc w:val="both"/>
        <w:rPr/>
      </w:pPr>
      <w:r>
        <w:t xml:space="preserve">В марте 2022 года в результате резкого ослабления курса рубля и возросшего уровня неопределенности в экономике произошел скачок инфляционных ожиданий населения. Медианное значение составило 18,3% и было вторым по величине результатом за историю </w:t>
      </w:r>
      <w:r>
        <w:t xml:space="preserve">наблюдений (опрос проводится с апреля 2010 года). После пика в марте медианная оценка инфляционных ожиданий начала снижаться и к сентябрю 2022 года установилась вблизи уровня сентября прошлого года, составив 12,5%. </w:t>
      </w:r>
      <w:r>
        <w:t>(рис.16)</w:t>
      </w:r>
    </w:p>
    <w:p>
      <w:pPr>
        <w:pStyle w:val="style0"/>
        <w:spacing w:after="0" w:lineRule="auto" w:line="360"/>
        <w:jc w:val="both"/>
        <w:rPr/>
      </w:pPr>
      <w:r>
        <w:rPr>
          <w:noProof/>
        </w:rPr>
      </w:r>
      <w:r>
        <w:rPr>
          <w:noProof/>
        </w:rPr>
      </w:r>
      <w:r>
        <w:rPr>
          <w:noProof/>
        </w:rPr>
      </w:r>
      <w:r>
        <w:rPr>
          <w:noProof/>
        </w:rPr>
        <w:object>
          <v:shape id="1061" type="#_x0000_t75" filled="f" stroked="f" style="margin-left:0.0pt;margin-top:0.0pt;width:476.85pt;height:223.2pt;mso-wrap-distance-left:0.0pt;mso-wrap-distance-right:0.0pt;visibility:visible;">
            <v:imagedata r:id="rId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xcel.Sheet.8" ShapeID="1061" DrawAspect="Content" ObjectID="0" r:id="rId22"/>
        </w:object>
      </w:r>
      <w:r>
        <w:rPr>
          <w:noProof/>
        </w:rPr>
      </w:r>
    </w:p>
    <w:p>
      <w:pPr>
        <w:pStyle w:val="style0"/>
        <w:spacing w:after="0" w:lineRule="auto" w:line="360"/>
        <w:ind w:firstLine="709"/>
        <w:jc w:val="center"/>
        <w:rPr/>
      </w:pPr>
      <w:r>
        <w:t>Рисунок 16 – Инфляция, наблюдаемая и ожидаемая населением в период 2014 – 2022 г.</w:t>
      </w:r>
    </w:p>
    <w:p>
      <w:pPr>
        <w:pStyle w:val="style0"/>
        <w:spacing w:after="0" w:lineRule="auto" w:line="360"/>
        <w:ind w:firstLine="709"/>
        <w:jc w:val="both"/>
        <w:rPr/>
      </w:pPr>
      <w:r>
        <w:t>Этому способствовали укрепление курса рубля и нормализация ожиданий относительно экономических перспектив страны. Однако в октябре отмечался небольшой рост инфляционных ожиданий на</w:t>
      </w:r>
      <w:r>
        <w:t>селения до 12,8% из-</w:t>
      </w:r>
      <w:r>
        <w:t>за роста неопределенности относительно будущего. При этом наблюдается более быстрое, чем во время кризиса 2015 года, затухание колебаний инфляционных ожиданий. Это может свидетельствовать о некоторых успехах Банка России в работе по зая</w:t>
      </w:r>
      <w:r>
        <w:t>кориванию инфляционных ожиданий (в том числе проведение последовательной денежно-кредитной политики, направленной на обеспечение ценовой стабильности, и коммуникационной политики в рамках принципа информационной открытости). В то же время инфляционные ожид</w:t>
      </w:r>
      <w:r>
        <w:t>ания остаются слабозаякоренными и их снижение после мартовского скачка может быть неустойчивым. В ходе начавшегося процесса структурной перестройки экономики высоки риски возникновения множества факторов, обусловливающих краткосрочные колебания цен, которы</w:t>
      </w:r>
      <w:r>
        <w:t>е могут повлечь за собой и дальнейшие колебания инфляционных ожиданий.</w:t>
      </w:r>
    </w:p>
    <w:p>
      <w:pPr>
        <w:pStyle w:val="style0"/>
        <w:spacing w:after="0" w:lineRule="auto" w:line="360"/>
        <w:ind w:firstLine="709"/>
        <w:jc w:val="both"/>
        <w:rPr/>
      </w:pPr>
      <w:r>
        <w:t>На протяжении 2021 года и до февраля 2022 года оценка наблюдаемой населением инфляции в целом росла однонаправленно с инфляционными ожиданиями. Обеспокоенность респондентов, связанная с</w:t>
      </w:r>
      <w:r>
        <w:t> наблюдением за ростом цен, начала существенно увеличиваться с марта 2022 года. После пика в мае наблюдаемая инфляция снизилась до 18,2% в октябре. В марте – мае 2022 года, по оценке населения, особенно выросли цены на товары длительного хранения (сахар, с</w:t>
      </w:r>
      <w:r>
        <w:t xml:space="preserve">оль, чай, кофе, крупы и макаронные изделия) и некоторые категории непродовольственных товаров (электробытовую технику, бытовую химию и чистящие средства). </w:t>
      </w:r>
      <w:r>
        <w:t>(рис.17)</w:t>
      </w:r>
    </w:p>
    <w:p>
      <w:pPr>
        <w:pStyle w:val="style0"/>
        <w:spacing w:before="240" w:after="0" w:lineRule="auto" w:line="360"/>
        <w:jc w:val="both"/>
        <w:rPr/>
      </w:pPr>
      <w:r>
        <w:rPr>
          <w:noProof/>
        </w:rPr>
        <w:drawing>
          <wp:inline distL="0" distT="0" distB="0" distR="0">
            <wp:extent cx="5968045" cy="3096000"/>
            <wp:effectExtent l="0" t="0" r="0" b="9525"/>
            <wp:docPr id="1063" name="Рисунок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37"/>
                    <pic:cNvPicPr/>
                  </pic:nvPicPr>
                  <pic:blipFill>
                    <a:blip r:embed="rId23" cstate="print"/>
                    <a:srcRect l="362" t="1059" r="8077" b="-425"/>
                    <a:stretch/>
                  </pic:blipFill>
                  <pic:spPr>
                    <a:xfrm rot="0">
                      <a:off x="0" y="0"/>
                      <a:ext cx="5968045" cy="3096000"/>
                    </a:xfrm>
                    <a:prstGeom prst="rect"/>
                    <a:ln>
                      <a:noFill/>
                    </a:ln>
                  </pic:spPr>
                </pic:pic>
              </a:graphicData>
            </a:graphic>
          </wp:inline>
        </w:drawing>
      </w:r>
    </w:p>
    <w:p>
      <w:pPr>
        <w:pStyle w:val="style0"/>
        <w:spacing w:before="240" w:lineRule="auto" w:line="360"/>
        <w:ind w:firstLine="709"/>
        <w:jc w:val="center"/>
        <w:rPr/>
      </w:pPr>
      <w:r>
        <w:t>Рисунок 17 – Распределение ответов респондентов на вопрос «на какие основные продукты выросли цены в период с ноября 2021 по октябрь 2022 г.</w:t>
      </w:r>
    </w:p>
    <w:p>
      <w:pPr>
        <w:pStyle w:val="style0"/>
        <w:spacing w:lineRule="auto" w:line="360"/>
        <w:ind w:firstLine="709"/>
        <w:jc w:val="both"/>
        <w:rPr/>
      </w:pPr>
      <w:r>
        <w:t>Это было обусловлено ослаблением рубля и всплеском ажиотажного спроса на фоне высокого уровня неопределенности из-за вводимых внешних санкций. Однако уже в июле отмечалась стабилизация цен на эти товары в </w:t>
      </w:r>
      <w:r>
        <w:t>результате исчерпания действующих ранее эффектов. В октябре респонденты отмечали, что цены на ряд продовольственных товаров (овощи и фрукты, молоко и молочная продукция, хлеб и хлебобулочные изделия, крупы и макаронные изделия, растительное масло) и некото</w:t>
      </w:r>
      <w:r>
        <w:t xml:space="preserve">рые группы непродовольственных товаров (строительные материалы, лекарства и медикаменты) находились на наиболее низком уровне за год. </w:t>
      </w:r>
    </w:p>
    <w:p>
      <w:pPr>
        <w:pStyle w:val="style0"/>
        <w:spacing w:after="0" w:lineRule="auto" w:line="360"/>
        <w:ind w:firstLine="709"/>
        <w:jc w:val="both"/>
        <w:rPr/>
      </w:pPr>
      <w:r>
        <w:t>В ситуации, когда инфляционные ожидания чувствительны к краткосрочным колебаниям цен, изменения в ценовой динамике оказыв</w:t>
      </w:r>
      <w:r>
        <w:t xml:space="preserve">ают серьезное влияние на сберегательную модель поведения. Это имеет важное значение при проведении денежно-кредитной политики, так как сказывается на динамике потребительского спроса и, как следствие, на динамике инфляции. </w:t>
      </w:r>
      <w:r>
        <w:t>(рис.18)</w:t>
      </w:r>
    </w:p>
    <w:p>
      <w:pPr>
        <w:pStyle w:val="style0"/>
        <w:spacing w:after="0" w:lineRule="auto" w:line="360"/>
        <w:ind w:hanging="142"/>
        <w:jc w:val="both"/>
        <w:rPr/>
      </w:pPr>
      <w:r>
        <w:rPr>
          <w:noProof/>
        </w:rPr>
        <mc:AlternateContent>
          <mc:Choice Requires="wps">
            <w:drawing>
              <wp:anchor distT="0" distB="0" distL="0" distR="0" simplePos="false" relativeHeight="24" behindDoc="false" locked="false" layoutInCell="true" allowOverlap="true">
                <wp:simplePos x="0" y="0"/>
                <wp:positionH relativeFrom="column">
                  <wp:posOffset>1871127</wp:posOffset>
                </wp:positionH>
                <wp:positionV relativeFrom="paragraph">
                  <wp:posOffset>1117411</wp:posOffset>
                </wp:positionV>
                <wp:extent cx="360" cy="358"/>
                <wp:effectExtent l="133350" t="209550" r="133350" b="247650"/>
                <wp:wrapNone/>
                <wp:docPr id="1064" name="Рукописный ввод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24">
                      <w14:xfrm rot="0">
                        <a:off x="0" y="0"/>
                        <a:ext cx="360" cy="358"/>
                      </w14:xfrm>
                    </w14:contentPart>
                  </a:graphicData>
                </a:graphic>
              </wp:anchor>
            </w:drawing>
          </mc:Choice>
          <mc:Fallback>
            <w:pict>
              <v:shape id="1064" filled="f" stroked="t" style="position:absolute;margin-left:147.33pt;margin-top:87.99pt;width:0.03pt;height:0.03pt;z-index:24;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gIMA&#10;&#10;"/>
              </v:shape>
            </w:pict>
          </mc:Fallback>
        </mc:AlternateContent>
      </w:r>
      <w:r>
        <w:rPr>
          <w:noProof/>
        </w:rPr>
        <mc:AlternateContent>
          <mc:Choice Requires="wps">
            <w:drawing>
              <wp:anchor distT="0" distB="0" distL="0" distR="0" simplePos="false" relativeHeight="23" behindDoc="false" locked="false" layoutInCell="true" allowOverlap="true">
                <wp:simplePos x="0" y="0"/>
                <wp:positionH relativeFrom="column">
                  <wp:posOffset>3120687</wp:posOffset>
                </wp:positionH>
                <wp:positionV relativeFrom="paragraph">
                  <wp:posOffset>764251</wp:posOffset>
                </wp:positionV>
                <wp:extent cx="360" cy="360"/>
                <wp:effectExtent l="133350" t="209550" r="133350" b="247650"/>
                <wp:wrapNone/>
                <wp:docPr id="1065" name="Рукописный ввод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25">
                      <w14:xfrm rot="0">
                        <a:off x="0" y="0"/>
                        <a:ext cx="360" cy="360"/>
                      </w14:xfrm>
                    </w14:contentPart>
                  </a:graphicData>
                </a:graphic>
              </wp:anchor>
            </w:drawing>
          </mc:Choice>
          <mc:Fallback>
            <w:pict>
              <v:shape id="1065" filled="f" stroked="t" style="position:absolute;margin-left:245.72pt;margin-top:60.18pt;width:0.03pt;height:0.03pt;z-index:23;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AIMA&#10;&#10;"/>
              </v:shape>
            </w:pict>
          </mc:Fallback>
        </mc:AlternateContent>
      </w:r>
      <w:r>
        <w:rPr>
          <w:noProof/>
        </w:rPr>
        <mc:AlternateContent>
          <mc:Choice Requires="wps">
            <w:drawing>
              <wp:anchor distT="0" distB="0" distL="0" distR="0" simplePos="false" relativeHeight="22" behindDoc="false" locked="false" layoutInCell="true" allowOverlap="true">
                <wp:simplePos x="0" y="0"/>
                <wp:positionH relativeFrom="column">
                  <wp:posOffset>3120687</wp:posOffset>
                </wp:positionH>
                <wp:positionV relativeFrom="paragraph">
                  <wp:posOffset>764251</wp:posOffset>
                </wp:positionV>
                <wp:extent cx="360" cy="360"/>
                <wp:effectExtent l="133350" t="209550" r="133350" b="247650"/>
                <wp:wrapNone/>
                <wp:docPr id="1066" name="Рукописный ввод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26">
                      <w14:xfrm rot="0">
                        <a:off x="0" y="0"/>
                        <a:ext cx="360" cy="360"/>
                      </w14:xfrm>
                    </w14:contentPart>
                  </a:graphicData>
                </a:graphic>
              </wp:anchor>
            </w:drawing>
          </mc:Choice>
          <mc:Fallback>
            <w:pict>
              <v:shape id="1066" filled="f" stroked="t" style="position:absolute;margin-left:245.72pt;margin-top:60.18pt;width:0.03pt;height:0.03pt;z-index:22;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AIMA&#10;&#10;"/>
              </v:shape>
            </w:pict>
          </mc:Fallback>
        </mc:AlternateContent>
      </w:r>
      <w:r>
        <w:rPr>
          <w:noProof/>
        </w:rPr>
        <mc:AlternateContent>
          <mc:Choice Requires="wps">
            <w:drawing>
              <wp:anchor distT="0" distB="0" distL="0" distR="0" simplePos="false" relativeHeight="21" behindDoc="false" locked="false" layoutInCell="true" allowOverlap="true">
                <wp:simplePos x="0" y="0"/>
                <wp:positionH relativeFrom="column">
                  <wp:posOffset>3120687</wp:posOffset>
                </wp:positionH>
                <wp:positionV relativeFrom="paragraph">
                  <wp:posOffset>764251</wp:posOffset>
                </wp:positionV>
                <wp:extent cx="360" cy="360"/>
                <wp:effectExtent l="133350" t="209550" r="133350" b="247650"/>
                <wp:wrapNone/>
                <wp:docPr id="1067" name="Рукописный ввод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27">
                      <w14:xfrm rot="0">
                        <a:off x="0" y="0"/>
                        <a:ext cx="360" cy="360"/>
                      </w14:xfrm>
                    </w14:contentPart>
                  </a:graphicData>
                </a:graphic>
              </wp:anchor>
            </w:drawing>
          </mc:Choice>
          <mc:Fallback>
            <w:pict>
              <v:shape id="1067" filled="f" stroked="t" style="position:absolute;margin-left:245.72pt;margin-top:60.18pt;width:0.03pt;height:0.03pt;z-index:21;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AIMA&#10;&#10;"/>
              </v:shape>
            </w:pict>
          </mc:Fallback>
        </mc:AlternateContent>
      </w:r>
      <w:r>
        <w:rPr>
          <w:noProof/>
        </w:rPr>
        <mc:AlternateContent>
          <mc:Choice Requires="wps">
            <w:drawing>
              <wp:anchor distT="0" distB="0" distL="0" distR="0" simplePos="false" relativeHeight="20" behindDoc="false" locked="false" layoutInCell="true" allowOverlap="true">
                <wp:simplePos x="0" y="0"/>
                <wp:positionH relativeFrom="column">
                  <wp:posOffset>3392127</wp:posOffset>
                </wp:positionH>
                <wp:positionV relativeFrom="paragraph">
                  <wp:posOffset>935971</wp:posOffset>
                </wp:positionV>
                <wp:extent cx="360" cy="358"/>
                <wp:effectExtent l="133350" t="209550" r="133350" b="247650"/>
                <wp:wrapNone/>
                <wp:docPr id="1068" name="Рукописный ввод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28">
                      <w14:xfrm rot="0">
                        <a:off x="0" y="0"/>
                        <a:ext cx="360" cy="358"/>
                      </w14:xfrm>
                    </w14:contentPart>
                  </a:graphicData>
                </a:graphic>
              </wp:anchor>
            </w:drawing>
          </mc:Choice>
          <mc:Fallback>
            <w:pict>
              <v:shape id="1068" filled="f" stroked="t" style="position:absolute;margin-left:267.1pt;margin-top:73.7pt;width:0.03pt;height:0.03pt;z-index:20;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AIOA&#10;&#10;"/>
              </v:shape>
            </w:pict>
          </mc:Fallback>
        </mc:AlternateContent>
      </w:r>
      <w:r>
        <w:rPr>
          <w:noProof/>
        </w:rPr>
        <mc:AlternateContent>
          <mc:Choice Requires="wps">
            <w:drawing>
              <wp:anchor distT="0" distB="0" distL="0" distR="0" simplePos="false" relativeHeight="19" behindDoc="false" locked="false" layoutInCell="true" allowOverlap="true">
                <wp:simplePos x="0" y="0"/>
                <wp:positionH relativeFrom="column">
                  <wp:posOffset>3392127</wp:posOffset>
                </wp:positionH>
                <wp:positionV relativeFrom="paragraph">
                  <wp:posOffset>935971</wp:posOffset>
                </wp:positionV>
                <wp:extent cx="360" cy="358"/>
                <wp:effectExtent l="133350" t="209550" r="133350" b="247650"/>
                <wp:wrapNone/>
                <wp:docPr id="1069" name="Рукописный ввод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29">
                      <w14:xfrm rot="0">
                        <a:off x="0" y="0"/>
                        <a:ext cx="360" cy="358"/>
                      </w14:xfrm>
                    </w14:contentPart>
                  </a:graphicData>
                </a:graphic>
              </wp:anchor>
            </w:drawing>
          </mc:Choice>
          <mc:Fallback>
            <w:pict>
              <v:shape id="1069" filled="f" stroked="t" style="position:absolute;margin-left:267.1pt;margin-top:73.7pt;width:0.03pt;height:0.03pt;z-index:19;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AIOA&#10;&#10;"/>
              </v:shape>
            </w:pict>
          </mc:Fallback>
        </mc:AlternateContent>
      </w:r>
      <w:r>
        <w:rPr>
          <w:noProof/>
        </w:rPr>
        <mc:AlternateContent>
          <mc:Choice Requires="wps">
            <w:drawing>
              <wp:anchor distT="0" distB="0" distL="0" distR="0" simplePos="false" relativeHeight="18" behindDoc="false" locked="false" layoutInCell="true" allowOverlap="true">
                <wp:simplePos x="0" y="0"/>
                <wp:positionH relativeFrom="column">
                  <wp:posOffset>3754287</wp:posOffset>
                </wp:positionH>
                <wp:positionV relativeFrom="paragraph">
                  <wp:posOffset>619531</wp:posOffset>
                </wp:positionV>
                <wp:extent cx="360" cy="360"/>
                <wp:effectExtent l="133350" t="209550" r="133350" b="247650"/>
                <wp:wrapNone/>
                <wp:docPr id="1070" name="Рукописный ввод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0">
                      <w14:xfrm rot="0">
                        <a:off x="0" y="0"/>
                        <a:ext cx="360" cy="360"/>
                      </w14:xfrm>
                    </w14:contentPart>
                  </a:graphicData>
                </a:graphic>
              </wp:anchor>
            </w:drawing>
          </mc:Choice>
          <mc:Fallback>
            <w:pict>
              <v:shape id="1070" filled="f" stroked="t" style="position:absolute;margin-left:295.61pt;margin-top:48.78pt;width:0.03pt;height:0.03pt;z-index:18;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gIMA&#10;&#10;"/>
              </v:shape>
            </w:pict>
          </mc:Fallback>
        </mc:AlternateContent>
      </w:r>
      <w:r>
        <w:rPr>
          <w:noProof/>
        </w:rPr>
        <mc:AlternateContent>
          <mc:Choice Requires="wps">
            <w:drawing>
              <wp:anchor distT="0" distB="0" distL="0" distR="0" simplePos="false" relativeHeight="17" behindDoc="false" locked="false" layoutInCell="true" allowOverlap="true">
                <wp:simplePos x="0" y="0"/>
                <wp:positionH relativeFrom="column">
                  <wp:posOffset>3754287</wp:posOffset>
                </wp:positionH>
                <wp:positionV relativeFrom="paragraph">
                  <wp:posOffset>619531</wp:posOffset>
                </wp:positionV>
                <wp:extent cx="360" cy="360"/>
                <wp:effectExtent l="133350" t="209550" r="133350" b="247650"/>
                <wp:wrapNone/>
                <wp:docPr id="1071" name="Рукописный ввод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1">
                      <w14:xfrm rot="0">
                        <a:off x="0" y="0"/>
                        <a:ext cx="360" cy="360"/>
                      </w14:xfrm>
                    </w14:contentPart>
                  </a:graphicData>
                </a:graphic>
              </wp:anchor>
            </w:drawing>
          </mc:Choice>
          <mc:Fallback>
            <w:pict>
              <v:shape id="1071" filled="f" stroked="t" style="position:absolute;margin-left:295.61pt;margin-top:48.78pt;width:0.03pt;height:0.03pt;z-index:17;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gIMA&#10;&#10;"/>
              </v:shape>
            </w:pict>
          </mc:Fallback>
        </mc:AlternateContent>
      </w:r>
      <w:r>
        <w:rPr>
          <w:noProof/>
        </w:rPr>
        <mc:AlternateContent>
          <mc:Choice Requires="wps">
            <w:drawing>
              <wp:anchor distT="0" distB="0" distL="0" distR="0" simplePos="false" relativeHeight="16" behindDoc="false" locked="false" layoutInCell="true" allowOverlap="true">
                <wp:simplePos x="0" y="0"/>
                <wp:positionH relativeFrom="column">
                  <wp:posOffset>5375007</wp:posOffset>
                </wp:positionH>
                <wp:positionV relativeFrom="paragraph">
                  <wp:posOffset>67291</wp:posOffset>
                </wp:positionV>
                <wp:extent cx="476639" cy="12239"/>
                <wp:effectExtent l="114300" t="209550" r="152400" b="235585"/>
                <wp:wrapNone/>
                <wp:docPr id="1072" name="Рукописный ввод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2">
                      <w14:xfrm rot="0">
                        <a:off x="0" y="0"/>
                        <a:ext cx="476639" cy="12239"/>
                      </w14:xfrm>
                    </w14:contentPart>
                  </a:graphicData>
                </a:graphic>
              </wp:anchor>
            </w:drawing>
          </mc:Choice>
          <mc:Fallback>
            <w:pict>
              <v:shape id="1072" filled="f" stroked="t" style="position:absolute;margin-left:423.23pt;margin-top:5.3pt;width:37.53pt;height:0.96pt;z-index:16;mso-position-horizontal-relative:text;mso-position-vertical-relative:text;mso-width-relative:page;mso-height-relative:page;mso-wrap-distance-left:0.0pt;mso-wrap-distance-right:0.0pt;visibility:visible;">
                <v:stroke color="white" opacity="21845f" weight="28.35pt"/>
                <v:fill/>
                <o:ink i="AEcdBOQCmAQCFxZIEUT///8HRfQDRwFXCQAAAEboB1AAFQAAgD8AAIA/AAAAAAAAAAAKFQmDfpJP&#10;4A7/zMyY+I/iIIMQqPE5gA==&#10;"/>
              </v:shape>
            </w:pict>
          </mc:Fallback>
        </mc:AlternateContent>
      </w:r>
      <w:r>
        <w:rPr>
          <w:noProof/>
        </w:rPr>
        <mc:AlternateContent>
          <mc:Choice Requires="wps">
            <w:drawing>
              <wp:anchor distT="0" distB="0" distL="0" distR="0" simplePos="false" relativeHeight="15" behindDoc="false" locked="false" layoutInCell="true" allowOverlap="true">
                <wp:simplePos x="0" y="0"/>
                <wp:positionH relativeFrom="column">
                  <wp:posOffset>5673447</wp:posOffset>
                </wp:positionH>
                <wp:positionV relativeFrom="paragraph">
                  <wp:posOffset>39931</wp:posOffset>
                </wp:positionV>
                <wp:extent cx="360" cy="360"/>
                <wp:effectExtent l="133350" t="209550" r="133350" b="247650"/>
                <wp:wrapNone/>
                <wp:docPr id="1073" name="Рукописный ввод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3">
                      <w14:xfrm rot="0">
                        <a:off x="0" y="0"/>
                        <a:ext cx="360" cy="360"/>
                      </w14:xfrm>
                    </w14:contentPart>
                  </a:graphicData>
                </a:graphic>
              </wp:anchor>
            </w:drawing>
          </mc:Choice>
          <mc:Fallback>
            <w:pict>
              <v:shape id="1073" filled="f" stroked="t" style="position:absolute;margin-left:446.73pt;margin-top:3.14pt;width:0.03pt;height:0.03pt;z-index:15;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gIOA&#10;&#10;"/>
              </v:shape>
            </w:pict>
          </mc:Fallback>
        </mc:AlternateContent>
      </w:r>
      <w:r>
        <w:rPr>
          <w:noProof/>
        </w:rPr>
        <mc:AlternateContent>
          <mc:Choice Requires="wps">
            <w:drawing>
              <wp:anchor distT="0" distB="0" distL="0" distR="0" simplePos="false" relativeHeight="14" behindDoc="false" locked="false" layoutInCell="true" allowOverlap="true">
                <wp:simplePos x="0" y="0"/>
                <wp:positionH relativeFrom="column">
                  <wp:posOffset>5673447</wp:posOffset>
                </wp:positionH>
                <wp:positionV relativeFrom="paragraph">
                  <wp:posOffset>39931</wp:posOffset>
                </wp:positionV>
                <wp:extent cx="360" cy="360"/>
                <wp:effectExtent l="133350" t="209550" r="133350" b="247650"/>
                <wp:wrapNone/>
                <wp:docPr id="1074" name="Рукописный ввод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4">
                      <w14:xfrm rot="0">
                        <a:off x="0" y="0"/>
                        <a:ext cx="360" cy="360"/>
                      </w14:xfrm>
                    </w14:contentPart>
                  </a:graphicData>
                </a:graphic>
              </wp:anchor>
            </w:drawing>
          </mc:Choice>
          <mc:Fallback>
            <w:pict>
              <v:shape id="1074" filled="f" stroked="t" style="position:absolute;margin-left:446.73pt;margin-top:3.14pt;width:0.03pt;height:0.03pt;z-index:14;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gIOA&#10;&#10;"/>
              </v:shape>
            </w:pict>
          </mc:Fallback>
        </mc:AlternateContent>
      </w:r>
      <w:r>
        <w:rPr>
          <w:noProof/>
        </w:rPr>
        <mc:AlternateContent>
          <mc:Choice Requires="wps">
            <w:drawing>
              <wp:anchor distT="0" distB="0" distL="0" distR="0" simplePos="false" relativeHeight="13" behindDoc="false" locked="false" layoutInCell="true" allowOverlap="true">
                <wp:simplePos x="0" y="0"/>
                <wp:positionH relativeFrom="column">
                  <wp:posOffset>5076207</wp:posOffset>
                </wp:positionH>
                <wp:positionV relativeFrom="paragraph">
                  <wp:posOffset>-122788</wp:posOffset>
                </wp:positionV>
                <wp:extent cx="588959" cy="163440"/>
                <wp:effectExtent l="114300" t="209550" r="173355" b="236855"/>
                <wp:wrapNone/>
                <wp:docPr id="1075" name="Рукописный ввод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5">
                      <w14:xfrm rot="0">
                        <a:off x="0" y="0"/>
                        <a:ext cx="588959" cy="163440"/>
                      </w14:xfrm>
                    </w14:contentPart>
                  </a:graphicData>
                </a:graphic>
              </wp:anchor>
            </w:drawing>
          </mc:Choice>
          <mc:Fallback>
            <w:pict>
              <v:shape id="1075" filled="f" stroked="t" style="position:absolute;margin-left:399.7pt;margin-top:-9.67pt;width:46.37pt;height:12.87pt;z-index:13;mso-position-horizontal-relative:text;mso-position-vertical-relative:text;mso-width-relative:page;mso-height-relative:page;mso-wrap-distance-left:0.0pt;mso-wrap-distance-right:0.0pt;visibility:visible;">
                <v:stroke color="white" opacity="21845f" weight="28.35pt"/>
                <v:fill/>
                <o:ink i="AEsdBOQCmAQCFxZIEUT///8HRfQDRwFXCQAAAEboB1AAFQAAgD8AAIA/AAAAAAAAAAAKGQeDfkZP&#10;s/8WjHz59ziDj8Dh8H/gC8+B74A=&#10;"/>
              </v:shape>
            </w:pict>
          </mc:Fallback>
        </mc:AlternateContent>
      </w:r>
      <w:r>
        <w:rPr>
          <w:noProof/>
        </w:rPr>
        <mc:AlternateContent>
          <mc:Choice Requires="wps">
            <w:drawing>
              <wp:anchor distT="0" distB="0" distL="0" distR="0" simplePos="false" relativeHeight="12" behindDoc="false" locked="false" layoutInCell="true" allowOverlap="true">
                <wp:simplePos x="0" y="0"/>
                <wp:positionH relativeFrom="column">
                  <wp:posOffset>5347647</wp:posOffset>
                </wp:positionH>
                <wp:positionV relativeFrom="paragraph">
                  <wp:posOffset>66211</wp:posOffset>
                </wp:positionV>
                <wp:extent cx="545040" cy="28438"/>
                <wp:effectExtent l="95250" t="133350" r="45720" b="181610"/>
                <wp:wrapNone/>
                <wp:docPr id="1076" name="Рукописный ввод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6">
                      <w14:xfrm rot="0">
                        <a:off x="0" y="0"/>
                        <a:ext cx="545040" cy="28438"/>
                      </w14:xfrm>
                    </w14:contentPart>
                  </a:graphicData>
                </a:graphic>
              </wp:anchor>
            </w:drawing>
          </mc:Choice>
          <mc:Fallback>
            <w:pict>
              <v:shape id="1076" filled="f" stroked="t" style="position:absolute;margin-left:421.07pt;margin-top:5.21pt;width:42.92pt;height:2.24pt;z-index:12;mso-position-horizontal-relative:text;mso-position-vertical-relative:text;mso-width-relative:page;mso-height-relative:page;mso-wrap-distance-left:0.0pt;mso-wrap-distance-right:0.0pt;visibility:visible;">
                <v:stroke color="white" opacity="21845f" weight="17.01pt"/>
                <v:fill/>
                <o:ink i="AF0dBOQCmAQCFxZIEUT///8HRawCRwFXCQAAAEbYBFAAFQAAgD8AAIA/AAAAAAAAAAAKKw6DfCT4&#10;w+Afor8IJ+F5/ACfgOfqz77+Kvjcg/mz5xnx9eHx+AOD2PV8TwQ=&#10;"/>
              </v:shape>
            </w:pict>
          </mc:Fallback>
        </mc:AlternateContent>
      </w:r>
      <w:r>
        <w:rPr>
          <w:noProof/>
        </w:rPr>
        <mc:AlternateContent>
          <mc:Choice Requires="wps">
            <w:drawing>
              <wp:anchor distT="0" distB="0" distL="0" distR="0" simplePos="false" relativeHeight="11" behindDoc="false" locked="false" layoutInCell="true" allowOverlap="true">
                <wp:simplePos x="0" y="0"/>
                <wp:positionH relativeFrom="column">
                  <wp:posOffset>5438367</wp:posOffset>
                </wp:positionH>
                <wp:positionV relativeFrom="paragraph">
                  <wp:posOffset>49291</wp:posOffset>
                </wp:positionV>
                <wp:extent cx="360" cy="360"/>
                <wp:effectExtent l="95250" t="152400" r="114300" b="152400"/>
                <wp:wrapNone/>
                <wp:docPr id="1077" name="Рукописный ввод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7">
                      <w14:xfrm rot="0">
                        <a:off x="0" y="0"/>
                        <a:ext cx="360" cy="360"/>
                      </w14:xfrm>
                    </w14:contentPart>
                  </a:graphicData>
                </a:graphic>
              </wp:anchor>
            </w:drawing>
          </mc:Choice>
          <mc:Fallback>
            <w:pict>
              <v:shape id="1077" filled="f" stroked="t" style="position:absolute;margin-left:428.22pt;margin-top:3.88pt;width:0.03pt;height:0.03pt;z-index:11;mso-position-horizontal-relative:text;mso-position-vertical-relative:text;mso-width-relative:page;mso-height-relative:page;mso-wrap-distance-left:0.0pt;mso-wrap-distance-right:0.0pt;visibility:visible;">
                <v:stroke color="white" opacity="21845f" weight="17.01pt"/>
                <v:fill/>
                <o:ink i="ADcdBOQCmAQCFxZIEUT///8HRawCRwFXCQAAAEbYBFAAFQAAgD8AAIA/AAAAAAAAAAAKBQGDgIMA&#10;&#10;"/>
              </v:shape>
            </w:pict>
          </mc:Fallback>
        </mc:AlternateContent>
      </w:r>
      <w:r>
        <w:rPr>
          <w:noProof/>
        </w:rPr>
        <mc:AlternateContent>
          <mc:Choice Requires="wps">
            <w:drawing>
              <wp:anchor distT="0" distB="0" distL="0" distR="0" simplePos="false" relativeHeight="10" behindDoc="false" locked="false" layoutInCell="true" allowOverlap="true">
                <wp:simplePos x="0" y="0"/>
                <wp:positionH relativeFrom="column">
                  <wp:posOffset>5438367</wp:posOffset>
                </wp:positionH>
                <wp:positionV relativeFrom="paragraph">
                  <wp:posOffset>49291</wp:posOffset>
                </wp:positionV>
                <wp:extent cx="360" cy="360"/>
                <wp:effectExtent l="95250" t="152400" r="114300" b="152400"/>
                <wp:wrapNone/>
                <wp:docPr id="1078" name="Рукописный ввод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8">
                      <w14:xfrm rot="0">
                        <a:off x="0" y="0"/>
                        <a:ext cx="360" cy="360"/>
                      </w14:xfrm>
                    </w14:contentPart>
                  </a:graphicData>
                </a:graphic>
              </wp:anchor>
            </w:drawing>
          </mc:Choice>
          <mc:Fallback>
            <w:pict>
              <v:shape id="1078" filled="f" stroked="t" style="position:absolute;margin-left:428.22pt;margin-top:3.88pt;width:0.03pt;height:0.03pt;z-index:10;mso-position-horizontal-relative:text;mso-position-vertical-relative:text;mso-width-relative:page;mso-height-relative:page;mso-wrap-distance-left:0.0pt;mso-wrap-distance-right:0.0pt;visibility:visible;">
                <v:stroke color="white" opacity="21845f" weight="17.01pt"/>
                <v:fill/>
                <o:ink i="ADcdBOQCmAQCFxZIEUT///8HRawCRwFXCQAAAEbYBFAAFQAAgD8AAIA/AAAAAAAAAAAKBQGDgIMA&#10;&#10;"/>
              </v:shape>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5429367</wp:posOffset>
                </wp:positionH>
                <wp:positionV relativeFrom="paragraph">
                  <wp:posOffset>54331</wp:posOffset>
                </wp:positionV>
                <wp:extent cx="213478" cy="22680"/>
                <wp:effectExtent l="76200" t="133350" r="110490" b="168275"/>
                <wp:wrapNone/>
                <wp:docPr id="1079" name="Рукописный ввод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9">
                      <w14:xfrm rot="0">
                        <a:off x="0" y="0"/>
                        <a:ext cx="213478" cy="22680"/>
                      </w14:xfrm>
                    </w14:contentPart>
                  </a:graphicData>
                </a:graphic>
              </wp:anchor>
            </w:drawing>
          </mc:Choice>
          <mc:Fallback>
            <w:pict>
              <v:shape id="1079" filled="f" stroked="t" style="position:absolute;margin-left:427.51pt;margin-top:4.28pt;width:16.81pt;height:1.79pt;z-index:9;mso-position-horizontal-relative:text;mso-position-vertical-relative:text;mso-width-relative:page;mso-height-relative:page;mso-wrap-distance-left:0.0pt;mso-wrap-distance-right:0.0pt;visibility:visible;">
                <v:stroke color="white" opacity="21845f" weight="17.01pt"/>
                <v:fill/>
                <o:ink i="AE4dBOQCmAQCFxZIEUT///8HRawCRwFXCQAAAEbYBFAAFQAAgD8AAIA/AAAAAAAAAAAKHBKDcPQ8&#10;zyOlOffrx45lx4iD+SvktxTW1RURDcg=&#10;"/>
              </v:shape>
            </w:pict>
          </mc:Fallback>
        </mc:AlternateContent>
      </w:r>
      <w:r>
        <w:rPr>
          <w:noProof/>
        </w:rPr>
        <w:drawing>
          <wp:inline distL="0" distT="0" distB="0" distR="0">
            <wp:extent cx="6001640" cy="2573079"/>
            <wp:effectExtent l="0" t="0" r="0" b="0"/>
            <wp:docPr id="1080"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1"/>
                    <pic:cNvPicPr/>
                  </pic:nvPicPr>
                  <pic:blipFill>
                    <a:blip r:embed="rId40" cstate="print"/>
                    <a:srcRect l="296" t="0" r="296" b="0"/>
                    <a:stretch/>
                  </pic:blipFill>
                  <pic:spPr>
                    <a:xfrm rot="0">
                      <a:off x="0" y="0"/>
                      <a:ext cx="6001640" cy="2573079"/>
                    </a:xfrm>
                    <a:prstGeom prst="rect"/>
                  </pic:spPr>
                </pic:pic>
              </a:graphicData>
            </a:graphic>
          </wp:inline>
        </w:drawing>
      </w:r>
    </w:p>
    <w:p>
      <w:pPr>
        <w:pStyle w:val="style0"/>
        <w:spacing w:after="0" w:lineRule="auto" w:line="360"/>
        <w:ind w:firstLine="709"/>
        <w:jc w:val="center"/>
        <w:rPr/>
      </w:pPr>
      <w:r>
        <w:t>Рисунок</w:t>
      </w:r>
      <w:r>
        <w:t xml:space="preserve"> 18 – </w:t>
      </w:r>
      <w:r>
        <w:t>С</w:t>
      </w:r>
      <w:r>
        <w:t>татистика ответов респондентов по поводу распоряженя свободными деньгами в период с 2018 по 2022 г.</w:t>
      </w:r>
    </w:p>
    <w:p>
      <w:pPr>
        <w:pStyle w:val="style0"/>
        <w:spacing w:after="0" w:lineRule="auto" w:line="360"/>
        <w:ind w:firstLine="709"/>
        <w:jc w:val="both"/>
        <w:rPr/>
      </w:pPr>
      <w:r>
        <w:rPr>
          <w:noProof/>
        </w:rPr>
        <mc:AlternateContent>
          <mc:Choice Requires="wps">
            <w:drawing>
              <wp:anchor distT="0" distB="0" distL="0" distR="0" simplePos="false" relativeHeight="27" behindDoc="false" locked="false" layoutInCell="true" allowOverlap="true">
                <wp:simplePos x="0" y="0"/>
                <wp:positionH relativeFrom="column">
                  <wp:posOffset>1608327</wp:posOffset>
                </wp:positionH>
                <wp:positionV relativeFrom="paragraph">
                  <wp:posOffset>456996</wp:posOffset>
                </wp:positionV>
                <wp:extent cx="358" cy="360"/>
                <wp:effectExtent l="133350" t="209550" r="133350" b="247650"/>
                <wp:wrapNone/>
                <wp:docPr id="1081" name="Рукописный ввод 3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41">
                      <w14:xfrm rot="0">
                        <a:off x="0" y="0"/>
                        <a:ext cx="358" cy="360"/>
                      </w14:xfrm>
                    </w14:contentPart>
                  </a:graphicData>
                </a:graphic>
              </wp:anchor>
            </w:drawing>
          </mc:Choice>
          <mc:Fallback>
            <w:pict>
              <v:shape id="1081" filled="f" stroked="t" style="position:absolute;margin-left:126.64pt;margin-top:35.98pt;width:0.03pt;height:0.03pt;z-index:27;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gIMA&#10;&#10;"/>
              </v:shape>
            </w:pict>
          </mc:Fallback>
        </mc:AlternateContent>
      </w:r>
      <w:r>
        <w:rPr>
          <w:noProof/>
        </w:rPr>
        <mc:AlternateContent>
          <mc:Choice Requires="wps">
            <w:drawing>
              <wp:anchor distT="0" distB="0" distL="0" distR="0" simplePos="false" relativeHeight="26" behindDoc="false" locked="false" layoutInCell="true" allowOverlap="true">
                <wp:simplePos x="0" y="0"/>
                <wp:positionH relativeFrom="column">
                  <wp:posOffset>1646127</wp:posOffset>
                </wp:positionH>
                <wp:positionV relativeFrom="paragraph">
                  <wp:posOffset>-40884</wp:posOffset>
                </wp:positionV>
                <wp:extent cx="307080" cy="464400"/>
                <wp:effectExtent l="133350" t="228600" r="150495" b="221615"/>
                <wp:wrapNone/>
                <wp:docPr id="1082" name="Рукописный ввод 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42">
                      <w14:xfrm rot="0">
                        <a:off x="0" y="0"/>
                        <a:ext cx="307080" cy="464400"/>
                      </w14:xfrm>
                    </w14:contentPart>
                  </a:graphicData>
                </a:graphic>
              </wp:anchor>
            </w:drawing>
          </mc:Choice>
          <mc:Fallback>
            <w:pict>
              <v:shape id="1082" filled="f" stroked="t" style="position:absolute;margin-left:129.62pt;margin-top:-3.22pt;width:24.18pt;height:36.57pt;z-index:26;mso-position-horizontal-relative:text;mso-position-vertical-relative:text;mso-width-relative:page;mso-height-relative:page;mso-wrap-distance-left:0.0pt;mso-wrap-distance-right:0.0pt;visibility:visible;">
                <v:stroke color="white" opacity="21845f" weight="28.35pt"/>
                <v:fill/>
                <o:ink i="AFQdBOQCmAQCFxZIEUT///8HRfQDRwFXCQAAAEboB1AAFQAAgD8AAIA/AAAAAAAAAAAKIguD/K7f&#10;lj/g34B+A/N4zy4esIOPgj5A+JPgr0p8n2fT+DQ=&#10;"/>
              </v:shape>
            </w:pict>
          </mc:Fallback>
        </mc:AlternateContent>
      </w:r>
      <w:r>
        <w:rPr>
          <w:noProof/>
        </w:rPr>
        <mc:AlternateContent>
          <mc:Choice Requires="wps">
            <w:drawing>
              <wp:anchor distT="0" distB="0" distL="0" distR="0" simplePos="false" relativeHeight="25" behindDoc="false" locked="false" layoutInCell="true" allowOverlap="true">
                <wp:simplePos x="0" y="0"/>
                <wp:positionH relativeFrom="column">
                  <wp:posOffset>1690047</wp:posOffset>
                </wp:positionH>
                <wp:positionV relativeFrom="paragraph">
                  <wp:posOffset>185556</wp:posOffset>
                </wp:positionV>
                <wp:extent cx="360" cy="359"/>
                <wp:effectExtent l="133350" t="209550" r="133350" b="247650"/>
                <wp:wrapNone/>
                <wp:docPr id="1083" name="Рукописный ввод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43">
                      <w14:xfrm rot="0">
                        <a:off x="0" y="0"/>
                        <a:ext cx="360" cy="359"/>
                      </w14:xfrm>
                    </w14:contentPart>
                  </a:graphicData>
                </a:graphic>
              </wp:anchor>
            </w:drawing>
          </mc:Choice>
          <mc:Fallback>
            <w:pict>
              <v:shape id="1083" filled="f" stroked="t" style="position:absolute;margin-left:133.07pt;margin-top:14.61pt;width:0.03pt;height:0.03pt;z-index:25;mso-position-horizontal-relative:text;mso-position-vertical-relative:text;mso-width-relative:page;mso-height-relative:page;mso-wrap-distance-left:0.0pt;mso-wrap-distance-right:0.0pt;visibility:visible;">
                <v:stroke color="white" opacity="21845f" weight="28.35pt"/>
                <v:fill/>
                <o:ink i="ADcdBOQCmAQCFxZIEUT///8HRfQDRwFXCQAAAEboB1AAFQAAgD8AAIA/AAAAAAAAAAAKBQGDAIMA&#10;&#10;"/>
              </v:shape>
            </w:pict>
          </mc:Fallback>
        </mc:AlternateContent>
      </w:r>
      <w:r>
        <w:t xml:space="preserve">Так, по данным опросов ООО «инФОМ», на фоне всплеска инфляционных ожиданий и наблюдаемой инфляции в марте 2022 года население стало </w:t>
      </w:r>
      <w:r>
        <w:t>сберегать меньше, чем в предыдущие месяцы текущего года. Доля респондентов, предпочитающих тратить, а не сберегать свободные деньги, также уменьшилась.</w:t>
      </w:r>
      <w:r>
        <w:t xml:space="preserve"> </w:t>
      </w:r>
      <w:r>
        <w:t>В октябре 2022 года доля респондентов, предпочитающих откладывать, увеличилась до 53,8% (максимальное зн</w:t>
      </w:r>
      <w:r>
        <w:t>ачение с марта 2021 года) из-за высокой неопределенности в ожиданиях относительно будущего в новых условиях и сокращения потребления при высоком уровне инфляции. При этом уже в октябре склонность домохозяйств к потреблению снизилась до уровня мая 2022 года</w:t>
      </w:r>
      <w:r>
        <w:t>. Доля респондентов, предпочитающих тратить свободные деньги на покупку дорогостоящих товаров, а не сберегать, в октябре составила 25,6%.</w:t>
      </w:r>
    </w:p>
    <w:p>
      <w:pPr>
        <w:pStyle w:val="style0"/>
        <w:spacing w:after="0" w:lineRule="auto" w:line="360"/>
        <w:ind w:firstLine="709"/>
        <w:jc w:val="both"/>
        <w:rPr/>
      </w:pPr>
      <w:r>
        <w:t>По данным мониторинга предприятий, проводимого Банком России, в  период с 2021 года и до февраля 2022 года ценовые ожидания предприятий на три месяца вперед преимущественно росли вслед за ценами на сырье, материалы и комплектующие. В марте 2022 года произо</w:t>
      </w:r>
      <w:r>
        <w:t xml:space="preserve">шел всплеск ценовых ожиданий предприятий почти во всех отраслях (наиболее значительный рост – в розничной торговле). Как следствие, ценовые ожидания достигли максимального значения за всю историю наблюдений – с января 2000 года. </w:t>
      </w:r>
      <w:r>
        <w:t>Опрошенные предприятия связ</w:t>
      </w:r>
      <w:r>
        <w:t xml:space="preserve">ывали такую динамику в первую очередь с ослаблением рубля, ростом закупочных цен и снижением запасов. В апреле – августе 2022 года ценовые ожидания предприятий во всех сферах деятельности снижались, в сентябре – октябре несколько повысились, но находились </w:t>
      </w:r>
      <w:r>
        <w:t>ниже уровня начала 2021 года. Это главным образом связывалось с сокращением спроса, замедлением роста издержек, в том числе на фоне укрепления рубля, и снижением стоимости моторного топлива. Кроме того, компании отмечали замедление роста рисков хозяйственн</w:t>
      </w:r>
      <w:r>
        <w:t xml:space="preserve">ой деятельности, улучшение экономической конъюнктуры и обеспеченности запасами готовой продукции относительно марта 2022 года. </w:t>
      </w:r>
      <w:r>
        <w:t>(рис.19)</w:t>
      </w:r>
      <w:r>
        <w:rPr>
          <w:noProof/>
        </w:rPr>
        <w:drawing>
          <wp:inline distL="0" distT="0" distB="0" distR="0">
            <wp:extent cx="5775325" cy="2604977"/>
            <wp:effectExtent l="0" t="0" r="0" b="5080"/>
            <wp:docPr id="1084" name="Рисунок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40"/>
                    <pic:cNvPicPr/>
                  </pic:nvPicPr>
                  <pic:blipFill>
                    <a:blip r:embed="rId44" cstate="print"/>
                    <a:srcRect l="0" t="0" r="0" b="0"/>
                    <a:stretch/>
                  </pic:blipFill>
                  <pic:spPr>
                    <a:xfrm rot="0">
                      <a:off x="0" y="0"/>
                      <a:ext cx="5775325" cy="2604977"/>
                    </a:xfrm>
                    <a:prstGeom prst="rect"/>
                  </pic:spPr>
                </pic:pic>
              </a:graphicData>
            </a:graphic>
          </wp:inline>
        </w:drawing>
      </w:r>
    </w:p>
    <w:p>
      <w:pPr>
        <w:pStyle w:val="style0"/>
        <w:spacing w:after="0" w:lineRule="auto" w:line="360"/>
        <w:ind w:firstLine="709"/>
        <w:jc w:val="center"/>
        <w:rPr/>
      </w:pPr>
      <w:r>
        <w:t>Рисунок 19 – Динамика ценовых ожиданий предприятий в период с 2018 по 2022 г.</w:t>
      </w:r>
    </w:p>
    <w:p>
      <w:pPr>
        <w:pStyle w:val="style0"/>
        <w:spacing w:after="0" w:lineRule="auto" w:line="360"/>
        <w:ind w:firstLine="709"/>
        <w:jc w:val="both"/>
        <w:rPr/>
      </w:pPr>
      <w:r>
        <w:t>Таким образом, в результате разовых проин</w:t>
      </w:r>
      <w:r>
        <w:t xml:space="preserve">фляционных факторов инфляционные ожидания бизнеса и населения с начала 2021 года до февраля 2022 года имели тенденцию к росту. В марте 2022 года на фоне введения внешних санкций и высокого уровня неопределенности произошел существенный скачок инфляционных </w:t>
      </w:r>
      <w:r>
        <w:t>ожиданий. При этом уже в апреле – мае 2022 года отмечалось снижение инфляционных ожиданий как населения, так и бизнеса, что объяснялось постепенной адаптацией к новым условиям. Подобное снижение инфляционных ожиданий населения и бизнеса дало предпосылки дл</w:t>
      </w:r>
      <w:r>
        <w:t xml:space="preserve">я уменьшения устойчивого инфляционного давления и стало </w:t>
      </w:r>
      <w:r>
        <w:t>одним из факторов снижения ключевой ставки в апреле – сентябре 2022 года. Однако в ходе начавшегося процесса структурной перестройки экономики высоки риски возникновения факторов, способствующих кратк</w:t>
      </w:r>
      <w:r>
        <w:t xml:space="preserve">осрочным колебаниям цен, что в условиях слабозаякоренных инфляционных ожиданий может привести к росту их волатильности. </w:t>
      </w:r>
      <w:r>
        <w:t xml:space="preserve">[29. </w:t>
      </w:r>
      <w:r>
        <w:rPr>
          <w:lang w:val="en-US"/>
        </w:rPr>
        <w:t>c</w:t>
      </w:r>
      <w:r>
        <w:t>.114]</w:t>
      </w:r>
      <w:bookmarkStart w:id="15" w:name="_Hlk122183587"/>
    </w:p>
    <w:bookmarkEnd w:id="15"/>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lineRule="auto" w:line="259"/>
        <w:rPr/>
      </w:pPr>
      <w:r>
        <w:br w:type="page"/>
      </w:r>
    </w:p>
    <w:p>
      <w:pPr>
        <w:pStyle w:val="style0"/>
        <w:spacing w:after="0" w:lineRule="auto" w:line="360"/>
        <w:ind w:firstLine="709"/>
        <w:jc w:val="center"/>
        <w:rPr/>
      </w:pPr>
      <w:r>
        <w:t>ЗАКЛЮЧЕНИЕ</w:t>
      </w:r>
    </w:p>
    <w:p>
      <w:pPr>
        <w:pStyle w:val="style0"/>
        <w:spacing w:after="0" w:lineRule="auto" w:line="360"/>
        <w:ind w:firstLine="709"/>
        <w:jc w:val="both"/>
        <w:rPr/>
      </w:pPr>
      <w:r>
        <w:t>В ходе работы была выполнена цель курсовой работы и выполнены следующие задачи:</w:t>
      </w:r>
    </w:p>
    <w:p>
      <w:pPr>
        <w:pStyle w:val="style0"/>
        <w:spacing w:after="0" w:lineRule="auto" w:line="360"/>
        <w:ind w:firstLine="709"/>
        <w:jc w:val="both"/>
        <w:rPr/>
      </w:pPr>
      <w:r>
        <w:t>- рассмотрено понятие</w:t>
      </w:r>
      <w:r>
        <w:t xml:space="preserve"> и сущность инфляции;</w:t>
      </w:r>
    </w:p>
    <w:p>
      <w:pPr>
        <w:pStyle w:val="style0"/>
        <w:spacing w:after="0" w:lineRule="auto" w:line="360"/>
        <w:ind w:firstLine="709"/>
        <w:jc w:val="both"/>
        <w:rPr/>
      </w:pPr>
      <w:r>
        <w:t>- изучены количественные и качественные показатели уровня инфляции в Российской Федерации;</w:t>
      </w:r>
    </w:p>
    <w:p>
      <w:pPr>
        <w:pStyle w:val="style0"/>
        <w:spacing w:after="0" w:lineRule="auto" w:line="360"/>
        <w:ind w:firstLine="709"/>
        <w:jc w:val="both"/>
        <w:rPr/>
      </w:pPr>
      <w:r>
        <w:t>- рассмотрены причины и последствия возникновения инфляции;</w:t>
      </w:r>
    </w:p>
    <w:p>
      <w:pPr>
        <w:pStyle w:val="style0"/>
        <w:spacing w:after="0" w:lineRule="auto" w:line="360"/>
        <w:ind w:firstLine="709"/>
        <w:jc w:val="both"/>
        <w:rPr/>
      </w:pPr>
      <w:r>
        <w:t>- проведен анализ развития инфляции и ее темпов в период 2013-2022 г;</w:t>
      </w:r>
    </w:p>
    <w:p>
      <w:pPr>
        <w:pStyle w:val="style0"/>
        <w:spacing w:after="0" w:lineRule="auto" w:line="360"/>
        <w:ind w:firstLine="709"/>
        <w:jc w:val="both"/>
        <w:rPr/>
      </w:pPr>
      <w:r>
        <w:t>- дана оценка</w:t>
      </w:r>
      <w:r>
        <w:t xml:space="preserve"> факторов, влияющих на инфляцию в рыночной экономике;</w:t>
      </w:r>
    </w:p>
    <w:p>
      <w:pPr>
        <w:pStyle w:val="style0"/>
        <w:spacing w:after="0" w:lineRule="auto" w:line="360"/>
        <w:ind w:firstLine="709"/>
        <w:jc w:val="both"/>
        <w:rPr/>
      </w:pPr>
      <w:r>
        <w:t>- рассмотрена антиинфляционная политика, проводимая Центральным Банком, а также проведен анализ инфляционных ожиданий экономических агентов;</w:t>
      </w:r>
    </w:p>
    <w:p>
      <w:pPr>
        <w:pStyle w:val="style0"/>
        <w:spacing w:after="0" w:lineRule="auto" w:line="360"/>
        <w:ind w:firstLine="709"/>
        <w:jc w:val="both"/>
        <w:rPr/>
      </w:pPr>
      <w:r>
        <w:t>- были созданы рекомендации по борьбе с инфляцией.</w:t>
      </w:r>
    </w:p>
    <w:p>
      <w:pPr>
        <w:pStyle w:val="style0"/>
        <w:spacing w:after="0" w:lineRule="auto" w:line="360"/>
        <w:ind w:firstLine="709"/>
        <w:jc w:val="both"/>
        <w:rPr/>
      </w:pPr>
      <w:r>
        <w:t xml:space="preserve">С момента появления понятия инфляция и до нашего времени, данный термин является одним из самых опасных процессов в экономике. </w:t>
      </w:r>
    </w:p>
    <w:p>
      <w:pPr>
        <w:pStyle w:val="style0"/>
        <w:spacing w:after="0" w:lineRule="auto" w:line="360"/>
        <w:ind w:firstLine="709"/>
        <w:jc w:val="both"/>
        <w:rPr/>
      </w:pPr>
      <w:r>
        <w:t>Инфляция провоцирует наращивание затрат страны. Сразу происходит обесценивание налоговых и других поступлений в бюджет, вследств</w:t>
      </w:r>
      <w:r>
        <w:t>ие чего же накаливается государственный долг. Когда проценты по государственным обязанностям уплачиваются в обесцененных деньгах, то данное тормозит процесс размещения новых ссуд. В случае если ведется индексация, то растут затраты страны на обслуживание д</w:t>
      </w:r>
      <w:r>
        <w:t xml:space="preserve">олга. </w:t>
      </w:r>
    </w:p>
    <w:p>
      <w:pPr>
        <w:pStyle w:val="style0"/>
        <w:spacing w:after="0" w:lineRule="auto" w:line="360"/>
        <w:ind w:firstLine="709"/>
        <w:jc w:val="both"/>
        <w:rPr/>
      </w:pPr>
      <w:r>
        <w:t>Инфляция отрицательно влияет на межнациональные финансовые отношения. Обесценивание денег надламывает конкурентоспособность отечественных производителей, т.к. стимулируется ввоз товаров из-за рубежа, где их приобретают по относительно низкой стоимос</w:t>
      </w:r>
      <w:r>
        <w:t xml:space="preserve">ти. При ужесточении инфляции национальные и иностранные капиталы стремятся за границу в поиске более надежных и прибыльных вложений. В результате портится платежный баланс государства. </w:t>
      </w:r>
    </w:p>
    <w:p>
      <w:pPr>
        <w:pStyle w:val="style0"/>
        <w:spacing w:after="0" w:lineRule="auto" w:line="360"/>
        <w:ind w:firstLine="709"/>
        <w:jc w:val="both"/>
        <w:rPr/>
      </w:pPr>
      <w:r>
        <w:t>Также инфляция отрицательно сказывается на условиях воспроизводства тр</w:t>
      </w:r>
      <w:r>
        <w:t xml:space="preserve">удовых ресурсов. Инфляционным следствием считается </w:t>
      </w:r>
      <w:r>
        <w:t>отставание роста зарплаты и других прибылей от увеличения тарифов. В конечном итоге происходит перераспределение прибылей и капиталов между различными группами населения. Это обостряет общественную напряже</w:t>
      </w:r>
      <w:r>
        <w:t>нность и приводит к политической непостоянности.</w:t>
      </w:r>
    </w:p>
    <w:p>
      <w:pPr>
        <w:pStyle w:val="style0"/>
        <w:spacing w:after="0" w:lineRule="auto" w:line="360"/>
        <w:ind w:firstLine="709"/>
        <w:jc w:val="both"/>
        <w:rPr/>
      </w:pPr>
      <w:r>
        <w:t>Для стабилизации экономики и борьбы с инфляцией проводится специальная антиинфляционная программа, в основе которой идут причины возникновения инфляции, факторы, вызывающие ее, а также рассмотрение методов э</w:t>
      </w:r>
      <w:r>
        <w:t>кономической политики, стабилизирующих уровень инфляции до приемлемого уровня, учитывая цели на данный период.</w:t>
      </w:r>
    </w:p>
    <w:p>
      <w:pPr>
        <w:pStyle w:val="style0"/>
        <w:spacing w:after="0" w:lineRule="auto" w:line="360"/>
        <w:ind w:firstLine="709"/>
        <w:jc w:val="both"/>
        <w:rPr/>
      </w:pPr>
      <w:r>
        <w:t>Опираясь на анализ развития инфляции и ее темпов в период с 2013 по 2022 г., проведенный в первом пункте второй главы, цели антиинфляционной поли</w:t>
      </w:r>
      <w:r>
        <w:t>тики по удержанию уровня инфляции вблизи 4 % не были выполнены. Наблюдалось отклонение от наименьшего за весь послесоветский период времени значения 2,52% в 2017 году до значения 12,9% в 2015 году, вызванного кризисом 2014-2015 годов за счет резкого ослабл</w:t>
      </w:r>
      <w:r>
        <w:t xml:space="preserve">ения российского рубля по отношению к иностранным валютам, а также введения экономических санкций в отношении России. </w:t>
      </w:r>
    </w:p>
    <w:p>
      <w:pPr>
        <w:pStyle w:val="style0"/>
        <w:spacing w:after="0" w:lineRule="auto" w:line="360"/>
        <w:ind w:firstLine="709"/>
        <w:jc w:val="both"/>
        <w:rPr/>
      </w:pPr>
      <w:r>
        <w:t>Рассматривая 2022 год отдельно можно сделать вывод о том, что уровень инфляции также был выше целевого уровня инфляции в 4 %, колеблясь о</w:t>
      </w:r>
      <w:r>
        <w:t>т 8,73% (январь 2022г.) до 17,83% (апрель 2022г.). Такие скачки инфляции были вызваны геополитическими процессами и введенными санкциями. Проводимая антиинфляционная политика в 2022 году помогла справиться с ограничением экспорта, повлекшим недостатки в пр</w:t>
      </w:r>
      <w:r>
        <w:t>оизводственном процессе. Начали восстанавливать собственное производство, тем самым вернув немалое количество производителей как в техническом плане, так и в плане продукции, выращиваемой на территории России.</w:t>
      </w:r>
    </w:p>
    <w:p>
      <w:pPr>
        <w:pStyle w:val="style0"/>
        <w:spacing w:after="0" w:lineRule="auto" w:line="360"/>
        <w:ind w:firstLine="709"/>
        <w:jc w:val="both"/>
        <w:rPr/>
      </w:pPr>
      <w:r>
        <w:t>Чтобы продолжить борьбу с инфляцией нужно согл</w:t>
      </w:r>
      <w:r>
        <w:t>асовать и провести политику в совместительстве с Правительством РФ, предоставив комфортные условия для дальнейшего развития предпринимательской деятельности и следить за процентной ставкой по кредитам, чтобы не превысить норму.</w:t>
      </w:r>
    </w:p>
    <w:p>
      <w:pPr>
        <w:pStyle w:val="style0"/>
        <w:spacing w:after="0" w:lineRule="auto" w:line="360"/>
        <w:ind w:firstLine="709"/>
        <w:jc w:val="center"/>
        <w:rPr/>
      </w:pPr>
      <w:r>
        <w:t>СПИСОК ИСПОЛЬЗОВАННЫХ ИСТОЧН</w:t>
      </w:r>
      <w:r>
        <w:t>ИКОВ</w:t>
      </w:r>
    </w:p>
    <w:p>
      <w:pPr>
        <w:pStyle w:val="style179"/>
        <w:numPr>
          <w:ilvl w:val="0"/>
          <w:numId w:val="8"/>
        </w:numPr>
        <w:spacing w:after="0" w:lineRule="auto" w:line="360"/>
        <w:ind w:left="0" w:firstLine="709"/>
        <w:jc w:val="both"/>
        <w:rPr/>
      </w:pPr>
      <w:r>
        <w:t xml:space="preserve">Деньги, кредит, банки. Денежный и кредитный рынки: учебник для вузов / Г. А. Аболихина [и др.]; под общей редакцией </w:t>
      </w:r>
      <w:r>
        <w:br/>
      </w:r>
      <w:r>
        <w:t xml:space="preserve">М. А. Абрамовой, Л. С. Александровой. – 3-е изд., испр. и доп. – Москва: Издательство Юрайт, 2022. – 424 с. – (Высшее образование). – </w:t>
      </w:r>
      <w:r>
        <w:t>Текст: непосредственный.</w:t>
      </w:r>
    </w:p>
    <w:p>
      <w:pPr>
        <w:pStyle w:val="style179"/>
        <w:numPr>
          <w:ilvl w:val="0"/>
          <w:numId w:val="8"/>
        </w:numPr>
        <w:spacing w:after="0" w:lineRule="auto" w:line="360"/>
        <w:ind w:left="0" w:firstLine="709"/>
        <w:jc w:val="both"/>
        <w:rPr/>
      </w:pPr>
      <w:r>
        <w:t xml:space="preserve">Деньги. Кредит. Банки: учебное пособие (в рисунках и таблицах) / </w:t>
      </w:r>
      <w:r>
        <w:br/>
      </w:r>
      <w:r>
        <w:t>Е.В. Дьякова; Министерство науки и высшего образования РФ, Алтайский государственный университет. – Барнаул: Изд-во Алт. ун-та, 2021. – 130 с.</w:t>
      </w:r>
    </w:p>
    <w:p>
      <w:pPr>
        <w:pStyle w:val="style179"/>
        <w:numPr>
          <w:ilvl w:val="0"/>
          <w:numId w:val="8"/>
        </w:numPr>
        <w:spacing w:after="0" w:lineRule="auto" w:line="360"/>
        <w:ind w:left="0" w:firstLine="709"/>
        <w:jc w:val="both"/>
        <w:rPr/>
      </w:pPr>
      <w:r>
        <w:t>Деньги, кредит, банки.</w:t>
      </w:r>
      <w:r>
        <w:t xml:space="preserve"> Экспресс-курс: учебное пособие / кол. авт.; под ред. засл. деят. науки РФ, д-ра наук, проф. О. И. Лаврушина. – 4-е изд., стер. – М.: КНОРУС, 2010. – 320 с.</w:t>
      </w:r>
    </w:p>
    <w:p>
      <w:pPr>
        <w:pStyle w:val="style179"/>
        <w:numPr>
          <w:ilvl w:val="0"/>
          <w:numId w:val="8"/>
        </w:numPr>
        <w:spacing w:after="0" w:lineRule="auto" w:line="360"/>
        <w:ind w:left="0" w:firstLine="709"/>
        <w:jc w:val="both"/>
        <w:rPr/>
      </w:pPr>
      <w:r>
        <w:t xml:space="preserve">Деньги, кредит, банки: теория и практика: учебное пособие / сост.: </w:t>
      </w:r>
      <w:r>
        <w:br/>
      </w:r>
      <w:r>
        <w:t>А. И. Осипова; Донской ГАУ. – П</w:t>
      </w:r>
      <w:r>
        <w:t xml:space="preserve">ерсиановский: Донской ГАУ, 2019. – 130 с. </w:t>
      </w:r>
    </w:p>
    <w:p>
      <w:pPr>
        <w:pStyle w:val="style179"/>
        <w:numPr>
          <w:ilvl w:val="0"/>
          <w:numId w:val="8"/>
        </w:numPr>
        <w:spacing w:after="0" w:lineRule="auto" w:line="360"/>
        <w:ind w:left="0" w:firstLine="709"/>
        <w:jc w:val="both"/>
        <w:rPr/>
      </w:pPr>
      <w:r>
        <w:t>Макроэкономика. Теория и российская практика: учебник / под </w:t>
      </w:r>
      <w:r>
        <w:br/>
      </w:r>
      <w:r>
        <w:t>ред. А. Г. Грязновой и Н. Н. Думной. – 6-е изд., стер. – М.: КНОРУС, 2014 – 680 с. </w:t>
      </w:r>
    </w:p>
    <w:p>
      <w:pPr>
        <w:pStyle w:val="style179"/>
        <w:numPr>
          <w:ilvl w:val="0"/>
          <w:numId w:val="8"/>
        </w:numPr>
        <w:spacing w:after="0" w:lineRule="auto" w:line="360"/>
        <w:ind w:left="0" w:firstLine="709"/>
        <w:jc w:val="both"/>
        <w:rPr/>
      </w:pPr>
      <w:r>
        <w:t>Экономическая теория: Учеб. для студ. высш. учеб. заведений / Под ре</w:t>
      </w:r>
      <w:r>
        <w:t>д. В. Д. Камаева. – 10-е изд., перераб. и доп. – М.: Гуманит. изд. центр ВЛАДОС, 2003. – 592 с: ил.</w:t>
      </w:r>
    </w:p>
    <w:p>
      <w:pPr>
        <w:pStyle w:val="style179"/>
        <w:numPr>
          <w:ilvl w:val="0"/>
          <w:numId w:val="8"/>
        </w:numPr>
        <w:spacing w:after="0" w:lineRule="auto" w:line="360"/>
        <w:ind w:left="0" w:firstLine="709"/>
        <w:jc w:val="both"/>
        <w:rPr/>
      </w:pPr>
      <w:r>
        <w:t>Красавина Л. Н. Снижение темпа инфляции в стратегии инфляционного развития России // Деньги и кредит. 2006. № 9. – С. 9.</w:t>
      </w:r>
    </w:p>
    <w:p>
      <w:pPr>
        <w:pStyle w:val="style179"/>
        <w:numPr>
          <w:ilvl w:val="0"/>
          <w:numId w:val="8"/>
        </w:numPr>
        <w:spacing w:after="0" w:lineRule="auto" w:line="360"/>
        <w:ind w:left="0" w:firstLine="709"/>
        <w:jc w:val="both"/>
        <w:rPr/>
      </w:pPr>
      <w:r>
        <w:t>Курганский С. А. Инфляция в России:</w:t>
      </w:r>
      <w:r>
        <w:t xml:space="preserve"> факторы и тенденции // Известия Иркутской государственной экономической академии. 2012. № 2. – </w:t>
      </w:r>
      <w:r>
        <w:br/>
      </w:r>
      <w:r>
        <w:t xml:space="preserve"> С. 54</w:t>
      </w:r>
    </w:p>
    <w:p>
      <w:pPr>
        <w:pStyle w:val="style179"/>
        <w:numPr>
          <w:ilvl w:val="0"/>
          <w:numId w:val="8"/>
        </w:numPr>
        <w:spacing w:after="0" w:lineRule="auto" w:line="360"/>
        <w:ind w:left="0" w:firstLine="709"/>
        <w:jc w:val="both"/>
        <w:rPr/>
      </w:pPr>
      <w:r>
        <w:t>Красавина Л. Н. Актуальные проблемы инфляции и ее регулирования в России: системный подход // Деньги и кредит. 2011. №3.  –  С. 28</w:t>
      </w:r>
    </w:p>
    <w:p>
      <w:pPr>
        <w:pStyle w:val="style179"/>
        <w:numPr>
          <w:ilvl w:val="0"/>
          <w:numId w:val="8"/>
        </w:numPr>
        <w:spacing w:after="0" w:lineRule="auto" w:line="360"/>
        <w:ind w:left="0" w:firstLine="709"/>
        <w:jc w:val="both"/>
        <w:rPr/>
      </w:pPr>
      <w:r>
        <w:t>Официальный сайт Центрального Банка Российской Федерации.</w:t>
      </w:r>
      <w:r>
        <w:t xml:space="preserve"> </w:t>
      </w:r>
      <w:r>
        <w:t>— URL</w:t>
      </w:r>
      <w:r>
        <w:t xml:space="preserve">: </w:t>
      </w:r>
      <w:r>
        <w:rPr/>
        <w:fldChar w:fldCharType="begin"/>
      </w:r>
      <w:r>
        <w:instrText xml:space="preserve"> HYPERLINK "https://cbr.ru/dkp/about_inflation/" </w:instrText>
      </w:r>
      <w:r>
        <w:rPr/>
        <w:fldChar w:fldCharType="separate"/>
      </w:r>
      <w:r>
        <w:rPr>
          <w:rStyle w:val="style85"/>
        </w:rPr>
        <w:t>https://cbr.ru/dkp/about_inflation/</w:t>
      </w:r>
      <w:r>
        <w:rPr/>
        <w:fldChar w:fldCharType="end"/>
      </w:r>
    </w:p>
    <w:p>
      <w:pPr>
        <w:pStyle w:val="style179"/>
        <w:numPr>
          <w:ilvl w:val="0"/>
          <w:numId w:val="8"/>
        </w:numPr>
        <w:spacing w:after="0" w:lineRule="auto" w:line="360"/>
        <w:ind w:left="0" w:firstLine="709"/>
        <w:jc w:val="both"/>
        <w:rPr/>
      </w:pPr>
      <w:r>
        <w:t>Официальный сайт Центрального Банка Российской Федерации.</w:t>
      </w:r>
      <w:r>
        <w:t xml:space="preserve"> </w:t>
      </w:r>
      <w:r>
        <w:t xml:space="preserve">— </w:t>
      </w:r>
      <w:r>
        <w:rPr>
          <w:lang w:val="en-US"/>
        </w:rPr>
        <w:t>URL</w:t>
      </w:r>
      <w:r>
        <w:t>:</w:t>
      </w:r>
      <w:r>
        <w:t xml:space="preserve"> </w:t>
      </w:r>
      <w:r>
        <w:rPr/>
        <w:fldChar w:fldCharType="begin"/>
      </w:r>
      <w:r>
        <w:instrText xml:space="preserve"> HYPERLINK "https://cbr.ru/press/event/?id=5318" </w:instrText>
      </w:r>
      <w:r>
        <w:rPr/>
        <w:fldChar w:fldCharType="separate"/>
      </w:r>
      <w:r>
        <w:rPr>
          <w:rStyle w:val="style85"/>
          <w:lang w:val="en-US"/>
        </w:rPr>
        <w:t>https</w:t>
      </w:r>
      <w:r>
        <w:rPr>
          <w:rStyle w:val="style85"/>
        </w:rPr>
        <w:t>://</w:t>
      </w:r>
      <w:r>
        <w:rPr>
          <w:rStyle w:val="style85"/>
          <w:lang w:val="en-US"/>
        </w:rPr>
        <w:t>cbr</w:t>
      </w:r>
      <w:r>
        <w:rPr>
          <w:rStyle w:val="style85"/>
        </w:rPr>
        <w:t>.</w:t>
      </w:r>
      <w:r>
        <w:rPr>
          <w:rStyle w:val="style85"/>
          <w:lang w:val="en-US"/>
        </w:rPr>
        <w:t>ru</w:t>
      </w:r>
      <w:r>
        <w:rPr>
          <w:rStyle w:val="style85"/>
        </w:rPr>
        <w:t>/</w:t>
      </w:r>
      <w:r>
        <w:rPr>
          <w:rStyle w:val="style85"/>
          <w:lang w:val="en-US"/>
        </w:rPr>
        <w:t>press</w:t>
      </w:r>
      <w:r>
        <w:rPr>
          <w:rStyle w:val="style85"/>
        </w:rPr>
        <w:t>/</w:t>
      </w:r>
      <w:r>
        <w:rPr>
          <w:rStyle w:val="style85"/>
          <w:lang w:val="en-US"/>
        </w:rPr>
        <w:t>event</w:t>
      </w:r>
      <w:r>
        <w:rPr>
          <w:rStyle w:val="style85"/>
        </w:rPr>
        <w:t>/?</w:t>
      </w:r>
      <w:r>
        <w:rPr>
          <w:rStyle w:val="style85"/>
          <w:lang w:val="en-US"/>
        </w:rPr>
        <w:t>id</w:t>
      </w:r>
      <w:r>
        <w:rPr>
          <w:rStyle w:val="style85"/>
        </w:rPr>
        <w:t>=5318</w:t>
      </w:r>
      <w:r>
        <w:rPr/>
        <w:fldChar w:fldCharType="end"/>
      </w:r>
      <w:r>
        <w:t xml:space="preserve"> </w:t>
      </w:r>
    </w:p>
    <w:p>
      <w:pPr>
        <w:pStyle w:val="style179"/>
        <w:numPr>
          <w:ilvl w:val="0"/>
          <w:numId w:val="8"/>
        </w:numPr>
        <w:spacing w:after="0" w:lineRule="auto" w:line="360"/>
        <w:ind w:left="0" w:firstLine="709"/>
        <w:jc w:val="both"/>
        <w:rPr/>
      </w:pPr>
      <w:r>
        <w:t>Официальный сайт Центрального Банка Российской Федерации. Информационно-аналитический комментарий об инфляции в Центральном федеральном округе в январе 2022 года</w:t>
      </w:r>
      <w:r>
        <w:t xml:space="preserve">. </w:t>
      </w:r>
      <w:r>
        <w:rPr>
          <w:lang w:val="en-US"/>
        </w:rPr>
        <w:t>URL</w:t>
      </w:r>
      <w:r>
        <w:t xml:space="preserve"> </w:t>
      </w:r>
      <w:r>
        <w:rPr/>
        <w:fldChar w:fldCharType="begin"/>
      </w:r>
      <w:r>
        <w:instrText xml:space="preserve"> HYPERLINK "https://cbr.ru/press/reginfl/?id=20761" </w:instrText>
      </w:r>
      <w:r>
        <w:rPr/>
        <w:fldChar w:fldCharType="separate"/>
      </w:r>
      <w:r>
        <w:rPr>
          <w:rStyle w:val="style85"/>
        </w:rPr>
        <w:t>https://cbr.ru/press/reginfl/?id=20761</w:t>
      </w:r>
      <w:r>
        <w:rPr/>
        <w:fldChar w:fldCharType="end"/>
      </w:r>
      <w:r>
        <w:t xml:space="preserve"> </w:t>
      </w:r>
    </w:p>
    <w:p>
      <w:pPr>
        <w:pStyle w:val="style179"/>
        <w:numPr>
          <w:ilvl w:val="0"/>
          <w:numId w:val="8"/>
        </w:numPr>
        <w:spacing w:after="0" w:lineRule="auto" w:line="360"/>
        <w:ind w:left="0" w:firstLine="709"/>
        <w:jc w:val="both"/>
        <w:rPr/>
      </w:pPr>
      <w:r>
        <w:t>Официальный сайт Центрального Банка Российской Федерации. — URL</w:t>
      </w:r>
      <w:r>
        <w:t>:</w:t>
      </w:r>
      <w:r>
        <w:t xml:space="preserve"> </w:t>
      </w:r>
      <w:r>
        <w:rPr/>
        <w:fldChar w:fldCharType="begin"/>
      </w:r>
      <w:r>
        <w:instrText xml:space="preserve"> HYPERLINK "https://cbr.ru/analytics/dkp/dinamic/CPD_2022-08/" </w:instrText>
      </w:r>
      <w:r>
        <w:rPr/>
        <w:fldChar w:fldCharType="separate"/>
      </w:r>
      <w:r>
        <w:rPr>
          <w:rStyle w:val="style85"/>
        </w:rPr>
        <w:t>https://cbr.ru/analytics/dkp/dinamic/CPD_2022-08/</w:t>
      </w:r>
      <w:r>
        <w:rPr/>
        <w:fldChar w:fldCharType="end"/>
      </w:r>
      <w:r>
        <w:t xml:space="preserve"> </w:t>
      </w:r>
    </w:p>
    <w:p>
      <w:pPr>
        <w:pStyle w:val="style179"/>
        <w:numPr>
          <w:ilvl w:val="0"/>
          <w:numId w:val="8"/>
        </w:numPr>
        <w:spacing w:after="0" w:lineRule="auto" w:line="360"/>
        <w:ind w:left="0" w:firstLine="709"/>
        <w:jc w:val="both"/>
        <w:rPr/>
      </w:pPr>
      <w:r>
        <w:t>Официальный сайт Центрального Банка Российской Федерации.</w:t>
      </w:r>
      <w:r>
        <w:t xml:space="preserve"> </w:t>
      </w:r>
      <w:r>
        <w:t>Ключевая ставка Банка России и инфляция</w:t>
      </w:r>
      <w:r>
        <w:t>.</w:t>
      </w:r>
      <w:r>
        <w:t xml:space="preserve"> — </w:t>
      </w:r>
      <w:r>
        <w:rPr>
          <w:lang w:val="en-US"/>
        </w:rPr>
        <w:t>URL</w:t>
      </w:r>
      <w:r>
        <w:t xml:space="preserve"> </w:t>
      </w:r>
      <w:r>
        <w:rPr/>
        <w:fldChar w:fldCharType="begin"/>
      </w:r>
      <w:r>
        <w:instrText xml:space="preserve"> HYPERLINK "https://cbr.ru/hd_base/infl/" </w:instrText>
      </w:r>
      <w:r>
        <w:rPr/>
        <w:fldChar w:fldCharType="separate"/>
      </w:r>
      <w:r>
        <w:rPr>
          <w:rStyle w:val="style85"/>
          <w:lang w:val="en-US"/>
        </w:rPr>
        <w:t>https</w:t>
      </w:r>
      <w:r>
        <w:rPr>
          <w:rStyle w:val="style85"/>
        </w:rPr>
        <w:t>://</w:t>
      </w:r>
      <w:r>
        <w:rPr>
          <w:rStyle w:val="style85"/>
          <w:lang w:val="en-US"/>
        </w:rPr>
        <w:t>cbr</w:t>
      </w:r>
      <w:r>
        <w:rPr>
          <w:rStyle w:val="style85"/>
        </w:rPr>
        <w:t>.</w:t>
      </w:r>
      <w:r>
        <w:rPr>
          <w:rStyle w:val="style85"/>
          <w:lang w:val="en-US"/>
        </w:rPr>
        <w:t>ru</w:t>
      </w:r>
      <w:r>
        <w:rPr>
          <w:rStyle w:val="style85"/>
        </w:rPr>
        <w:t>/</w:t>
      </w:r>
      <w:r>
        <w:rPr>
          <w:rStyle w:val="style85"/>
          <w:lang w:val="en-US"/>
        </w:rPr>
        <w:t>hd</w:t>
      </w:r>
      <w:r>
        <w:rPr>
          <w:rStyle w:val="style85"/>
        </w:rPr>
        <w:t>_</w:t>
      </w:r>
      <w:r>
        <w:rPr>
          <w:rStyle w:val="style85"/>
          <w:lang w:val="en-US"/>
        </w:rPr>
        <w:t>base</w:t>
      </w:r>
      <w:r>
        <w:rPr>
          <w:rStyle w:val="style85"/>
        </w:rPr>
        <w:t>/</w:t>
      </w:r>
      <w:r>
        <w:rPr>
          <w:rStyle w:val="style85"/>
          <w:lang w:val="en-US"/>
        </w:rPr>
        <w:t>infl</w:t>
      </w:r>
      <w:r>
        <w:rPr>
          <w:rStyle w:val="style85"/>
        </w:rPr>
        <w:t>/</w:t>
      </w:r>
      <w:r>
        <w:rPr/>
        <w:fldChar w:fldCharType="end"/>
      </w:r>
      <w:r>
        <w:t xml:space="preserve"> </w:t>
      </w:r>
    </w:p>
    <w:p>
      <w:pPr>
        <w:pStyle w:val="style179"/>
        <w:numPr>
          <w:ilvl w:val="0"/>
          <w:numId w:val="8"/>
        </w:numPr>
        <w:spacing w:after="0" w:lineRule="auto" w:line="360"/>
        <w:ind w:left="0" w:firstLine="709"/>
        <w:jc w:val="both"/>
        <w:rPr/>
      </w:pPr>
      <w:r>
        <w:t xml:space="preserve">Информационно-правовой портал. Статья: Тарифы ЖКУ будут проиндексированы с 1 декабря 2022 года. </w:t>
      </w:r>
      <w:r>
        <w:rPr>
          <w:lang w:val="en-US"/>
        </w:rPr>
        <w:t>URL</w:t>
      </w:r>
      <w:r>
        <w:t xml:space="preserve">: </w:t>
      </w:r>
      <w:r>
        <w:rPr/>
        <w:fldChar w:fldCharType="begin"/>
      </w:r>
      <w:r>
        <w:instrText xml:space="preserve"> HYPERLINK "https://www.garant.ru/news/1567930/" \l ":~:text=" </w:instrText>
      </w:r>
      <w:r>
        <w:rPr/>
        <w:fldChar w:fldCharType="separate"/>
      </w:r>
      <w:r>
        <w:rPr>
          <w:rStyle w:val="style85"/>
        </w:rPr>
        <w:t>https://www.garant.ru/news/1567930/#:~:text=</w:t>
      </w:r>
      <w:r>
        <w:rPr/>
        <w:fldChar w:fldCharType="end"/>
      </w:r>
      <w:r>
        <w:t xml:space="preserve"> </w:t>
      </w:r>
    </w:p>
    <w:p>
      <w:pPr>
        <w:pStyle w:val="style179"/>
        <w:numPr>
          <w:ilvl w:val="0"/>
          <w:numId w:val="8"/>
        </w:numPr>
        <w:spacing w:after="0" w:lineRule="auto" w:line="360"/>
        <w:ind w:left="0" w:firstLine="709"/>
        <w:jc w:val="both"/>
        <w:rPr/>
      </w:pPr>
      <w:r>
        <w:rPr/>
        <w:fldChar w:fldCharType="begin"/>
      </w:r>
      <w:r>
        <w:instrText xml:space="preserve"> HYPERLINK "http://capitalgains.ru/obrazovanie/indeks-potrebitelskih-tsen.html" </w:instrText>
      </w:r>
      <w:r>
        <w:rPr/>
        <w:fldChar w:fldCharType="separate"/>
      </w:r>
      <w:r>
        <w:rPr>
          <w:rStyle w:val="style85"/>
        </w:rPr>
        <w:t>http://capitalgains.ru/obrazovanie/indeks-potrebitelskih-tsen.html</w:t>
      </w:r>
      <w:r>
        <w:rPr/>
        <w:fldChar w:fldCharType="end"/>
      </w:r>
      <w:r>
        <w:t xml:space="preserve"> </w:t>
      </w:r>
    </w:p>
    <w:p>
      <w:pPr>
        <w:pStyle w:val="style179"/>
        <w:numPr>
          <w:ilvl w:val="0"/>
          <w:numId w:val="8"/>
        </w:numPr>
        <w:spacing w:after="0" w:lineRule="auto" w:line="360"/>
        <w:ind w:left="0" w:firstLine="709"/>
        <w:jc w:val="both"/>
        <w:rPr/>
      </w:pPr>
      <w:r>
        <w:t xml:space="preserve">Федеральная служба государственной статистики. </w:t>
      </w:r>
      <w:r>
        <w:rPr>
          <w:lang w:val="en-US"/>
        </w:rPr>
        <w:t>URL</w:t>
      </w:r>
      <w:r>
        <w:t xml:space="preserve">: </w:t>
      </w:r>
      <w:r>
        <w:rPr/>
        <w:fldChar w:fldCharType="begin"/>
      </w:r>
      <w:r>
        <w:instrText xml:space="preserve"> HYPERLINK "https://rosstat.gov.ru/storage/mediabank/ind_potreb_cen_05.html" </w:instrText>
      </w:r>
      <w:r>
        <w:rPr/>
        <w:fldChar w:fldCharType="separate"/>
      </w:r>
      <w:r>
        <w:rPr>
          <w:rStyle w:val="style85"/>
          <w:lang w:val="en-US"/>
        </w:rPr>
        <w:t>https</w:t>
      </w:r>
      <w:r>
        <w:rPr>
          <w:rStyle w:val="style85"/>
        </w:rPr>
        <w:t>://</w:t>
      </w:r>
      <w:r>
        <w:rPr>
          <w:rStyle w:val="style85"/>
          <w:lang w:val="en-US"/>
        </w:rPr>
        <w:t>rosstat</w:t>
      </w:r>
      <w:r>
        <w:rPr>
          <w:rStyle w:val="style85"/>
        </w:rPr>
        <w:t>.</w:t>
      </w:r>
      <w:r>
        <w:rPr>
          <w:rStyle w:val="style85"/>
          <w:lang w:val="en-US"/>
        </w:rPr>
        <w:t>gov</w:t>
      </w:r>
      <w:r>
        <w:rPr>
          <w:rStyle w:val="style85"/>
        </w:rPr>
        <w:t>.</w:t>
      </w:r>
      <w:r>
        <w:rPr>
          <w:rStyle w:val="style85"/>
          <w:lang w:val="en-US"/>
        </w:rPr>
        <w:t>ru</w:t>
      </w:r>
      <w:r>
        <w:rPr>
          <w:rStyle w:val="style85"/>
        </w:rPr>
        <w:t>/</w:t>
      </w:r>
      <w:r>
        <w:rPr>
          <w:rStyle w:val="style85"/>
          <w:lang w:val="en-US"/>
        </w:rPr>
        <w:t>storage</w:t>
      </w:r>
      <w:r>
        <w:rPr>
          <w:rStyle w:val="style85"/>
        </w:rPr>
        <w:t>/</w:t>
      </w:r>
      <w:r>
        <w:rPr>
          <w:rStyle w:val="style85"/>
          <w:lang w:val="en-US"/>
        </w:rPr>
        <w:t>mediabank</w:t>
      </w:r>
      <w:r>
        <w:rPr>
          <w:rStyle w:val="style85"/>
        </w:rPr>
        <w:t>/</w:t>
      </w:r>
      <w:r>
        <w:rPr>
          <w:rStyle w:val="style85"/>
          <w:lang w:val="en-US"/>
        </w:rPr>
        <w:t>ind</w:t>
      </w:r>
      <w:r>
        <w:rPr>
          <w:rStyle w:val="style85"/>
        </w:rPr>
        <w:t>_</w:t>
      </w:r>
      <w:r>
        <w:rPr>
          <w:rStyle w:val="style85"/>
          <w:lang w:val="en-US"/>
        </w:rPr>
        <w:t>potreb</w:t>
      </w:r>
      <w:r>
        <w:rPr>
          <w:rStyle w:val="style85"/>
        </w:rPr>
        <w:t>_</w:t>
      </w:r>
      <w:r>
        <w:rPr>
          <w:rStyle w:val="style85"/>
          <w:lang w:val="en-US"/>
        </w:rPr>
        <w:t>cen</w:t>
      </w:r>
      <w:r>
        <w:rPr>
          <w:rStyle w:val="style85"/>
        </w:rPr>
        <w:t>_05.</w:t>
      </w:r>
      <w:r>
        <w:rPr>
          <w:rStyle w:val="style85"/>
          <w:lang w:val="en-US"/>
        </w:rPr>
        <w:t>html</w:t>
      </w:r>
      <w:r>
        <w:rPr/>
        <w:fldChar w:fldCharType="end"/>
      </w:r>
      <w:r>
        <w:t xml:space="preserve"> </w:t>
      </w:r>
    </w:p>
    <w:p>
      <w:pPr>
        <w:pStyle w:val="style179"/>
        <w:numPr>
          <w:ilvl w:val="0"/>
          <w:numId w:val="8"/>
        </w:numPr>
        <w:spacing w:after="0" w:lineRule="auto" w:line="360"/>
        <w:ind w:left="0" w:firstLine="709"/>
        <w:jc w:val="both"/>
        <w:rPr/>
      </w:pPr>
      <w:r>
        <w:rPr/>
        <w:fldChar w:fldCharType="begin"/>
      </w:r>
      <w:r>
        <w:instrText xml:space="preserve"> HYPERLINK "https://svspb.net/rossija/federalnyj-bjudzhet.php" </w:instrText>
      </w:r>
      <w:r>
        <w:rPr/>
        <w:fldChar w:fldCharType="separate"/>
      </w:r>
      <w:r>
        <w:rPr>
          <w:rStyle w:val="style85"/>
        </w:rPr>
        <w:t>https://svspb.net/rossija/federalnyj-bjudzhet.php</w:t>
      </w:r>
      <w:r>
        <w:rPr/>
        <w:fldChar w:fldCharType="end"/>
      </w:r>
      <w:r>
        <w:t xml:space="preserve"> </w:t>
      </w:r>
    </w:p>
    <w:p>
      <w:pPr>
        <w:pStyle w:val="style179"/>
        <w:numPr>
          <w:ilvl w:val="0"/>
          <w:numId w:val="8"/>
        </w:numPr>
        <w:spacing w:after="0" w:lineRule="auto" w:line="360"/>
        <w:ind w:left="0" w:firstLine="709"/>
        <w:jc w:val="both"/>
        <w:rPr/>
      </w:pPr>
      <w:r>
        <w:rPr/>
        <w:fldChar w:fldCharType="begin"/>
      </w:r>
      <w:r>
        <w:instrText xml:space="preserve"> HYPERLINK "https://finance.rambler.ru/economics/49448328-siluanov-obyasnil-prichiny-defitsita-byudzheta-rossii/" </w:instrText>
      </w:r>
      <w:r>
        <w:rPr/>
        <w:fldChar w:fldCharType="separate"/>
      </w:r>
      <w:r>
        <w:rPr>
          <w:rStyle w:val="style85"/>
        </w:rPr>
        <w:t>https://finance.rambler.ru/economics/49448328-siluanov-obyasnil-prichiny-defitsita-byudzheta-rossii/</w:t>
      </w:r>
      <w:r>
        <w:rPr/>
        <w:fldChar w:fldCharType="end"/>
      </w:r>
      <w:r>
        <w:t xml:space="preserve"> </w:t>
      </w:r>
    </w:p>
    <w:p>
      <w:pPr>
        <w:pStyle w:val="style179"/>
        <w:numPr>
          <w:ilvl w:val="0"/>
          <w:numId w:val="8"/>
        </w:numPr>
        <w:spacing w:after="0" w:lineRule="auto" w:line="360"/>
        <w:ind w:left="0" w:firstLine="709"/>
        <w:jc w:val="both"/>
        <w:rPr/>
      </w:pPr>
      <w:r>
        <w:t>Официальный сайт Центрального Банка Российской Федерации. — URL</w:t>
      </w:r>
      <w:r>
        <w:t>:</w:t>
      </w:r>
      <w:r>
        <w:t xml:space="preserve"> </w:t>
      </w:r>
      <w:r>
        <w:rPr/>
        <w:fldChar w:fldCharType="begin"/>
      </w:r>
      <w:r>
        <w:instrText xml:space="preserve"> HYPERLINK "https://cbr.ru/statistics/bank_sector/int_rat/1022/" </w:instrText>
      </w:r>
      <w:r>
        <w:rPr/>
        <w:fldChar w:fldCharType="separate"/>
      </w:r>
      <w:r>
        <w:rPr>
          <w:rStyle w:val="style85"/>
        </w:rPr>
        <w:t>https://cbr.ru/statistics/bank_sector/int_rat/1022/</w:t>
      </w:r>
      <w:r>
        <w:rPr/>
        <w:fldChar w:fldCharType="end"/>
      </w:r>
      <w:r>
        <w:t xml:space="preserve"> </w:t>
      </w:r>
    </w:p>
    <w:p>
      <w:pPr>
        <w:pStyle w:val="style179"/>
        <w:numPr>
          <w:ilvl w:val="0"/>
          <w:numId w:val="8"/>
        </w:numPr>
        <w:spacing w:after="0" w:lineRule="auto" w:line="360"/>
        <w:ind w:left="0" w:firstLine="709"/>
        <w:jc w:val="both"/>
        <w:rPr/>
      </w:pPr>
      <w:r>
        <w:rPr/>
        <w:fldChar w:fldCharType="begin"/>
      </w:r>
      <w:r>
        <w:instrText xml:space="preserve"> HYPERLINK "https://docs.yandex.ru/docs/view?tm=1671274890&amp;tld=ru&amp;lang=ru&amp;name=ORFR_2022-09.pdf&amp;text=" </w:instrText>
      </w:r>
      <w:r>
        <w:rPr/>
        <w:fldChar w:fldCharType="separate"/>
      </w:r>
      <w:r>
        <w:rPr>
          <w:rStyle w:val="style85"/>
        </w:rPr>
        <w:t>https://docs.yandex.ru/docs/view?tm=1671274890&amp;tld=ru&amp;lang=ru&amp;name=ORFR_2022-09.pdf&amp;text=</w:t>
      </w:r>
      <w:r>
        <w:rPr/>
        <w:fldChar w:fldCharType="end"/>
      </w:r>
      <w:r>
        <w:t xml:space="preserve"> </w:t>
      </w:r>
    </w:p>
    <w:p>
      <w:pPr>
        <w:pStyle w:val="style179"/>
        <w:numPr>
          <w:ilvl w:val="0"/>
          <w:numId w:val="8"/>
        </w:numPr>
        <w:spacing w:after="0" w:lineRule="auto" w:line="360"/>
        <w:ind w:left="0" w:firstLine="709"/>
        <w:jc w:val="both"/>
        <w:rPr/>
      </w:pPr>
      <w:r>
        <w:rPr/>
        <w:fldChar w:fldCharType="begin"/>
      </w:r>
      <w:r>
        <w:instrText xml:space="preserve"> HYPERLINK "https://hrlider.ru/posts/rynok-truda-v-rossii-v-oktyabre-2022/" </w:instrText>
      </w:r>
      <w:r>
        <w:rPr/>
        <w:fldChar w:fldCharType="separate"/>
      </w:r>
      <w:r>
        <w:rPr>
          <w:rStyle w:val="style85"/>
        </w:rPr>
        <w:t>https://hrlider.ru/posts/rynok-truda-v-rossii-v-oktyabre-2022/</w:t>
      </w:r>
      <w:r>
        <w:rPr/>
        <w:fldChar w:fldCharType="end"/>
      </w:r>
      <w:r>
        <w:t xml:space="preserve"> </w:t>
      </w:r>
    </w:p>
    <w:p>
      <w:pPr>
        <w:pStyle w:val="style179"/>
        <w:numPr>
          <w:ilvl w:val="0"/>
          <w:numId w:val="8"/>
        </w:numPr>
        <w:spacing w:after="0" w:lineRule="auto" w:line="360"/>
        <w:ind w:left="0" w:firstLine="709"/>
        <w:jc w:val="both"/>
        <w:rPr/>
      </w:pPr>
      <w:r>
        <w:rPr/>
        <w:fldChar w:fldCharType="begin"/>
      </w:r>
      <w:r>
        <w:instrText xml:space="preserve"> HYPERLINK "https://gogov.ru/articles/unemployment-rate" </w:instrText>
      </w:r>
      <w:r>
        <w:rPr/>
        <w:fldChar w:fldCharType="separate"/>
      </w:r>
      <w:r>
        <w:rPr>
          <w:rStyle w:val="style85"/>
        </w:rPr>
        <w:t>https://gogov.ru/articles/unemployment-rate</w:t>
      </w:r>
      <w:r>
        <w:rPr/>
        <w:fldChar w:fldCharType="end"/>
      </w:r>
      <w:r>
        <w:t xml:space="preserve"> </w:t>
      </w:r>
    </w:p>
    <w:p>
      <w:pPr>
        <w:pStyle w:val="style179"/>
        <w:numPr>
          <w:ilvl w:val="0"/>
          <w:numId w:val="8"/>
        </w:numPr>
        <w:spacing w:after="0" w:lineRule="auto" w:line="360"/>
        <w:ind w:left="0" w:firstLine="709"/>
        <w:jc w:val="both"/>
        <w:rPr/>
      </w:pPr>
      <w:r>
        <w:rPr/>
        <w:fldChar w:fldCharType="begin"/>
      </w:r>
      <w:r>
        <w:instrText xml:space="preserve"> HYPERLINK "https://1prime.ru/state_regulation/20221108/838751377.html" </w:instrText>
      </w:r>
      <w:r>
        <w:rPr/>
        <w:fldChar w:fldCharType="separate"/>
      </w:r>
      <w:r>
        <w:rPr>
          <w:rStyle w:val="style85"/>
        </w:rPr>
        <w:t>https://1prime.ru/state_regulation/20221108/838751377.html</w:t>
      </w:r>
      <w:r>
        <w:rPr/>
        <w:fldChar w:fldCharType="end"/>
      </w:r>
      <w:r>
        <w:t xml:space="preserve"> </w:t>
      </w:r>
    </w:p>
    <w:p>
      <w:pPr>
        <w:pStyle w:val="style179"/>
        <w:numPr>
          <w:ilvl w:val="0"/>
          <w:numId w:val="8"/>
        </w:numPr>
        <w:spacing w:after="0" w:lineRule="auto" w:line="360"/>
        <w:ind w:left="0" w:firstLine="709"/>
        <w:jc w:val="both"/>
        <w:rPr/>
      </w:pPr>
      <w:r>
        <w:t xml:space="preserve">Федеральная служба государственной статистики. </w:t>
      </w:r>
      <w:r>
        <w:rPr>
          <w:lang w:val="en-US"/>
        </w:rPr>
        <w:t>URL</w:t>
      </w:r>
      <w:r>
        <w:t xml:space="preserve">: </w:t>
      </w:r>
      <w:r>
        <w:rPr/>
        <w:fldChar w:fldCharType="begin"/>
      </w:r>
      <w:r>
        <w:instrText xml:space="preserve"> HYPERLINK "https://rosstat.gov.ru/labor_market_employment_salaries" </w:instrText>
      </w:r>
      <w:r>
        <w:rPr/>
        <w:fldChar w:fldCharType="separate"/>
      </w:r>
      <w:r>
        <w:rPr>
          <w:rStyle w:val="style85"/>
          <w:lang w:val="en-US"/>
        </w:rPr>
        <w:t>https</w:t>
      </w:r>
      <w:r>
        <w:rPr>
          <w:rStyle w:val="style85"/>
        </w:rPr>
        <w:t>://</w:t>
      </w:r>
      <w:r>
        <w:rPr>
          <w:rStyle w:val="style85"/>
          <w:lang w:val="en-US"/>
        </w:rPr>
        <w:t>rosstat</w:t>
      </w:r>
      <w:r>
        <w:rPr>
          <w:rStyle w:val="style85"/>
        </w:rPr>
        <w:t>.</w:t>
      </w:r>
      <w:r>
        <w:rPr>
          <w:rStyle w:val="style85"/>
          <w:lang w:val="en-US"/>
        </w:rPr>
        <w:t>gov</w:t>
      </w:r>
      <w:r>
        <w:rPr>
          <w:rStyle w:val="style85"/>
        </w:rPr>
        <w:t>.</w:t>
      </w:r>
      <w:r>
        <w:rPr>
          <w:rStyle w:val="style85"/>
          <w:lang w:val="en-US"/>
        </w:rPr>
        <w:t>ru</w:t>
      </w:r>
      <w:r>
        <w:rPr>
          <w:rStyle w:val="style85"/>
        </w:rPr>
        <w:t>/</w:t>
      </w:r>
      <w:r>
        <w:rPr>
          <w:rStyle w:val="style85"/>
          <w:lang w:val="en-US"/>
        </w:rPr>
        <w:t>labor</w:t>
      </w:r>
      <w:r>
        <w:rPr>
          <w:rStyle w:val="style85"/>
        </w:rPr>
        <w:t>_</w:t>
      </w:r>
      <w:r>
        <w:rPr>
          <w:rStyle w:val="style85"/>
          <w:lang w:val="en-US"/>
        </w:rPr>
        <w:t>market</w:t>
      </w:r>
      <w:r>
        <w:rPr>
          <w:rStyle w:val="style85"/>
        </w:rPr>
        <w:t>_</w:t>
      </w:r>
      <w:r>
        <w:rPr>
          <w:rStyle w:val="style85"/>
          <w:lang w:val="en-US"/>
        </w:rPr>
        <w:t>employment</w:t>
      </w:r>
      <w:r>
        <w:rPr>
          <w:rStyle w:val="style85"/>
        </w:rPr>
        <w:t>_</w:t>
      </w:r>
      <w:r>
        <w:rPr>
          <w:rStyle w:val="style85"/>
          <w:lang w:val="en-US"/>
        </w:rPr>
        <w:t>salaries</w:t>
      </w:r>
      <w:r>
        <w:rPr/>
        <w:fldChar w:fldCharType="end"/>
      </w:r>
      <w:r>
        <w:t xml:space="preserve"> </w:t>
      </w:r>
    </w:p>
    <w:p>
      <w:pPr>
        <w:pStyle w:val="style179"/>
        <w:numPr>
          <w:ilvl w:val="0"/>
          <w:numId w:val="8"/>
        </w:numPr>
        <w:spacing w:after="0" w:lineRule="auto" w:line="360"/>
        <w:ind w:left="0" w:firstLine="709"/>
        <w:jc w:val="both"/>
        <w:rPr/>
      </w:pPr>
      <w:r>
        <w:rPr/>
        <w:fldChar w:fldCharType="begin"/>
      </w:r>
      <w:r>
        <w:instrText xml:space="preserve"> HYPERLINK "https://studopedia.su/18_145084_monopolizatsiya-ekonomiki-kak-prichina-inflyatsii.html" </w:instrText>
      </w:r>
      <w:r>
        <w:rPr/>
        <w:fldChar w:fldCharType="separate"/>
      </w:r>
      <w:r>
        <w:rPr>
          <w:rStyle w:val="style85"/>
        </w:rPr>
        <w:t>https://studopedia.su/18_145084_monopolizatsiya-ekonomiki-kak-prichina-inflyatsii.html</w:t>
      </w:r>
      <w:r>
        <w:rPr/>
        <w:fldChar w:fldCharType="end"/>
      </w:r>
      <w:r>
        <w:t xml:space="preserve"> </w:t>
      </w:r>
    </w:p>
    <w:p>
      <w:pPr>
        <w:pStyle w:val="style179"/>
        <w:numPr>
          <w:ilvl w:val="0"/>
          <w:numId w:val="8"/>
        </w:numPr>
        <w:spacing w:after="0" w:lineRule="auto" w:line="360"/>
        <w:ind w:left="0" w:firstLine="709"/>
        <w:jc w:val="both"/>
        <w:rPr/>
      </w:pPr>
      <w:r>
        <w:rPr/>
        <w:fldChar w:fldCharType="begin"/>
      </w:r>
      <w:r>
        <w:instrText xml:space="preserve"> HYPERLINK "http://global-finances.ru/vneshnyaya-torgovlya-rossii/" </w:instrText>
      </w:r>
      <w:r>
        <w:rPr/>
        <w:fldChar w:fldCharType="separate"/>
      </w:r>
      <w:r>
        <w:rPr>
          <w:rStyle w:val="style85"/>
        </w:rPr>
        <w:t>http://global-finances.ru/vneshnyaya-torgovlya-rossii/</w:t>
      </w:r>
      <w:r>
        <w:rPr/>
        <w:fldChar w:fldCharType="end"/>
      </w:r>
      <w:r>
        <w:t xml:space="preserve"> </w:t>
      </w:r>
    </w:p>
    <w:p>
      <w:pPr>
        <w:pStyle w:val="style179"/>
        <w:numPr>
          <w:ilvl w:val="0"/>
          <w:numId w:val="8"/>
        </w:numPr>
        <w:spacing w:after="0" w:lineRule="auto" w:line="360"/>
        <w:ind w:left="0" w:firstLine="709"/>
        <w:jc w:val="both"/>
        <w:rPr/>
      </w:pPr>
      <w:r>
        <w:t xml:space="preserve">Официальный сайт Центрального Банка Российской Федерации. — URL </w:t>
      </w:r>
      <w:r>
        <w:rPr/>
        <w:fldChar w:fldCharType="begin"/>
      </w:r>
      <w:r>
        <w:instrText xml:space="preserve"> HYPERLINK "https://cbr.ru/Content/Document/File/139691/on_2023(2024-2025).pdf" </w:instrText>
      </w:r>
      <w:r>
        <w:rPr/>
        <w:fldChar w:fldCharType="separate"/>
      </w:r>
      <w:r>
        <w:rPr>
          <w:rStyle w:val="style85"/>
        </w:rPr>
        <w:t>https://cbr.ru/Content/Document/File/139691/on_2023(2024-2025).pdf</w:t>
      </w:r>
      <w:r>
        <w:rPr/>
        <w:fldChar w:fldCharType="end"/>
      </w:r>
      <w:r>
        <w:t xml:space="preserve"> </w:t>
      </w: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both"/>
        <w:rPr/>
      </w:pPr>
    </w:p>
    <w:p>
      <w:pPr>
        <w:pStyle w:val="style0"/>
        <w:spacing w:after="0" w:lineRule="auto" w:line="360"/>
        <w:ind w:firstLine="709"/>
        <w:jc w:val="center"/>
        <w:rPr/>
      </w:pPr>
    </w:p>
    <w:sectPr>
      <w:footerReference w:type="default" r:id="rId45"/>
      <w:pgSz w:w="11906" w:h="16838" w:orient="portrait" w:code="9"/>
      <w:pgMar w:top="1134" w:right="850" w:bottom="1134" w:left="1701" w:header="709" w:footer="709" w:gutter="0"/>
      <w:pgNumType w:start="1"/>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cc"/>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cc"/>
    <w:family w:val="swiss"/>
    <w:pitch w:val="variable"/>
    <w:sig w:usb0="E4002EFF" w:usb1="C000247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libri Light">
    <w:altName w:val="Calibri Light"/>
    <w:panose1 w:val="020f0302020002030204"/>
    <w:charset w:val="cc"/>
    <w:family w:val="swiss"/>
    <w:pitch w:val="variable"/>
    <w:sig w:usb0="E4002EFF" w:usb1="C000247B" w:usb2="00000009" w:usb3="00000000" w:csb0="000001FF" w:csb1="00000000"/>
  </w:font>
  <w:font w:name="Segoe UI">
    <w:altName w:val="Segoe UI"/>
    <w:panose1 w:val="020b0502040002020203"/>
    <w:charset w:val="cc"/>
    <w:family w:val="swiss"/>
    <w:pitch w:val="variable"/>
    <w:sig w:usb0="E4002EFF" w:usb1="C000E47F" w:usb2="00000009" w:usb3="00000000" w:csb0="000001FF" w:csb1="00000000"/>
  </w:font>
  <w:font w:name="Cambria Math">
    <w:altName w:val="Cambria Math"/>
    <w:panose1 w:val="02040503050004030204"/>
    <w:charset w:val="cc"/>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PAGE   \* </w:instrText>
    </w:r>
    <w:r>
      <w:instrText>MERGEFORMAT</w:instrText>
    </w:r>
    <w:r>
      <w:rPr/>
      <w:fldChar w:fldCharType="separate"/>
    </w:r>
    <w:r>
      <w:t>2</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344CD566"/>
    <w:styleLink w:val="style4101"/>
    <w:lvl w:ilvl="0">
      <w:start w:val="1"/>
      <w:numFmt w:val="decimal"/>
      <w:lvlText w:val="%1"/>
      <w:lvlJc w:val="left"/>
      <w:pPr>
        <w:ind w:left="420" w:hanging="420"/>
      </w:pPr>
      <w:rPr>
        <w:rFonts w:hint="default"/>
      </w:rPr>
    </w:lvl>
    <w:lvl w:ilvl="1">
      <w:start w:val="1"/>
      <w:numFmt w:val="decimal"/>
      <w:lvlText w:val="%1.%2"/>
      <w:lvlJc w:val="left"/>
      <w:pPr>
        <w:ind w:left="1697"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0000001"/>
    <w:multiLevelType w:val="multilevel"/>
    <w:tmpl w:val="59C0B4EE"/>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0000002"/>
    <w:multiLevelType w:val="multilevel"/>
    <w:tmpl w:val="F29C07EC"/>
    <w:lvl w:ilvl="0">
      <w:start w:val="1"/>
      <w:numFmt w:val="decimal"/>
      <w:lvlText w:val="%1"/>
      <w:lvlJc w:val="left"/>
      <w:pPr>
        <w:ind w:left="360" w:hanging="360"/>
      </w:pPr>
      <w:rPr>
        <w:rFonts w:hint="default"/>
      </w:rPr>
    </w:lvl>
    <w:lvl w:ilvl="1">
      <w:start w:val="3"/>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3">
    <w:nsid w:val="00000003"/>
    <w:multiLevelType w:val="hybridMultilevel"/>
    <w:tmpl w:val="7DCA12C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cs="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cs="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cs="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4"/>
    <w:multiLevelType w:val="multilevel"/>
    <w:tmpl w:val="0F2C7604"/>
    <w:lvl w:ilvl="0">
      <w:start w:val="1"/>
      <w:numFmt w:val="decimal"/>
      <w:lvlText w:val="%1"/>
      <w:lvlJc w:val="left"/>
      <w:pPr>
        <w:ind w:left="360" w:hanging="360"/>
      </w:pPr>
      <w:rPr>
        <w:rFonts w:hint="default"/>
      </w:rPr>
    </w:lvl>
    <w:lvl w:ilvl="1">
      <w:start w:val="3"/>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5">
    <w:nsid w:val="00000005"/>
    <w:multiLevelType w:val="hybridMultilevel"/>
    <w:tmpl w:val="2A229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6"/>
    <w:multiLevelType w:val="multilevel"/>
    <w:tmpl w:val="51E08E5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00000007"/>
    <w:multiLevelType w:val="multilevel"/>
    <w:tmpl w:val="344CD566"/>
    <w:numStyleLink w:val="style4101"/>
  </w:abstractNum>
  <w:num w:numId="1">
    <w:abstractNumId w:val="0"/>
  </w:num>
  <w:num w:numId="2">
    <w:abstractNumId w:val="7"/>
  </w:num>
  <w:num w:numId="3">
    <w:abstractNumId w:val="6"/>
  </w:num>
  <w:num w:numId="4">
    <w:abstractNumId w:val="3"/>
  </w:num>
  <w:num w:numId="5">
    <w:abstractNumId w:val="2"/>
  </w:num>
  <w:num w:numId="6">
    <w:abstractNumId w:val="1"/>
  </w:num>
  <w:num w:numId="7">
    <w:abstractNumId w:val="4"/>
  </w:num>
  <w:num w:numId="8">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ru-RU" w:bidi="ar-SA" w:eastAsia="en-US"/>
      </w:rPr>
    </w:rPrDefault>
    <w:pPrDefault>
      <w:pPr>
        <w:spacing w:after="160" w:lineRule="auto" w:line="259"/>
      </w:pPr>
    </w:pPrDefault>
  </w:docDefaults>
  <w:style w:type="paragraph" w:default="1" w:styleId="style0">
    <w:name w:val="Normal"/>
    <w:next w:val="style0"/>
    <w:qFormat/>
    <w:pPr>
      <w:spacing w:lineRule="auto" w:line="240"/>
    </w:pPr>
    <w:rPr>
      <w:rFonts w:ascii="Times New Roman" w:hAnsi="Times New Roman"/>
      <w:sz w:val="28"/>
    </w:rPr>
  </w:style>
  <w:style w:type="paragraph" w:styleId="style2">
    <w:name w:val="heading 2"/>
    <w:basedOn w:val="style0"/>
    <w:next w:val="style0"/>
    <w:link w:val="style4097"/>
    <w:qFormat/>
    <w:uiPriority w:val="9"/>
    <w:pPr>
      <w:keepNext/>
      <w:keepLines/>
      <w:spacing w:before="40" w:after="0"/>
      <w:outlineLvl w:val="1"/>
    </w:pPr>
    <w:rPr>
      <w:rFonts w:ascii="Calibri Light" w:eastAsia="SimSun" w:hAnsi="Calibri Light"/>
      <w:color w:val="2f5496"/>
      <w:sz w:val="26"/>
      <w:szCs w:val="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097">
    <w:name w:val="Заголовок 2 Знак"/>
    <w:basedOn w:val="style65"/>
    <w:next w:val="style4097"/>
    <w:link w:val="style2"/>
    <w:uiPriority w:val="9"/>
    <w:rPr>
      <w:rFonts w:ascii="Calibri Light" w:cs="SimSun" w:eastAsia="SimSun" w:hAnsi="Calibri Light"/>
      <w:color w:val="2f5496"/>
      <w:sz w:val="26"/>
      <w:szCs w:val="26"/>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8"/>
    <w:uiPriority w:val="99"/>
    <w:pPr>
      <w:tabs>
        <w:tab w:val="center" w:leader="none" w:pos="4677"/>
        <w:tab w:val="right" w:leader="none" w:pos="9355"/>
      </w:tabs>
      <w:spacing w:after="0"/>
    </w:pPr>
    <w:rPr/>
  </w:style>
  <w:style w:type="character" w:customStyle="1" w:styleId="style4098">
    <w:name w:val="Верхний колонтитул Знак"/>
    <w:basedOn w:val="style65"/>
    <w:next w:val="style4098"/>
    <w:link w:val="style31"/>
    <w:uiPriority w:val="99"/>
    <w:rPr>
      <w:rFonts w:ascii="Times New Roman" w:hAnsi="Times New Roman"/>
      <w:sz w:val="28"/>
    </w:rPr>
  </w:style>
  <w:style w:type="paragraph" w:styleId="style32">
    <w:name w:val="footer"/>
    <w:basedOn w:val="style0"/>
    <w:next w:val="style32"/>
    <w:link w:val="style4099"/>
    <w:uiPriority w:val="99"/>
    <w:pPr>
      <w:tabs>
        <w:tab w:val="center" w:leader="none" w:pos="4677"/>
        <w:tab w:val="right" w:leader="none" w:pos="9355"/>
      </w:tabs>
      <w:spacing w:after="0"/>
    </w:pPr>
    <w:rPr/>
  </w:style>
  <w:style w:type="character" w:customStyle="1" w:styleId="style4099">
    <w:name w:val="Нижний колонтитул Знак"/>
    <w:basedOn w:val="style65"/>
    <w:next w:val="style4099"/>
    <w:link w:val="style32"/>
    <w:uiPriority w:val="99"/>
    <w:rPr>
      <w:rFonts w:ascii="Times New Roman" w:hAnsi="Times New Roman"/>
      <w:sz w:val="28"/>
    </w:rPr>
  </w:style>
  <w:style w:type="character" w:styleId="style85">
    <w:name w:val="Hyperlink"/>
    <w:basedOn w:val="style65"/>
    <w:next w:val="style85"/>
    <w:uiPriority w:val="99"/>
    <w:rPr>
      <w:color w:val="0563c1"/>
      <w:u w:val="single"/>
    </w:rPr>
  </w:style>
  <w:style w:type="character" w:customStyle="1" w:styleId="style4100">
    <w:name w:val="Неразрешенное упоминание1"/>
    <w:basedOn w:val="style65"/>
    <w:next w:val="style4100"/>
    <w:uiPriority w:val="99"/>
    <w:rPr>
      <w:color w:val="605e5c"/>
      <w:shd w:val="clear" w:color="auto" w:fill="e1dfdd"/>
    </w:rPr>
  </w:style>
  <w:style w:type="character" w:styleId="style86">
    <w:name w:val="FollowedHyperlink"/>
    <w:basedOn w:val="style65"/>
    <w:next w:val="style86"/>
    <w:uiPriority w:val="99"/>
    <w:rPr>
      <w:color w:val="954f72"/>
      <w:u w:val="single"/>
    </w:rPr>
  </w:style>
  <w:style w:type="character" w:styleId="style156">
    <w:name w:val="Placeholder Text"/>
    <w:basedOn w:val="style65"/>
    <w:next w:val="style156"/>
    <w:uiPriority w:val="99"/>
    <w:rPr>
      <w:color w:val="808080"/>
    </w:rPr>
  </w:style>
  <w:style w:type="numbering" w:customStyle="1" w:styleId="style4101">
    <w:name w:val="Текущий список1"/>
    <w:next w:val="style4101"/>
    <w:uiPriority w:val="99"/>
    <w:pPr>
      <w:numPr>
        <w:ilvl w:val="0"/>
        <w:numId w:val="1"/>
      </w:numPr>
    </w:pPr>
  </w:style>
  <w:style w:type="character" w:customStyle="1" w:styleId="style4102">
    <w:name w:val="Неразрешенное упоминание2"/>
    <w:basedOn w:val="style65"/>
    <w:next w:val="style4102"/>
    <w:uiPriority w:val="99"/>
    <w:rPr>
      <w:color w:val="605e5c"/>
      <w:shd w:val="clear" w:color="auto" w:fill="e1dfdd"/>
    </w:rPr>
  </w:style>
  <w:style w:type="character" w:customStyle="1" w:styleId="style4103">
    <w:name w:val="Unresolved Mention"/>
    <w:basedOn w:val="style65"/>
    <w:next w:val="style4103"/>
    <w:uiPriority w:val="99"/>
    <w:rPr>
      <w:color w:val="605e5c"/>
      <w:shd w:val="clear" w:color="auto" w:fill="e1dfdd"/>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4"/>
    <w:uiPriority w:val="99"/>
    <w:pPr/>
    <w:rPr>
      <w:sz w:val="20"/>
      <w:szCs w:val="20"/>
    </w:rPr>
  </w:style>
  <w:style w:type="character" w:customStyle="1" w:styleId="style4104">
    <w:name w:val="Текст примечания Знак"/>
    <w:basedOn w:val="style65"/>
    <w:next w:val="style4104"/>
    <w:link w:val="style30"/>
    <w:uiPriority w:val="99"/>
    <w:rPr>
      <w:rFonts w:ascii="Times New Roman" w:hAnsi="Times New Roman"/>
      <w:sz w:val="20"/>
      <w:szCs w:val="20"/>
    </w:rPr>
  </w:style>
  <w:style w:type="paragraph" w:styleId="style106">
    <w:name w:val="annotation subject"/>
    <w:basedOn w:val="style30"/>
    <w:next w:val="style30"/>
    <w:link w:val="style4105"/>
    <w:uiPriority w:val="99"/>
    <w:pPr/>
    <w:rPr>
      <w:b/>
      <w:bCs/>
    </w:rPr>
  </w:style>
  <w:style w:type="character" w:customStyle="1" w:styleId="style4105">
    <w:name w:val="Тема примечания Знак"/>
    <w:basedOn w:val="style4104"/>
    <w:next w:val="style4105"/>
    <w:link w:val="style106"/>
    <w:uiPriority w:val="99"/>
    <w:rPr>
      <w:rFonts w:ascii="Times New Roman" w:hAnsi="Times New Roman"/>
      <w:b/>
      <w:bCs/>
      <w:sz w:val="20"/>
      <w:szCs w:val="20"/>
    </w:rPr>
  </w:style>
  <w:style w:type="paragraph" w:styleId="style153">
    <w:name w:val="Balloon Text"/>
    <w:basedOn w:val="style0"/>
    <w:next w:val="style153"/>
    <w:link w:val="style4106"/>
    <w:uiPriority w:val="99"/>
    <w:pPr>
      <w:spacing w:after="0"/>
    </w:pPr>
    <w:rPr>
      <w:rFonts w:ascii="Segoe UI" w:cs="Segoe UI" w:hAnsi="Segoe UI"/>
      <w:sz w:val="18"/>
      <w:szCs w:val="18"/>
    </w:rPr>
  </w:style>
  <w:style w:type="character" w:customStyle="1" w:styleId="style4106">
    <w:name w:val="Текст выноски Знак"/>
    <w:basedOn w:val="style65"/>
    <w:next w:val="style4106"/>
    <w:link w:val="style153"/>
    <w:uiPriority w:val="99"/>
    <w:rPr>
      <w:rFonts w:ascii="Segoe UI" w:cs="Segoe UI" w:hAnsi="Segoe UI"/>
      <w:sz w:val="18"/>
      <w:szCs w:val="18"/>
    </w:rPr>
  </w:style>
</w:styles>
</file>

<file path=word/_rels/document.xml.rels><?xml version="1.0" encoding="UTF-8"?>
<Relationships xmlns="http://schemas.openxmlformats.org/package/2006/relationships"><Relationship Id="rId40" Type="http://schemas.openxmlformats.org/officeDocument/2006/relationships/image" Target="media/image9.png"/><Relationship Id="rId42" Type="http://schemas.openxmlformats.org/officeDocument/2006/relationships/customXml" Target="ink/ink22.xml"/><Relationship Id="rId41" Type="http://schemas.openxmlformats.org/officeDocument/2006/relationships/customXml" Target="ink/ink21.xml"/><Relationship Id="rId44" Type="http://schemas.openxmlformats.org/officeDocument/2006/relationships/image" Target="media/image10.png"/><Relationship Id="rId43" Type="http://schemas.openxmlformats.org/officeDocument/2006/relationships/customXml" Target="ink/ink23.xml"/><Relationship Id="rId46" Type="http://schemas.openxmlformats.org/officeDocument/2006/relationships/styles" Target="styles.xml"/><Relationship Id="rId45"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3.png"/><Relationship Id="rId48" Type="http://schemas.openxmlformats.org/officeDocument/2006/relationships/settings" Target="settings.xml"/><Relationship Id="rId47" Type="http://schemas.openxmlformats.org/officeDocument/2006/relationships/fontTable" Target="fontTable.xml"/><Relationship Id="rId49"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chart" Target="charts/chart1.xml"/><Relationship Id="rId7" Type="http://schemas.openxmlformats.org/officeDocument/2006/relationships/oleObject" Target="embeddings/Microsoft_Excel_97-2003_Worksheet1.xls"/><Relationship Id="rId8" Type="http://schemas.openxmlformats.org/officeDocument/2006/relationships/chart" Target="charts/chart2.xml"/><Relationship Id="rId31" Type="http://schemas.openxmlformats.org/officeDocument/2006/relationships/customXml" Target="ink/ink12.xml"/><Relationship Id="rId30" Type="http://schemas.openxmlformats.org/officeDocument/2006/relationships/customXml" Target="ink/ink11.xml"/><Relationship Id="rId33" Type="http://schemas.openxmlformats.org/officeDocument/2006/relationships/customXml" Target="ink/ink14.xml"/><Relationship Id="rId32" Type="http://schemas.openxmlformats.org/officeDocument/2006/relationships/customXml" Target="ink/ink13.xml"/><Relationship Id="rId35" Type="http://schemas.openxmlformats.org/officeDocument/2006/relationships/customXml" Target="ink/ink16.xml"/><Relationship Id="rId34" Type="http://schemas.openxmlformats.org/officeDocument/2006/relationships/customXml" Target="ink/ink15.xml"/><Relationship Id="rId37" Type="http://schemas.openxmlformats.org/officeDocument/2006/relationships/customXml" Target="ink/ink18.xml"/><Relationship Id="rId36" Type="http://schemas.openxmlformats.org/officeDocument/2006/relationships/customXml" Target="ink/ink17.xml"/><Relationship Id="rId39" Type="http://schemas.openxmlformats.org/officeDocument/2006/relationships/customXml" Target="ink/ink20.xml"/><Relationship Id="rId38" Type="http://schemas.openxmlformats.org/officeDocument/2006/relationships/customXml" Target="ink/ink19.xml"/><Relationship Id="rId20" Type="http://schemas.openxmlformats.org/officeDocument/2006/relationships/chart" Target="charts/chart4.xml"/><Relationship Id="rId22" Type="http://schemas.openxmlformats.org/officeDocument/2006/relationships/oleObject" Target="embeddings/Microsoft_Excel_97-2003_Worksheet3.xls"/><Relationship Id="rId21" Type="http://schemas.openxmlformats.org/officeDocument/2006/relationships/image" Target="media/image7.png"/><Relationship Id="rId24" Type="http://schemas.openxmlformats.org/officeDocument/2006/relationships/customXml" Target="ink/ink5.xml"/><Relationship Id="rId23" Type="http://schemas.openxmlformats.org/officeDocument/2006/relationships/image" Target="media/image8.png"/><Relationship Id="rId26" Type="http://schemas.openxmlformats.org/officeDocument/2006/relationships/customXml" Target="ink/ink7.xml"/><Relationship Id="rId25" Type="http://schemas.openxmlformats.org/officeDocument/2006/relationships/customXml" Target="ink/ink6.xml"/><Relationship Id="rId28" Type="http://schemas.openxmlformats.org/officeDocument/2006/relationships/customXml" Target="ink/ink9.xml"/><Relationship Id="rId27" Type="http://schemas.openxmlformats.org/officeDocument/2006/relationships/customXml" Target="ink/ink8.xml"/><Relationship Id="rId29" Type="http://schemas.openxmlformats.org/officeDocument/2006/relationships/customXml" Target="ink/ink10.xml"/><Relationship Id="rId51" Type="http://schemas.openxmlformats.org/officeDocument/2006/relationships/customXml" Target="../customXml/item2.xml"/><Relationship Id="rId50"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oleObject" Target="embeddings/oleObject2.bin"/><Relationship Id="rId13" Type="http://schemas.openxmlformats.org/officeDocument/2006/relationships/image" Target="media/image6.png"/><Relationship Id="rId12" Type="http://schemas.openxmlformats.org/officeDocument/2006/relationships/image" Target="media/image5.png"/><Relationship Id="rId15" Type="http://schemas.openxmlformats.org/officeDocument/2006/relationships/customXml" Target="ink/ink2.xml"/><Relationship Id="rId14" Type="http://schemas.openxmlformats.org/officeDocument/2006/relationships/customXml" Target="ink/ink1.xml"/><Relationship Id="rId17" Type="http://schemas.openxmlformats.org/officeDocument/2006/relationships/customXml" Target="ink/ink3.xml"/><Relationship Id="rId16" Type="http://schemas.openxmlformats.org/officeDocument/2006/relationships/image" Target="media/image4.jpeg"/><Relationship Id="rId19" Type="http://schemas.openxmlformats.org/officeDocument/2006/relationships/chart" Target="charts/chart3.xml"/><Relationship Id="rId18" Type="http://schemas.openxmlformats.org/officeDocument/2006/relationships/customXml" Target="ink/ink4.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2.xlsx"/><Relationship Id="rId2" Type="http://schemas.microsoft.com/office/2011/relationships/chartStyle" Target="style2.xml"/><Relationship Id="rId3" Type="http://schemas.microsoft.com/office/2011/relationships/chartColorStyle" Target="colors2.xml"/></Relationships>
</file>

<file path=word/charts/_rels/chart2.xml.rels><?xml version="1.0" encoding="UTF-8"?>
<Relationships xmlns="http://schemas.openxmlformats.org/package/2006/relationships"><Relationship Id="rId1" Type="http://schemas.openxmlformats.org/officeDocument/2006/relationships/package" Target="../embeddings/Microsoft_Excel____4.xlsx"/><Relationship Id="rId2" Type="http://schemas.microsoft.com/office/2011/relationships/chartStyle" Target="style4.xml"/><Relationship Id="rId3" Type="http://schemas.microsoft.com/office/2011/relationships/chartColorStyle" Target="colors4.xml"/></Relationships>
</file>

<file path=word/charts/_rels/chart3.xml.rels><?xml version="1.0" encoding="UTF-8"?>
<Relationships xmlns="http://schemas.openxmlformats.org/package/2006/relationships"><Relationship Id="rId1" Type="http://schemas.openxmlformats.org/officeDocument/2006/relationships/package" Target="../embeddings/Microsoft_Excel____1.xlsx"/><Relationship Id="rId2" Type="http://schemas.microsoft.com/office/2011/relationships/chartStyle" Target="style1.xml"/><Relationship Id="rId3" Type="http://schemas.microsoft.com/office/2011/relationships/chartColorStyle" Target="colors1.xml"/></Relationships>
</file>

<file path=word/charts/_rels/chart4.xml.rels><?xml version="1.0" encoding="UTF-8"?>
<Relationships xmlns="http://schemas.openxmlformats.org/package/2006/relationships"><Relationship Id="rId1" Type="http://schemas.openxmlformats.org/officeDocument/2006/relationships/package" Target="../embeddings/Microsoft_Excel____3.xlsx"/><Relationship Id="rId2" Type="http://schemas.microsoft.com/office/2011/relationships/chartStyle" Target="style3.xml"/><Relationship Id="rId3" Type="http://schemas.microsoft.com/office/2011/relationships/chartColorStyle" Target="colors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ИПЦ на продов-е товары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Лист1!$A$2:$A$11</c:f>
              <c:numCache>
                <c:formatCode>General</c:formatCode>
                <c:ptCount val="10"/>
                <c:pt idx="0">
                  <c:v>2013.0</c:v>
                </c:pt>
                <c:pt idx="1">
                  <c:v>2014.0</c:v>
                </c:pt>
                <c:pt idx="2">
                  <c:v>2015.0</c:v>
                </c:pt>
                <c:pt idx="3">
                  <c:v>2016.0</c:v>
                </c:pt>
                <c:pt idx="4">
                  <c:v>2017.0</c:v>
                </c:pt>
                <c:pt idx="5">
                  <c:v>2018.0</c:v>
                </c:pt>
                <c:pt idx="6">
                  <c:v>2019.0</c:v>
                </c:pt>
                <c:pt idx="7">
                  <c:v>2020.0</c:v>
                </c:pt>
                <c:pt idx="8">
                  <c:v>2021.0</c:v>
                </c:pt>
                <c:pt idx="9">
                  <c:v>2022.0</c:v>
                </c:pt>
              </c:numCache>
            </c:numRef>
          </c:cat>
          <c:val>
            <c:numRef>
              <c:f>Лист1!$B$2:$B$11</c:f>
              <c:numCache>
                <c:formatCode>General</c:formatCode>
                <c:ptCount val="10"/>
                <c:pt idx="0">
                  <c:v>107.3</c:v>
                </c:pt>
                <c:pt idx="1">
                  <c:v>115.4</c:v>
                </c:pt>
                <c:pt idx="2">
                  <c:v>114.0</c:v>
                </c:pt>
                <c:pt idx="3">
                  <c:v>104.6</c:v>
                </c:pt>
                <c:pt idx="4">
                  <c:v>101.1</c:v>
                </c:pt>
                <c:pt idx="5">
                  <c:v>104.7</c:v>
                </c:pt>
                <c:pt idx="6">
                  <c:v>102.6</c:v>
                </c:pt>
                <c:pt idx="7">
                  <c:v>106.7</c:v>
                </c:pt>
                <c:pt idx="8">
                  <c:v>110.6</c:v>
                </c:pt>
                <c:pt idx="9">
                  <c:v>113.8</c:v>
                </c:pt>
              </c:numCache>
            </c:numRef>
          </c:val>
          <c:smooth val="0"/>
        </c:ser>
        <c:ser>
          <c:idx val="1"/>
          <c:order val="1"/>
          <c:tx>
            <c:strRef>
              <c:f>Лист1!$C$1</c:f>
              <c:strCache>
                <c:ptCount val="1"/>
                <c:pt idx="0">
                  <c:v>Уровень инфляции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Лист1!$A$2:$A$11</c:f>
              <c:numCache>
                <c:formatCode>General</c:formatCode>
                <c:ptCount val="10"/>
                <c:pt idx="0">
                  <c:v>2013.0</c:v>
                </c:pt>
                <c:pt idx="1">
                  <c:v>2014.0</c:v>
                </c:pt>
                <c:pt idx="2">
                  <c:v>2015.0</c:v>
                </c:pt>
                <c:pt idx="3">
                  <c:v>2016.0</c:v>
                </c:pt>
                <c:pt idx="4">
                  <c:v>2017.0</c:v>
                </c:pt>
                <c:pt idx="5">
                  <c:v>2018.0</c:v>
                </c:pt>
                <c:pt idx="6">
                  <c:v>2019.0</c:v>
                </c:pt>
                <c:pt idx="7">
                  <c:v>2020.0</c:v>
                </c:pt>
                <c:pt idx="8">
                  <c:v>2021.0</c:v>
                </c:pt>
                <c:pt idx="9">
                  <c:v>2022.0</c:v>
                </c:pt>
              </c:numCache>
            </c:numRef>
          </c:cat>
          <c:val>
            <c:numRef>
              <c:f>Лист1!$C$2:$C$11</c:f>
              <c:numCache>
                <c:formatCode>General</c:formatCode>
                <c:ptCount val="10"/>
                <c:pt idx="0">
                  <c:v>106.5</c:v>
                </c:pt>
                <c:pt idx="1">
                  <c:v>111.36</c:v>
                </c:pt>
                <c:pt idx="2">
                  <c:v>112.91</c:v>
                </c:pt>
                <c:pt idx="3">
                  <c:v>105.4</c:v>
                </c:pt>
                <c:pt idx="4">
                  <c:v>102.5</c:v>
                </c:pt>
                <c:pt idx="5">
                  <c:v>102.9</c:v>
                </c:pt>
                <c:pt idx="6">
                  <c:v>103.0</c:v>
                </c:pt>
                <c:pt idx="7">
                  <c:v>104.9</c:v>
                </c:pt>
                <c:pt idx="8">
                  <c:v>108.4</c:v>
                </c:pt>
                <c:pt idx="9">
                  <c:v>111.97</c:v>
                </c:pt>
              </c:numCache>
            </c:numRef>
          </c:val>
          <c:smooth val="0"/>
        </c:ser>
        <c:dLbls>
          <c:showLegendKey val="0"/>
          <c:showVal val="0"/>
          <c:showCatName val="0"/>
          <c:showSerName val="0"/>
          <c:showPercent val="0"/>
          <c:showBubbleSize val="0"/>
        </c:dLbls>
        <c:marker val="1"/>
        <c:smooth val="0"/>
        <c:axId val="456159544"/>
        <c:axId val="456160200"/>
      </c:lineChart>
      <c:catAx>
        <c:axId val="45615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160200"/>
        <c:crosses val="autoZero"/>
        <c:auto val="1"/>
        <c:lblAlgn val="ctr"/>
        <c:lblOffset val="100"/>
        <c:noMultiLvlLbl val="0"/>
      </c:catAx>
      <c:valAx>
        <c:axId val="456160200"/>
        <c:scaling>
          <c:orientation val="minMax"/>
          <c:max val="116.0"/>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15954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r>
              <a:rPr lang="ru-RU" baseline="0"/>
              <a:t> и расходы федерального бюджета РФ</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cat>
            <c:numRef>
              <c:f>Лист1!$A$2:$A$11</c:f>
              <c:numCache>
                <c:formatCode>General</c:formatCode>
                <c:ptCount val="10"/>
                <c:pt idx="0">
                  <c:v>2013.0</c:v>
                </c:pt>
                <c:pt idx="1">
                  <c:v>2014.0</c:v>
                </c:pt>
                <c:pt idx="2">
                  <c:v>2015.0</c:v>
                </c:pt>
                <c:pt idx="3">
                  <c:v>2016.0</c:v>
                </c:pt>
                <c:pt idx="4">
                  <c:v>2017.0</c:v>
                </c:pt>
                <c:pt idx="5">
                  <c:v>2018.0</c:v>
                </c:pt>
                <c:pt idx="6">
                  <c:v>2019.0</c:v>
                </c:pt>
                <c:pt idx="7">
                  <c:v>2020.0</c:v>
                </c:pt>
                <c:pt idx="8">
                  <c:v>2021.0</c:v>
                </c:pt>
                <c:pt idx="9">
                  <c:v>2022.0</c:v>
                </c:pt>
              </c:numCache>
            </c:numRef>
          </c:cat>
          <c:val>
            <c:numRef>
              <c:f>Лист1!$B$2:$B$11</c:f>
              <c:numCache>
                <c:formatCode>General</c:formatCode>
                <c:ptCount val="10"/>
                <c:pt idx="0">
                  <c:v>13019.9</c:v>
                </c:pt>
                <c:pt idx="1">
                  <c:v>14496.9</c:v>
                </c:pt>
                <c:pt idx="2">
                  <c:v>13659.2</c:v>
                </c:pt>
                <c:pt idx="3">
                  <c:v>13460.0</c:v>
                </c:pt>
                <c:pt idx="4">
                  <c:v>15088.9</c:v>
                </c:pt>
                <c:pt idx="5">
                  <c:v>19454.4</c:v>
                </c:pt>
                <c:pt idx="6">
                  <c:v>20188.8</c:v>
                </c:pt>
                <c:pt idx="7">
                  <c:v>18722.6</c:v>
                </c:pt>
                <c:pt idx="8">
                  <c:v>25286.4</c:v>
                </c:pt>
                <c:pt idx="9">
                  <c:v>25000.02</c:v>
                </c:pt>
              </c:numCache>
            </c:numRef>
          </c:val>
        </c:ser>
        <c:ser>
          <c:idx val="1"/>
          <c:order val="1"/>
          <c:tx>
            <c:strRef>
              <c:f>Лист1!$C$1</c:f>
              <c:strCache>
                <c:ptCount val="1"/>
                <c:pt idx="0">
                  <c:v>Расходы</c:v>
                </c:pt>
              </c:strCache>
            </c:strRef>
          </c:tx>
          <c:spPr>
            <a:solidFill>
              <a:schemeClr val="accent2"/>
            </a:solidFill>
            <a:ln>
              <a:noFill/>
            </a:ln>
            <a:effectLst/>
          </c:spPr>
          <c:invertIfNegative val="0"/>
          <c:cat>
            <c:numRef>
              <c:f>Лист1!$A$2:$A$11</c:f>
              <c:numCache>
                <c:formatCode>General</c:formatCode>
                <c:ptCount val="10"/>
                <c:pt idx="0">
                  <c:v>2013.0</c:v>
                </c:pt>
                <c:pt idx="1">
                  <c:v>2014.0</c:v>
                </c:pt>
                <c:pt idx="2">
                  <c:v>2015.0</c:v>
                </c:pt>
                <c:pt idx="3">
                  <c:v>2016.0</c:v>
                </c:pt>
                <c:pt idx="4">
                  <c:v>2017.0</c:v>
                </c:pt>
                <c:pt idx="5">
                  <c:v>2018.0</c:v>
                </c:pt>
                <c:pt idx="6">
                  <c:v>2019.0</c:v>
                </c:pt>
                <c:pt idx="7">
                  <c:v>2020.0</c:v>
                </c:pt>
                <c:pt idx="8">
                  <c:v>2021.0</c:v>
                </c:pt>
                <c:pt idx="9">
                  <c:v>2022.0</c:v>
                </c:pt>
              </c:numCache>
            </c:numRef>
          </c:cat>
          <c:val>
            <c:numRef>
              <c:f>Лист1!$C$2:$C$11</c:f>
              <c:numCache>
                <c:formatCode>General</c:formatCode>
                <c:ptCount val="10"/>
                <c:pt idx="0">
                  <c:v>13342.9</c:v>
                </c:pt>
                <c:pt idx="1">
                  <c:v>14831.6</c:v>
                </c:pt>
                <c:pt idx="2">
                  <c:v>15620.3</c:v>
                </c:pt>
                <c:pt idx="3">
                  <c:v>16416.4</c:v>
                </c:pt>
                <c:pt idx="4">
                  <c:v>16420.3</c:v>
                </c:pt>
                <c:pt idx="5">
                  <c:v>16713.0</c:v>
                </c:pt>
                <c:pt idx="6">
                  <c:v>18214.5</c:v>
                </c:pt>
                <c:pt idx="7">
                  <c:v>22824.4</c:v>
                </c:pt>
                <c:pt idx="8">
                  <c:v>24762.1</c:v>
                </c:pt>
                <c:pt idx="9">
                  <c:v>23000.69</c:v>
                </c:pt>
              </c:numCache>
            </c:numRef>
          </c:val>
        </c:ser>
        <c:dLbls>
          <c:showLegendKey val="0"/>
          <c:showVal val="0"/>
          <c:showCatName val="0"/>
          <c:showSerName val="0"/>
          <c:showPercent val="0"/>
          <c:showBubbleSize val="0"/>
        </c:dLbls>
        <c:gapWidth val="219"/>
        <c:overlap val="-27"/>
        <c:axId val="554243632"/>
        <c:axId val="554246584"/>
      </c:barChart>
      <c:catAx>
        <c:axId val="5542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4246584"/>
        <c:crosses val="autoZero"/>
        <c:auto val="1"/>
        <c:lblAlgn val="ctr"/>
        <c:lblOffset val="100"/>
        <c:noMultiLvlLbl val="0"/>
      </c:catAx>
      <c:valAx>
        <c:axId val="554246584"/>
        <c:scaling>
          <c:orientation val="minMax"/>
          <c:max val="25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424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Среднемесячная номинальная начисленная зп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2019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Лист1!$A$2:$A$14</c:f>
              <c:strCache>
                <c:ptCount val="13"/>
                <c:pt idx="0">
                  <c:v>В среднем за год</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Лист1!$B$2:$B$14</c:f>
              <c:numCache>
                <c:formatCode>General</c:formatCode>
                <c:ptCount val="13"/>
                <c:pt idx="0">
                  <c:v>47867.0</c:v>
                </c:pt>
                <c:pt idx="1">
                  <c:v>42263.0</c:v>
                </c:pt>
                <c:pt idx="2">
                  <c:v>43062.0</c:v>
                </c:pt>
                <c:pt idx="3">
                  <c:v>46324.0</c:v>
                </c:pt>
                <c:pt idx="4">
                  <c:v>48030.0</c:v>
                </c:pt>
                <c:pt idx="5">
                  <c:v>47926.0</c:v>
                </c:pt>
                <c:pt idx="6">
                  <c:v>49348.0</c:v>
                </c:pt>
                <c:pt idx="7">
                  <c:v>46509.0</c:v>
                </c:pt>
                <c:pt idx="8">
                  <c:v>44961.0</c:v>
                </c:pt>
                <c:pt idx="9">
                  <c:v>45541.0</c:v>
                </c:pt>
                <c:pt idx="10">
                  <c:v>46549.0</c:v>
                </c:pt>
                <c:pt idx="11">
                  <c:v>46285.0</c:v>
                </c:pt>
                <c:pt idx="12">
                  <c:v>62239.0</c:v>
                </c:pt>
              </c:numCache>
            </c:numRef>
          </c:val>
          <c:smooth val="0"/>
        </c:ser>
        <c:ser>
          <c:idx val="1"/>
          <c:order val="1"/>
          <c:tx>
            <c:strRef>
              <c:f>Лист1!$C$1</c:f>
              <c:strCache>
                <c:ptCount val="1"/>
                <c:pt idx="0">
                  <c:v>2020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Лист1!$A$2:$A$14</c:f>
              <c:strCache>
                <c:ptCount val="13"/>
                <c:pt idx="0">
                  <c:v>В среднем за год</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Лист1!$C$2:$C$14</c:f>
              <c:numCache>
                <c:formatCode>General</c:formatCode>
                <c:ptCount val="13"/>
                <c:pt idx="0">
                  <c:v>51344.0</c:v>
                </c:pt>
                <c:pt idx="1">
                  <c:v>46674.0</c:v>
                </c:pt>
                <c:pt idx="2">
                  <c:v>47257.0</c:v>
                </c:pt>
                <c:pt idx="3">
                  <c:v>50948.0</c:v>
                </c:pt>
                <c:pt idx="4">
                  <c:v>49306.0</c:v>
                </c:pt>
                <c:pt idx="5">
                  <c:v>50747.0</c:v>
                </c:pt>
                <c:pt idx="6">
                  <c:v>52123.0</c:v>
                </c:pt>
                <c:pt idx="7">
                  <c:v>50145.0</c:v>
                </c:pt>
                <c:pt idx="8">
                  <c:v>47649.0</c:v>
                </c:pt>
                <c:pt idx="9">
                  <c:v>49259.0</c:v>
                </c:pt>
                <c:pt idx="10">
                  <c:v>49539.0</c:v>
                </c:pt>
                <c:pt idx="11">
                  <c:v>49274.0</c:v>
                </c:pt>
                <c:pt idx="12">
                  <c:v>69278.0</c:v>
                </c:pt>
              </c:numCache>
            </c:numRef>
          </c:val>
          <c:smooth val="0"/>
        </c:ser>
        <c:ser>
          <c:idx val="2"/>
          <c:order val="2"/>
          <c:tx>
            <c:strRef>
              <c:f>Лист1!$D$1</c:f>
              <c:strCache>
                <c:ptCount val="1"/>
                <c:pt idx="0">
                  <c:v>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Лист1!$A$2:$A$14</c:f>
              <c:strCache>
                <c:ptCount val="13"/>
                <c:pt idx="0">
                  <c:v>В среднем за год</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Лист1!$D$2:$D$14</c:f>
              <c:numCache>
                <c:formatCode>General</c:formatCode>
                <c:ptCount val="13"/>
                <c:pt idx="0">
                  <c:v>57244.0</c:v>
                </c:pt>
                <c:pt idx="1">
                  <c:v>49516.0</c:v>
                </c:pt>
                <c:pt idx="2">
                  <c:v>51229.0</c:v>
                </c:pt>
                <c:pt idx="3">
                  <c:v>55208.0</c:v>
                </c:pt>
                <c:pt idx="4">
                  <c:v>56614.0</c:v>
                </c:pt>
                <c:pt idx="5">
                  <c:v>56171.0</c:v>
                </c:pt>
                <c:pt idx="6">
                  <c:v>58782.0</c:v>
                </c:pt>
                <c:pt idx="7">
                  <c:v>55170.0</c:v>
                </c:pt>
                <c:pt idx="8">
                  <c:v>52355.0</c:v>
                </c:pt>
                <c:pt idx="9">
                  <c:v>54687.0</c:v>
                </c:pt>
                <c:pt idx="10">
                  <c:v>54649.0</c:v>
                </c:pt>
                <c:pt idx="11">
                  <c:v>55639.0</c:v>
                </c:pt>
                <c:pt idx="12">
                  <c:v>77994.0</c:v>
                </c:pt>
              </c:numCache>
            </c:numRef>
          </c:val>
          <c:smooth val="0"/>
        </c:ser>
        <c:ser>
          <c:idx val="3"/>
          <c:order val="3"/>
          <c:tx>
            <c:strRef>
              <c:f>Лист1!$E$1</c:f>
              <c:strCache>
                <c:ptCount val="1"/>
                <c:pt idx="0">
                  <c:v>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Лист1!$A$2:$A$14</c:f>
              <c:strCache>
                <c:ptCount val="13"/>
                <c:pt idx="0">
                  <c:v>В среднем за год</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Лист1!$E$2:$E$14</c:f>
              <c:numCache>
                <c:formatCode>General</c:formatCode>
                <c:ptCount val="13"/>
                <c:pt idx="0">
                  <c:v>54678.0</c:v>
                </c:pt>
                <c:pt idx="1">
                  <c:v>55717.0</c:v>
                </c:pt>
                <c:pt idx="2">
                  <c:v>57344.0</c:v>
                </c:pt>
                <c:pt idx="3">
                  <c:v>66757.0</c:v>
                </c:pt>
                <c:pt idx="4">
                  <c:v>62269.0</c:v>
                </c:pt>
                <c:pt idx="5">
                  <c:v>62457.0</c:v>
                </c:pt>
                <c:pt idx="6">
                  <c:v>66572.0</c:v>
                </c:pt>
                <c:pt idx="7">
                  <c:v>62200.0</c:v>
                </c:pt>
                <c:pt idx="8">
                  <c:v>59907.0</c:v>
                </c:pt>
                <c:pt idx="9">
                  <c:v>61879.0</c:v>
                </c:pt>
              </c:numCache>
            </c:numRef>
          </c:val>
          <c:smooth val="0"/>
        </c:ser>
        <c:dLbls>
          <c:showLegendKey val="0"/>
          <c:showVal val="0"/>
          <c:showCatName val="0"/>
          <c:showSerName val="0"/>
          <c:showPercent val="0"/>
          <c:showBubbleSize val="0"/>
        </c:dLbls>
        <c:marker val="1"/>
        <c:smooth val="0"/>
        <c:axId val="575135952"/>
        <c:axId val="575139888"/>
      </c:lineChart>
      <c:catAx>
        <c:axId val="57513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139888"/>
        <c:crosses val="autoZero"/>
        <c:auto val="1"/>
        <c:lblAlgn val="ctr"/>
        <c:lblOffset val="100"/>
        <c:noMultiLvlLbl val="0"/>
      </c:catAx>
      <c:valAx>
        <c:axId val="575139888"/>
        <c:scaling>
          <c:orientation val="minMax"/>
          <c:max val="78000.0"/>
          <c:min val="4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13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Внешняя торговля России</a:t>
            </a:r>
            <a:r>
              <a:rPr lang="ru-RU" baseline="0"/>
              <a:t> в 2013-2022 г.</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Экспорт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Лист1!$A$2:$A$11</c:f>
              <c:numCache>
                <c:formatCode>General</c:formatCode>
                <c:ptCount val="10"/>
                <c:pt idx="0">
                  <c:v>2013.0</c:v>
                </c:pt>
                <c:pt idx="1">
                  <c:v>2014.0</c:v>
                </c:pt>
                <c:pt idx="2">
                  <c:v>2015.0</c:v>
                </c:pt>
                <c:pt idx="3">
                  <c:v>2016.0</c:v>
                </c:pt>
                <c:pt idx="4">
                  <c:v>2017.0</c:v>
                </c:pt>
                <c:pt idx="5">
                  <c:v>2018.0</c:v>
                </c:pt>
                <c:pt idx="6">
                  <c:v>2019.0</c:v>
                </c:pt>
                <c:pt idx="7">
                  <c:v>2020.0</c:v>
                </c:pt>
                <c:pt idx="8">
                  <c:v>2021.0</c:v>
                </c:pt>
                <c:pt idx="9">
                  <c:v>2022.0</c:v>
                </c:pt>
              </c:numCache>
            </c:numRef>
          </c:cat>
          <c:val>
            <c:numRef>
              <c:f>Лист1!$B$2:$B$11</c:f>
              <c:numCache>
                <c:formatCode>General</c:formatCode>
                <c:ptCount val="10"/>
                <c:pt idx="0">
                  <c:v>527.266</c:v>
                </c:pt>
                <c:pt idx="1">
                  <c:v>497.358</c:v>
                </c:pt>
                <c:pt idx="2">
                  <c:v>343.511</c:v>
                </c:pt>
                <c:pt idx="3">
                  <c:v>285.652</c:v>
                </c:pt>
                <c:pt idx="4">
                  <c:v>357.261</c:v>
                </c:pt>
                <c:pt idx="5">
                  <c:v>449.563</c:v>
                </c:pt>
                <c:pt idx="6">
                  <c:v>424.626</c:v>
                </c:pt>
                <c:pt idx="7">
                  <c:v>338.6</c:v>
                </c:pt>
                <c:pt idx="8">
                  <c:v>493.3</c:v>
                </c:pt>
                <c:pt idx="9">
                  <c:v>431.0</c:v>
                </c:pt>
              </c:numCache>
            </c:numRef>
          </c:val>
          <c:smooth val="0"/>
        </c:ser>
        <c:ser>
          <c:idx val="1"/>
          <c:order val="1"/>
          <c:tx>
            <c:strRef>
              <c:f>Лист1!$C$1</c:f>
              <c:strCache>
                <c:ptCount val="1"/>
                <c:pt idx="0">
                  <c:v>Импорт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Лист1!$A$2:$A$11</c:f>
              <c:numCache>
                <c:formatCode>General</c:formatCode>
                <c:ptCount val="10"/>
                <c:pt idx="0">
                  <c:v>2013.0</c:v>
                </c:pt>
                <c:pt idx="1">
                  <c:v>2014.0</c:v>
                </c:pt>
                <c:pt idx="2">
                  <c:v>2015.0</c:v>
                </c:pt>
                <c:pt idx="3">
                  <c:v>2016.0</c:v>
                </c:pt>
                <c:pt idx="4">
                  <c:v>2017.0</c:v>
                </c:pt>
                <c:pt idx="5">
                  <c:v>2018.0</c:v>
                </c:pt>
                <c:pt idx="6">
                  <c:v>2019.0</c:v>
                </c:pt>
                <c:pt idx="7">
                  <c:v>2020.0</c:v>
                </c:pt>
                <c:pt idx="8">
                  <c:v>2021.0</c:v>
                </c:pt>
                <c:pt idx="9">
                  <c:v>2022.0</c:v>
                </c:pt>
              </c:numCache>
            </c:numRef>
          </c:cat>
          <c:val>
            <c:numRef>
              <c:f>Лист1!$C$2:$C$11</c:f>
              <c:numCache>
                <c:formatCode>General</c:formatCode>
                <c:ptCount val="10"/>
                <c:pt idx="0">
                  <c:v>314.967</c:v>
                </c:pt>
                <c:pt idx="1">
                  <c:v>287.062</c:v>
                </c:pt>
                <c:pt idx="2">
                  <c:v>182.902</c:v>
                </c:pt>
                <c:pt idx="3">
                  <c:v>182.448</c:v>
                </c:pt>
                <c:pt idx="4">
                  <c:v>227.87</c:v>
                </c:pt>
                <c:pt idx="5">
                  <c:v>238.493</c:v>
                </c:pt>
                <c:pt idx="6">
                  <c:v>247.393</c:v>
                </c:pt>
                <c:pt idx="7">
                  <c:v>234.0</c:v>
                </c:pt>
                <c:pt idx="8">
                  <c:v>296.1</c:v>
                </c:pt>
                <c:pt idx="9">
                  <c:v>180.0</c:v>
                </c:pt>
              </c:numCache>
            </c:numRef>
          </c:val>
          <c:smooth val="0"/>
        </c:ser>
        <c:ser>
          <c:idx val="2"/>
          <c:order val="2"/>
          <c:tx>
            <c:strRef>
              <c:f>Лист1!$D$1</c:f>
              <c:strCache>
                <c:ptCount val="1"/>
                <c:pt idx="0">
                  <c:v>Объем товарооборота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Лист1!$A$2:$A$11</c:f>
              <c:numCache>
                <c:formatCode>General</c:formatCode>
                <c:ptCount val="10"/>
                <c:pt idx="0">
                  <c:v>2013.0</c:v>
                </c:pt>
                <c:pt idx="1">
                  <c:v>2014.0</c:v>
                </c:pt>
                <c:pt idx="2">
                  <c:v>2015.0</c:v>
                </c:pt>
                <c:pt idx="3">
                  <c:v>2016.0</c:v>
                </c:pt>
                <c:pt idx="4">
                  <c:v>2017.0</c:v>
                </c:pt>
                <c:pt idx="5">
                  <c:v>2018.0</c:v>
                </c:pt>
                <c:pt idx="6">
                  <c:v>2019.0</c:v>
                </c:pt>
                <c:pt idx="7">
                  <c:v>2020.0</c:v>
                </c:pt>
                <c:pt idx="8">
                  <c:v>2021.0</c:v>
                </c:pt>
                <c:pt idx="9">
                  <c:v>2022.0</c:v>
                </c:pt>
              </c:numCache>
            </c:numRef>
          </c:cat>
          <c:val>
            <c:numRef>
              <c:f>Лист1!$D$2:$D$11</c:f>
              <c:numCache>
                <c:formatCode>General</c:formatCode>
                <c:ptCount val="10"/>
                <c:pt idx="0">
                  <c:v>842.2</c:v>
                </c:pt>
                <c:pt idx="1">
                  <c:v>784.4</c:v>
                </c:pt>
                <c:pt idx="2">
                  <c:v>526.4</c:v>
                </c:pt>
                <c:pt idx="3">
                  <c:v>468.1</c:v>
                </c:pt>
                <c:pt idx="4">
                  <c:v>585.1</c:v>
                </c:pt>
                <c:pt idx="5">
                  <c:v>688.1</c:v>
                </c:pt>
                <c:pt idx="6">
                  <c:v>672.0</c:v>
                </c:pt>
                <c:pt idx="7">
                  <c:v>572.6</c:v>
                </c:pt>
                <c:pt idx="8">
                  <c:v>789.4</c:v>
                </c:pt>
                <c:pt idx="9">
                  <c:v>611.0</c:v>
                </c:pt>
              </c:numCache>
            </c:numRef>
          </c:val>
          <c:smooth val="0"/>
        </c:ser>
        <c:dLbls>
          <c:showLegendKey val="0"/>
          <c:showVal val="0"/>
          <c:showCatName val="0"/>
          <c:showSerName val="0"/>
          <c:showPercent val="0"/>
          <c:showBubbleSize val="0"/>
        </c:dLbls>
        <c:marker val="1"/>
        <c:smooth val="0"/>
        <c:axId val="469004128"/>
        <c:axId val="469007080"/>
      </c:lineChart>
      <c:catAx>
        <c:axId val="4690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9007080"/>
        <c:crosses val="autoZero"/>
        <c:auto val="1"/>
        <c:lblAlgn val="ctr"/>
        <c:lblOffset val="100"/>
        <c:noMultiLvlLbl val="0"/>
      </c:catAx>
      <c:valAx>
        <c:axId val="469007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900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 xmlns="http://www.w3.org/2003/InkML">
  <definitions>
    <brush xml:id="br0">
      <brushProperty name="inkEffects" value="pencil"/>
      <brushProperty name="color" value="#FFFFFF"/>
      <brushProperty name="width" value="0.35" units="cm"/>
      <brushProperty name="ignorePressure" value="1"/>
      <brushProperty name="height" value="2.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2147 78, 2139 82, 2114 90, 2070 107, 2012 126, 1946 146, 1879 166, 1816 184, 1759 197, 1709 206, 1665 211, 1627 213, 1595 214, 1572 217, 1552 221, 1535 225, 1518 232, 1500 239, 1480 246, 1468 250, 1479 253, 1535 244, 1633 226, 1758 199, 1894 173, 2024 147, 2140 126, 2236 111, 2311 101, 2365 96, 2404 94, 2432 94, 2454 95, 2466 96, 2466 97, 2453 102, 2428 115, 2398 134, 2367 160, 2336 189, 2307 219, 2285 247, 2265 270, 2250 282, 2240 280, 2234 267, 2235 247, 2239 223, 2244 198, 2249 179, 2246 175, 2234 187, 2214 212, 2189 243, 2161 275, 2134 310, 2107 341, 2086 368, 2067 388, 2052 398, 2042 398, 2036 384, 2034 359, 2036 325, 2041 288, 2051 253, 2060 220, 2069 199, 2075 190, 2079 185, 2081 179, 2082 178, 2083 183, 2079 197, 2073 218, 2068 242, 2064 260, 2061 264, 2059 249, 2058 224, 2061 190, 2070 154, 2080 119, 2088 95, 2095 83, 2100 84, 2099 99, 2095 121, 2091 140, 2087 157, 2080 171, 2073 185, 2063 196, 2054 207, 2046 214, 2041 212, 2038 204, 2036 186, 2035 158, 2035 127, 2035 95, 2036 65, 2032 41, 2024 28, 2010 26, 1997 34, 1982 53, 1969 77, 1959 94, 1952 99, 1948 94, 1949 85, 1954 72, 1959 62, 1967 57, 1979 53, 1995 56, 2010 65, 2022 79, 2031 97, 2036 117, 2039 143, 2040 171, 2040 200, 2039 227, 2042 249, 2050 261, 2063 262, 2076 253, 2091 242, 2104 227, 2118 209, 2130 189, 2142 171, 2153 161, 2157 157, 2154 156, 2143 158, 2131 156, 2116 153, 2099 150, 2076 147, 2047 145, 2011 144, 1968 147, 1913 155, 1850 165, 1786 178, 1726 189, 1673 199, 1626 209, 1586 218, 1552 225, 1524 230, 1499 232, 1477 234, 1456 234, 1435 234, 1410 237, 1384 246, 1355 255, 1324 263, 1299 273, 1276 283, 1255 294, 1235 304, 1218 308, 1206 305, 1199 291, 1198 270, 1206 242, 1219 215, 1233 189, 1249 168, 1263 150, 1278 136, 1294 127, 1312 121, 1331 119, 1356 118, 1390 118, 1434 119, 1484 120, 1531 121, 1573 121, 1609 122, 1636 125, 1654 134, 1667 144, 1677 156, 1683 172, 1689 189, 1699 206, 1713 218, 1729 223, 1745 220, 1757 209, 1762 196, 1758 184, 1751 172, 1744 157, 1737 140, 1732 121, 1725 104, 1715 91, 1700 82, 1686 81, 1675 87, 1663 104, 1653 126, 1642 148, 1632 162, 1624 166, 1619 160, 1612 151, 1602 141, 1592 137, 1584 139, 1574 149, 1561 161, 1549 167, 1540 166, 1533 158, 1529 144, 1527 126, 1522 109, 1514 95, 1501 85, 1487 83, 1473 84, 1460 84, 1446 83, 1431 81, 1413 80, 1394 79, 1374 82, 1352 90, 1330 100, 1307 108, 1289 118, 1275 124, 1266 123, 1261 114, 1259 100, 1259 82, 1259 61, 1260 45, 1257 39, 1250 39, 1241 46, 1229 54, 1214 66, 1196 78, 1180 84, 1163 86, 1146 85, 1127 88, 1107 94, 1086 106, 1064 122, 1042 138, 1024 154, 1011 164, 1002 166, 997 159, 995 145, 994 127, 991 113, 983 108, 974 104, 966 97, 957 91, 944 85, 928 81, 909 82, 893 90, 880 102, 867 119, 857 140, 846 158, 836 169, 832 173, 832 171, 834 161, 837 146, 839 126, 841 105, 843 89, 840 80, 835 78, 827 85, 818 98, 810 109, 809 113, 814 108, 821 97, 833 81, 844 68, 850 64, 851 67, 851 71, 853 70, 857 60, 864 47, 871 30, 878 19, 879 15, 877 21, 875 33, 868 50, 861 71, 850 90, 840 101, 832 103, 826 96, 818 89, 808 87, 790 92, 771 104, 752 120, 735 139, 719 161, 706 177, 697 183, 691 179, 688 167, 686 150, 690 129, 699 102, 713 73, 731 49, 748 26, 765 8, 780 0, 786 2, 784 12, 775 24, 763 39, 748 57, 734 77, 720 95, 708 108</trace>
  <trace timeOffset="2085.86" brushRef="#br0" contextRef="#ctx0"> 690 124, 701 124, 727 124, 767 124, 823 120, 881 115, 937 110, 991 106, 1041 103, 1086 102, 1127 101, 1167 100, 1207 100, 1248 100, 1290 101, 1329 101, 1363 101, 1394 101, 1420 101, 1445 101, 1467 101, 1482 101, 1478 101, 1436 105, 1341 118, 1197 136, 1024 162, 839 191, 665 217, 507 240, 373 258, 265 270, 182 278, 122 282, 79 283, 49 283, 26 282, 7 281, 1 280, 25 279, 97 275, 226 262, 403 243, 604 217, 805 192, 991 171, 1149 157, 1277 147, 1373 142, 1443 140, 1493 140, 1528 141, 1530 142, 1493 143, 1413 148, 1299 157, 1164 171, 1024 189, 893 209, 778 228, 675 249, 592 268, 530 284, 484 294, 451 300, 426 304, 417 305, 433 304, 499 292, 617 265, 775 224, 955 179, 1136 135, 1304 101, 1445 72, 1560 51, 1649 38, 1715 28, 1761 20, 1793 15, 1810 12, 1793 11, 1720 11, 1610 11, 1481 19, 1350 34, 1224 52, 1112 77, 1018 102, 945 125, 887 148, 847 170, 819 192, 798 210, 784 223</trace>
</ink>
</file>

<file path=word/ink/ink10.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0 1</trace>
</ink>
</file>

<file path=word/ink/ink11.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1 0</trace>
</ink>
</file>

<file path=word/ink/ink12.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1 0</trace>
</ink>
</file>

<file path=word/ink/ink13.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0 0, 1323 0, 326 0, 301 1, 276 2, 250 5, 225 9, 158 24, 133 33</trace>
</ink>
</file>

<file path=word/ink/ink14.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1 1</trace>
</ink>
</file>

<file path=word/ink/ink15.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1 1</trace>
</ink>
</file>

<file path=word/ink/ink16.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0 1, 715 211, 1302 389, 1376 409, 1451 426, 1613 452, 1635 454</trace>
</ink>
</file>

<file path=word/ink/ink17.xml><?xml version="1.0" encoding="utf-8"?>
<ink xmlns="http://www.w3.org/2003/InkML">
  <definitions>
    <brush xml:id="br0">
      <brushProperty name="color" value="#FFFFFF"/>
      <brushProperty name="width" value="0.3" units="cm"/>
      <brushProperty name="tip" value="rectangle"/>
      <brushProperty name="rasterOp" value="maskPen"/>
      <brushProperty name="ignorePressure" value="1"/>
      <brushProperty name="height" value="0.6"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0 79, 34 77, 68 74, 151 59, 209 48, 361 27, 796 1, 890 0, 1139 4, 1207 8, 1386 33, 1415 39, 1490 56, 1513 64</trace>
</ink>
</file>

<file path=word/ink/ink18.xml><?xml version="1.0" encoding="utf-8"?>
<ink xmlns="http://www.w3.org/2003/InkML">
  <definitions>
    <brush xml:id="br0">
      <brushProperty name="color" value="#FFFFFF"/>
      <brushProperty name="width" value="0.3" units="cm"/>
      <brushProperty name="tip" value="rectangle"/>
      <brushProperty name="rasterOp" value="maskPen"/>
      <brushProperty name="ignorePressure" value="1"/>
      <brushProperty name="height" value="0.6"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1 0</trace>
</ink>
</file>

<file path=word/ink/ink19.xml><?xml version="1.0" encoding="utf-8"?>
<ink xmlns="http://www.w3.org/2003/InkML">
  <definitions>
    <brush xml:id="br0">
      <brushProperty name="color" value="#FFFFFF"/>
      <brushProperty name="width" value="0.3" units="cm"/>
      <brushProperty name="tip" value="rectangle"/>
      <brushProperty name="rasterOp" value="maskPen"/>
      <brushProperty name="ignorePressure" value="1"/>
      <brushProperty name="height" value="0.6"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1 0</trace>
</ink>
</file>

<file path=word/ink/ink2.xml><?xml version="1.0" encoding="utf-8"?>
<ink xmlns="http://www.w3.org/2003/InkML">
  <definitions>
    <brush xml:id="br0">
      <brushProperty name="inkEffects" value="pencil"/>
      <brushProperty name="color" value="#FFFFFF"/>
      <brushProperty name="width" value="0.35" units="cm"/>
      <brushProperty name="ignorePressure" value="1"/>
      <brushProperty name="height" value="2.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403 80, 395 80, 373 80, 341 80, 302 80, 261 80, 224 80, 190 80, 161 80, 146 83, 152 88, 190 93, 260 96, 353 99, 456 101, 559 102, 655 102, 739 102, 810 102, 870 102, 918 101, 956 101, 986 101, 1010 101, 1032 101, 1052 101, 1064 105, 1052 110, 1010 119, 938 131, 845 151, 746 175, 652 197, 571 218, 501 235, 446 247, 403 258, 393 267, 431 266, 512 252, 625 231, 744 210, 862 188, 963 170, 1046 153, 1109 140, 1148 130, 1146 124, 1090 121, 993 120, 879 120, 763 121, 651 121, 553 122, 474 123, 412 123, 364 123, 327 124, 299 124, 276 124, 264 124, 270 124, 303 124, 366 124, 446 123, 530 123, 615 123, 688 123, 748 123, 794 123, 829 123, 849 127, 851 132, 831 141, 786 153, 725 173, 654 194, 583 214, 517 232, 461 245, 415 253, 379 258, 350 260, 325 260, 307 263, 295 271, 289 284, 290 297, 305 311, 333 328, 371 347, 413 363, 459 379, 502 393, 537 406, 554 418, 551 426, 528 431, 492 438, 447 444, 402 449, 361 453, 324 455, 293 456, 266 457, 249 457, 252 456, 275 456, 312 456, 360 456, 414 455, 465 455, 510 455, 548 455, 572 455, 582 455, 578 455, 565 455, 546 455, 527 451, 511 439, 500 420, 492 398, 488 374, 490 346, 499 320, 509 296, 522 274, 531 256, 525 243, 504 246, 473 257, 438 270, 403 285, 370 303, 340 319, 314 331, 293 335, 278 332, 266 328, 253 333, 238 349, 224 371, 210 396, 195 422, 181 449, 170 463, 163 461, 159 440, 157 406, 160 363, 165 320, 174 280, 184 244, 192 214, 198 194, 202 187, 204 192, 205 197, 209 199, 217 198, 227 192, 239 185, 254 175, 267 161, 278 152, 286 157, 291 180, 293 220, 290 272, 282 333, 268 395, 253 451, 241 491, 232 513, 227 517, 224 509, 222 492, 222 469, 222 445, 227 419, 236 390, 247 360, 256 331, 266 304, 276 278, 287 258, 297 240, 305 222, 310 204, 314 185, 315 165, 316 144, 316 130, 311 126, 302 127, 292 135, 279 148, 264 161, 249 177, 234 190, 222 204, 208 216, 197 229, 185 240, 182 248, 188 246, 205 235, 232 219, 263 198, 295 175, 325 155, 353 139, 379 129, 400 119, 411 111, 411 105, 402 102, 386 100, 366 99, 343 99, 319 99, 295 100, 279 100, 273 100, 284 101, 313 101, 355 97, 402 93, 452 88, 502 84, 548 82, 587 80, 620 79, 649 79, 677 79, 705 79, 731 79, 756 79, 779 79, 802 80, 824 80, 850 80, 877 80, 907 80, 938 80, 967 80, 994 80, 1020 80, 1044 80, 1067 80, 1086 83, 1095 88, 1091 97, 1062 117, 1006 147, 929 180, 842 217, 753 250, 672 279, 600 308, 538 332, 477 354, 411 375, 342 395, 269 411, 199 427, 138 440, 89 449, 50 454, 19 457, 1 458, 4 458, 35 454, 98 437, 193 413, 313 381, 437 348, 557 319, 662 294, 749 275, 820 259, 874 246, 915 238, 946 233, 970 231, 991 230, 1003 230, 996 231, 971 232, 922 233, 854 233, 777 233, 701 234, 631 234, 572 234, 521 234, 479 234, 445 234, 417 234, 401 234, 404 234, 432 234, 485 234, 558 234, 639 234, 719 234, 791 234, 855 234, 907 234, 949 234, 982 234, 1009 234, 1032 234, 1052 234, 1076 234, 1101 234, 1130 230, 1163 225, 1197 220, 1229 216, 1258 213, 1285 211, 1302 211, 1304 210, 1287 210, 1245 210, 1181 218, 1104 229, 1020 238, 941 250, 874 261, 820 269, 778 274, 746 278, 720 279, 710 280, 720 280, 753 279, 808 279, 875 278, 948 278, 1020 278, 1086 277, 1145 277, 1195 277, 1239 277, 1277 277, 1308 277, 1335 277, 1351 277, 1348 277, 1325 277, 1280 285, 1217 303, 1145 326, 1073 352, 1009 375, 952 396, 906 417, 868 434, 849 442, 854 441, 888 431, 943 408, 1013 378, 1091 346, 1167 318, 1236 294, 1294 275, 1344 259, 1386 246, 1419 238, 1440 233, 1446 231, 1430 230, 1397 230, 1358 231, 1315 232, 1269 233, 1227 233, 1189 233, 1161 230, 1149 221, 1159 208, 1185 191, 1223 171, 1267 149, 1315 130, 1357 112, 1392 97, 1421 87, 1447 81, 1462 77, 1466 76, 1460 76, 1446 80, 1427 86, 1404 95, 1380 105, 1360 116, 1341 127, 1322 136, 1310 142, 1311 146, 1330 148, 1365 148, 1422 144, 1487 135, 1553 121, 1612 107, 1661 95, 1701 87, 1729 77, 1750 69, 1757 63, 1751 59, 1733 57, 1701 63, 1659 76, 1604 99, 1549 125, 1500 157, 1457 186, 1422 212, 1392 237, 1367 256, 1344 269, 1334 277, 1343 281, 1376 279, 1425 266, 1486 243, 1550 215, 1612 185, 1667 153, 1712 120, 1748 93, 1774 70, 1794 52, 1808 36, 1812 25, 1804 25, 1779 37, 1735 66, 1678 109, 1617 159, 1552 212, 1497 261, 1452 303, 1417 335, 1388 360, 1363 381, 1349 397, 1350 407, 1369 412, 1414 411, 1474 396, 1540 368, 1604 335, 1662 301, 1713 269, 1756 243, 1787 221, 1811 205, 1828 190, 1834 179, 1830 175, 1811 180, 1783 191, 1752 211, 1721 237, 1692 264, 1664 291, 1639 314, 1618 334, 1600 350, 1590 356, 1590 350, 1598 335, 1613 314, 1628 290, 1645 264, 1660 239, 1668 218, 1656 210, 1624 218, 1577 235, 1519 267, 1458 299, 1402 331, 1354 356, 1315 375, 1286 383, 1276 380, 1280 365, 1298 343, 1327 317, 1361 290, 1399 263, 1433 237, 1462 212, 1484 189, 1503 170, 1513 160, 1509 163, 1492 185, 1463 219, 1430 261, 1396 304, 1364 340, 1339 370, 1317 391, 1301 409, 1290 419, 1288 418, 1297 405, 1323 381, 1363 348, 1411 308, 1459 264, 1502 222, 1539 184, 1571 155, 1595 131, 1614 111, 1624 102, 1624 106, 1619 118, 1609 136, 1594 158, 1579 182, 1563 203, 1553 211, 1551 211, 1558 204, 1571 187, 1589 164, 1607 138, 1621 111, 1635 89, 1646 76, 1654 74, 1656 89, 1646 121, 1625 171, 1594 229, 1560 289, 1527 344, 1495 390, 1466 424, 1440 450, 1419 471, 1405 483, 1396 484, 1391 476, 1390 457, 1394 428, 1404 392, 1419 355, 1433 319, 1449 291, 1463 267, 1474 245, 1485 229, 1494 210, 1501 190, 1509 168, 1516 146, 1526 124, 1535 101, 1542 86, 1540 85, 1529 99, 1505 128, 1471 168, 1433 215, 1397 264, 1364 309, 1334 349, 1307 380, 1290 397, 1280 400, 1284 384, 1305 355, 1331 320, 1362 280, 1395 237, 1427 197, 1456 156, 1479 119, 1499 86, 1518 61, 1533 40, 1544 22, 1554 7, 1554 1, 1547 7, 1532 26, 1509 56, 1482 90, 1458 124, 1435 152, 1413 173, 1396 189, 1383 205, 1383 218, 1396 227, 1422 229, 1453 223, 1488 211, 1524 197, 1558 185, 1585 173, 1604 162</trace>
</ink>
</file>

<file path=word/ink/ink20.xml><?xml version="1.0" encoding="utf-8"?>
<ink xmlns="http://www.w3.org/2003/InkML">
  <definitions>
    <brush xml:id="br0">
      <brushProperty name="color" value="#FFFFFF"/>
      <brushProperty name="width" value="0.3" units="cm"/>
      <brushProperty name="tip" value="rectangle"/>
      <brushProperty name="rasterOp" value="maskPen"/>
      <brushProperty name="ignorePressure" value="1"/>
      <brushProperty name="height" value="0.6"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0 62, 5 62, 27 62, 64 57, 114 52, 171 46, 230 42, 289 34, 342 26, 387 20, 425 15, 458 12, 486 10, 511 9, 535 9, 559 9, 578 5, 592 0</trace>
</ink>
</file>

<file path=word/ink/ink21.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1 0</trace>
</ink>
</file>

<file path=word/ink/ink22.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852 1, 840 31, 797 118, 729 248, 635 408, 526 586, 412 763, 297 927, 188 1070, 84 1195, 0 1289</trace>
</ink>
</file>

<file path=word/ink/ink23.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0 0</trace>
</ink>
</file>

<file path=word/ink/ink3.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374 244, 423 230, 752 157, 818 146, 884 138, 951 133, 1091 131, 995 146, 937 157, 602 205, 263 224, 216 221, 249 212, 339 196, 361 193, 1170 107, 1205 103, 1215 100, 1203 95, 691 23, 169 0, 19 1, 0 1</trace>
</ink>
</file>

<file path=word/ink/ink4.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127 0, 491 0, 1 0, 9 0</trace>
</ink>
</file>

<file path=word/ink/ink5.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1 0</trace>
</ink>
</file>

<file path=word/ink/ink6.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0 0</trace>
</ink>
</file>

<file path=word/ink/ink7.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0 0</trace>
</ink>
</file>

<file path=word/ink/ink8.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0 0</trace>
</ink>
</file>

<file path=word/ink/ink9.xml><?xml version="1.0" encoding="utf-8"?>
<ink xmlns="http://www.w3.org/2003/InkML">
  <definitions>
    <brush xml:id="br0">
      <brushProperty name="color" value="#FFFFFF"/>
      <brushProperty name="width" value="0.5" units="cm"/>
      <brushProperty name="tip" value="rectangle"/>
      <brushProperty name="rasterOp" value="maskPen"/>
      <brushProperty name="ignorePressure" value="1"/>
      <brushProperty name="height" value="1"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0 1</trace>
</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4F82ECFD-01EB-4F32-817B-2884D17C86AC}">
  <ds:schemaRefs>
    <ds:schemaRef ds:uri="http://schemas.openxmlformats.org/officeDocument/2006/bibliography"/>
  </ds:schemaRefs>
</ds:datastoreItem>
</file>

<file path=customXml/itemProps2.xml><?xml version="1.0" encoding="utf-8"?>
<ds:datastoreItem xmlns:ds="http://schemas.openxmlformats.org/officeDocument/2006/customXml" ds:itemID="{fb8661d3-a6e1-4d95-840a-9630b2a07db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Words>10138</Words>
  <Pages>1</Pages>
  <Characters>69374</Characters>
  <Application>WPS Office</Application>
  <DocSecurity>0</DocSecurity>
  <Paragraphs>718</Paragraphs>
  <ScaleCrop>false</ScaleCrop>
  <LinksUpToDate>false</LinksUpToDate>
  <CharactersWithSpaces>79467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2022-12-17T15:39:00Z</dcterms:created>
  <dc:creator>Пользователь</dc:creator>
  <lastModifiedBy>Redmi Note 8 Pro</lastModifiedBy>
  <dcterms:modified xsi:type="dcterms:W3CDTF">2022-12-20T06:45:14Z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fdcb373854d3441eb8ffb570c6db91fd</vt:lpwstr>
  </property>
</Properties>
</file>