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4E" w:rsidRPr="00BF382C" w:rsidRDefault="007A574E" w:rsidP="00BF3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74E" w:rsidRPr="00BF382C" w:rsidRDefault="007A574E" w:rsidP="00BF38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:rsidR="007A574E" w:rsidRPr="00BF382C" w:rsidRDefault="007A574E" w:rsidP="00BF3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74E" w:rsidRPr="00BF382C" w:rsidRDefault="007A574E" w:rsidP="00BF3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382C" w:rsidRPr="00BF382C" w:rsidRDefault="007A574E" w:rsidP="00BF3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темы исследования. </w:t>
      </w:r>
    </w:p>
    <w:p w:rsidR="007A574E" w:rsidRPr="00BF382C" w:rsidRDefault="007A574E" w:rsidP="00BF3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BF382C"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Министерства образования и науки РФ, за последние 10 лет количество детей с задержкой психического развития (далее – ЗПР) увеличилось в 2 раза.</w:t>
      </w:r>
      <w:proofErr w:type="gramEnd"/>
      <w:r w:rsidR="00BF382C"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Основную массу в этой статистике составляют дети дошкольного и младшего школьного возрастов. Среди основных характеристик уровня развития ребенка, готового к обучению в школе, в стандартах дошкольного и начального школьного образования выделяется сформированность пространственных представлений и пространственной ориентировки. </w:t>
      </w:r>
      <w:r w:rsidR="00BF382C"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Исследования Н.Я. Семаго показали, что недостаточность сформированности данного показателя напрямую влияет на уровень актуального интеллектуального развития ребенка с ЗПР, проявляется в нарушении графической деятельности, чтения, письма, владения математическими операциями и различными видами мышления. </w:t>
      </w:r>
      <w:r w:rsidR="00BF382C"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С.Г. Шевченко указывает на низкий уровень сформированности пространственных представлений у детей с ЗПР</w:t>
      </w:r>
      <w:r w:rsidR="00BF382C"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обусловленный основной характерной особенностью детей данной категории - недостаточной г</w:t>
      </w:r>
      <w:r w:rsidR="00BF382C"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отовностью к школьному обучению. На основе этого можно сделать вывод о необходимости уделять особое внимание формированию пространственных представлений при подготовке детей с ЗПР к обучению в школе. Таким образом, </w:t>
      </w:r>
      <w:r w:rsidR="00BF382C" w:rsidRPr="00BF38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актуальность данного исследования обусловлена</w:t>
      </w:r>
      <w:r w:rsidR="00BF382C"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необходимостью разработки наиболее эффективных путей коррекционного воздействия в процессе формирования пространственных представлений у детей старшего дошкольного возраста с ЗПР.</w:t>
      </w:r>
    </w:p>
    <w:p w:rsidR="007A574E" w:rsidRPr="00BF382C" w:rsidRDefault="007A574E" w:rsidP="00BF3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</w:t>
      </w:r>
      <w:r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особенности формирования пространственных представлений у детей с ЗПР старшего дошкольного возраста.</w:t>
      </w: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74E" w:rsidRPr="00BF382C" w:rsidRDefault="007A574E" w:rsidP="00BF3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анализ литературы позволил сформулировать </w:t>
      </w:r>
      <w:r w:rsidRPr="00BF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</w:t>
      </w:r>
      <w:r w:rsidRPr="00BF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потезу исследования</w:t>
      </w:r>
      <w:r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сформированности пространственных представлений у детей старшего дошкольного возраста с ЗПР зависит от эффективности организованного коррекционного воздействия.</w:t>
      </w:r>
    </w:p>
    <w:p w:rsidR="007A574E" w:rsidRPr="00BF382C" w:rsidRDefault="007A574E" w:rsidP="00BF3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4E" w:rsidRPr="00BF382C" w:rsidRDefault="007A574E" w:rsidP="00BF3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</w:t>
      </w:r>
      <w:r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формирования пространственных представлений у старших дошкольников с ЗПР</w:t>
      </w:r>
    </w:p>
    <w:p w:rsidR="007A574E" w:rsidRPr="00BF382C" w:rsidRDefault="007A574E" w:rsidP="00BF3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коррекционного воздействия по формированию пространственных представлений и оценки уровня их сформированности у детей дошкольного возраста с ЗПР.</w:t>
      </w:r>
    </w:p>
    <w:p w:rsidR="007A574E" w:rsidRPr="00BF382C" w:rsidRDefault="007A574E" w:rsidP="00BF38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целью, объектом и предметом исследования можно сформулировать </w:t>
      </w:r>
      <w:r w:rsidRPr="00BF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BF3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7A574E" w:rsidRPr="00BF382C" w:rsidRDefault="007A574E" w:rsidP="00BF382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понятие "задержка психического развития" и особенности проявления данного нарушения у детей.</w:t>
      </w:r>
    </w:p>
    <w:p w:rsidR="007A574E" w:rsidRPr="00BF382C" w:rsidRDefault="007A574E" w:rsidP="00BF382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сравнить пространственные представления детей дошкольного возраста с нормой интеллектуального развития и  с ЗПР.</w:t>
      </w:r>
    </w:p>
    <w:p w:rsidR="007A574E" w:rsidRPr="00BF382C" w:rsidRDefault="007A574E" w:rsidP="00BF382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ряд методик по формированию пространственных представлений у детей дошкольного возраста с ЗПР и выбрать одну с целью апробирования на практике.</w:t>
      </w:r>
    </w:p>
    <w:p w:rsidR="007A574E" w:rsidRPr="00BF382C" w:rsidRDefault="007A574E" w:rsidP="00BF382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на практике выбранную методику и оценить ее действенность.  </w:t>
      </w:r>
    </w:p>
    <w:p w:rsidR="0078711D" w:rsidRPr="00BF382C" w:rsidRDefault="007A574E" w:rsidP="00BF38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382C">
        <w:rPr>
          <w:rFonts w:ascii="Times New Roman" w:hAnsi="Times New Roman" w:cs="Times New Roman"/>
          <w:b/>
          <w:bCs/>
          <w:sz w:val="28"/>
          <w:szCs w:val="28"/>
        </w:rPr>
        <w:t>Экспериментальная часть исследования. Констатирующий эксперимент.</w:t>
      </w:r>
    </w:p>
    <w:p w:rsidR="007A574E" w:rsidRPr="00BF382C" w:rsidRDefault="007A574E" w:rsidP="00BF3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b/>
          <w:sz w:val="28"/>
          <w:szCs w:val="28"/>
        </w:rPr>
        <w:lastRenderedPageBreak/>
        <w:t>Целью констатирующего эксперимента</w:t>
      </w:r>
      <w:r w:rsidRPr="00BF382C">
        <w:rPr>
          <w:rFonts w:ascii="Times New Roman" w:hAnsi="Times New Roman" w:cs="Times New Roman"/>
          <w:sz w:val="28"/>
          <w:szCs w:val="28"/>
        </w:rPr>
        <w:t xml:space="preserve"> было более точно и наглядно представить сложившуюся в действительности ситуацию, определить реальный уровень сформированности пространственных представлений у детей старшего дошкольного возраста с ЗПР. </w:t>
      </w:r>
    </w:p>
    <w:p w:rsidR="007A574E" w:rsidRPr="00BF382C" w:rsidRDefault="007A574E" w:rsidP="00BF3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 xml:space="preserve">Эксперимент проводился на базе МБДОУ МО </w:t>
      </w:r>
      <w:proofErr w:type="spellStart"/>
      <w:r w:rsidRPr="00BF382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>раснодара</w:t>
      </w:r>
      <w:proofErr w:type="spellEnd"/>
      <w:r w:rsidRPr="00BF382C">
        <w:rPr>
          <w:rFonts w:ascii="Times New Roman" w:hAnsi="Times New Roman" w:cs="Times New Roman"/>
          <w:sz w:val="28"/>
          <w:szCs w:val="28"/>
        </w:rPr>
        <w:t xml:space="preserve"> "Детский сад №24" в группе «Особый ребенок». В обследовании участвовали 5 детей старшего дошкольного возраста (5-7 лет), у которых в диагнозе отмечена задержка психического развития. Основные сведения по обследуемым детям представлены в таблице 1. (Таблица на слайде)</w:t>
      </w:r>
    </w:p>
    <w:p w:rsidR="007A574E" w:rsidRPr="00BF382C" w:rsidRDefault="007A574E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 xml:space="preserve">Во время проведения эксперимента нами был использован блок «Исследование сформированности пространственных представлений» диагностического  альбома для оценки развития познавательной деятельности ребенка дошкольного и младшего школьного возраста авторов Н.Я. Семаго, М.М. Семаго.  Данный блок состоит из двух методик. 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При использовании первой методики нами изучалось понимание и употребление предлогов и слов, обозначающих пространственное взаиморасположение объектов, в том числе оценка владения ребенком предлогами и понятиями выше, ниже, на, над, под, снизу, сверху, между, а также лево, право, слева, справа, левее, правее, ближе всего к…, дальше всего от…. Вторая методика предполагает складывание разрезных картинок для исследования конструктивного праксиса детей.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 xml:space="preserve"> </w:t>
      </w:r>
      <w:r w:rsidRPr="00BF382C">
        <w:rPr>
          <w:rFonts w:ascii="Times New Roman" w:hAnsi="Times New Roman" w:cs="Times New Roman"/>
          <w:sz w:val="28"/>
          <w:szCs w:val="28"/>
        </w:rPr>
        <w:t xml:space="preserve">В ней анализируются 4 вида стратегий деятельности детей: 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>аотическая;</w:t>
      </w:r>
      <w:r w:rsidRPr="00BF382C">
        <w:rPr>
          <w:rFonts w:ascii="Times New Roman" w:hAnsi="Times New Roman" w:cs="Times New Roman"/>
          <w:sz w:val="28"/>
          <w:szCs w:val="28"/>
        </w:rPr>
        <w:t xml:space="preserve"> </w:t>
      </w:r>
      <w:r w:rsidRPr="00BF382C">
        <w:rPr>
          <w:rFonts w:ascii="Times New Roman" w:hAnsi="Times New Roman" w:cs="Times New Roman"/>
          <w:sz w:val="28"/>
          <w:szCs w:val="28"/>
        </w:rPr>
        <w:t>-метод «проб и ошибок»;</w:t>
      </w:r>
      <w:r w:rsidRPr="00BF382C">
        <w:rPr>
          <w:rFonts w:ascii="Times New Roman" w:hAnsi="Times New Roman" w:cs="Times New Roman"/>
          <w:sz w:val="28"/>
          <w:szCs w:val="28"/>
        </w:rPr>
        <w:t xml:space="preserve"> </w:t>
      </w:r>
      <w:r w:rsidRPr="00BF382C">
        <w:rPr>
          <w:rFonts w:ascii="Times New Roman" w:hAnsi="Times New Roman" w:cs="Times New Roman"/>
          <w:sz w:val="28"/>
          <w:szCs w:val="28"/>
        </w:rPr>
        <w:t>-целенаправленное выполнение задания без предварительной программы или хотя бы зрительно-пространственной оценки;</w:t>
      </w:r>
      <w:r w:rsidRPr="00BF382C">
        <w:rPr>
          <w:rFonts w:ascii="Times New Roman" w:hAnsi="Times New Roman" w:cs="Times New Roman"/>
          <w:sz w:val="28"/>
          <w:szCs w:val="28"/>
        </w:rPr>
        <w:t xml:space="preserve"> </w:t>
      </w:r>
      <w:r w:rsidRPr="00BF382C">
        <w:rPr>
          <w:rFonts w:ascii="Times New Roman" w:hAnsi="Times New Roman" w:cs="Times New Roman"/>
          <w:sz w:val="28"/>
          <w:szCs w:val="28"/>
        </w:rPr>
        <w:t>-выполнение в наглядно-образном плане с предварительным зрительным «примериванием», соотнесением результата и образца.</w:t>
      </w:r>
    </w:p>
    <w:p w:rsidR="007A574E" w:rsidRPr="00BF382C" w:rsidRDefault="007A574E" w:rsidP="00BF3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>В конце каждой методики есть подраздел «возрастные особенности», в котором указывается нормативный возраст для овладения определенными показателями.</w:t>
      </w:r>
    </w:p>
    <w:p w:rsidR="007A574E" w:rsidRPr="00BF382C" w:rsidRDefault="007A574E" w:rsidP="00BF3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 xml:space="preserve">Для проведения обследования детей по методике и систематизации полученных сведений мы создали диагностическую карту. Исследование анализируемых понятий оценивались тремя показателями, которые отражали степень владения детьми данными понятиями: полная ориентировка, затруднение в ориентировке и отсутствие ориентировки.   Полученные данные были сгруппированы и отражены на трех гистограммах (см. рисунок 1, 2, 3). </w:t>
      </w:r>
      <w:r w:rsidR="00BF382C" w:rsidRPr="00BF38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49749F" wp14:editId="610BA7B7">
            <wp:extent cx="6315739" cy="2583712"/>
            <wp:effectExtent l="0" t="0" r="2794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574E" w:rsidRPr="00BF382C" w:rsidRDefault="007A574E" w:rsidP="00BF3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 xml:space="preserve">Рисунок 1 отражает показатели владения детьми понятиями, отражающими ориентировку в пространстве по вертикальной оси и по горизонтальной (в глубину). </w:t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 xml:space="preserve">Анализ данной гистограммы показывает, что полностью ориентируются все дети в понятиях «вверх/вниз» и «ближе/дальше». 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Позициями «сверху/снизу» владеют 4 ребенка, что составляет 80% всех детей; «выше/ниже», «на», «перед/за», «спереди от/сзади от» – 2 ребенка владеют данными понятиями, т.е. 40%; и всего 20% испытуемых владеет понятием «между».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 xml:space="preserve"> У 60% детей, затруднена ориентировка в понятиях «ниже/выше», «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>/под», «на», «перед/за», спереди от/сзади от». 20% обследуемых детей затрудняются в ориентировке в понятиях «сверху/снизу» и «между». Так же из диаграммы понятно, что не ориентируются совсем дети только в двух понятиях: «над/под» - 40 %, и «между» - 60% от общего количества исследуемых детей.</w:t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 xml:space="preserve">Далее исследовался второй раздел первой методики, отражающий </w:t>
      </w:r>
      <w:r w:rsidRPr="00BF382C">
        <w:rPr>
          <w:rFonts w:ascii="Times New Roman" w:hAnsi="Times New Roman" w:cs="Times New Roman"/>
          <w:sz w:val="28"/>
          <w:szCs w:val="28"/>
        </w:rPr>
        <w:t>Показатели владения детьми понятиями, отражающими ориентировку в пространстве и по горизонтальной оси («право-левая» ориентировка)</w:t>
      </w:r>
      <w:r w:rsidRPr="00BF382C">
        <w:rPr>
          <w:rFonts w:ascii="Times New Roman" w:hAnsi="Times New Roman" w:cs="Times New Roman"/>
          <w:sz w:val="28"/>
          <w:szCs w:val="28"/>
        </w:rPr>
        <w:t>. Результаты представлены на рисунке 2.</w:t>
      </w:r>
      <w:r w:rsidRPr="00BF3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66D5997" wp14:editId="6C12CB32">
            <wp:extent cx="5943600" cy="2296632"/>
            <wp:effectExtent l="0" t="0" r="19050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>Как видно из рисунка 2, в понятиях «лево/право» ориентируется большинство детей – 80%, не ориентируется всего 20%. Понятия «слева/справа» у 4 детей, т.е. у 80%, вызывают затруднения при ориентировке, всего один ребенок понимает его, что выражается в 20-ти % всех детей. В понятиях «левее/правее» успешно не ориентируется ни один ребенок. У 60% детей ориентировка в них вызывает затруднения, а у 40% -  отсутствует вовсе.</w:t>
      </w:r>
    </w:p>
    <w:p w:rsidR="007A574E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 xml:space="preserve">Последняя гистограмма (рисунок 3) отражает результаты, полученные при анализе второй методики «Складывание разрезных картинок», которая направлена на исследование 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конструктивного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 xml:space="preserve"> праксиса. Результаты приведены ниже.</w:t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80A3919" wp14:editId="2B3D3858">
            <wp:extent cx="5943600" cy="1786270"/>
            <wp:effectExtent l="0" t="0" r="19050" b="234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 xml:space="preserve">Результаты, отраженные в рисунке 3, показывают, что с картинкой, состоящей из 2-х и 3-х деталей, справились все дети, 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 xml:space="preserve"> 100%. Картинка из 4-х деталей вызвала больше затруднений, 20% детей с ней не </w:t>
      </w:r>
      <w:proofErr w:type="spellStart"/>
      <w:r w:rsidRPr="00BF382C">
        <w:rPr>
          <w:rFonts w:ascii="Times New Roman" w:hAnsi="Times New Roman" w:cs="Times New Roman"/>
          <w:sz w:val="28"/>
          <w:szCs w:val="28"/>
        </w:rPr>
        <w:t>справлись</w:t>
      </w:r>
      <w:proofErr w:type="spellEnd"/>
      <w:r w:rsidRPr="00BF382C">
        <w:rPr>
          <w:rFonts w:ascii="Times New Roman" w:hAnsi="Times New Roman" w:cs="Times New Roman"/>
          <w:sz w:val="28"/>
          <w:szCs w:val="28"/>
        </w:rPr>
        <w:t xml:space="preserve">. Наибольшее число детей, 60% не смогли справиться с картинками, состоящими из 5-ти и 6-ти деталей, с этим заданием справились только 40% исследуемых нами детей. Анализируя стратегии деятельности детей при выполнении данного задания, можно заключить, что все дети 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действуют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 xml:space="preserve"> целенаправленно выполняя задание или же при помощи метода «проб и ошибок». Ни у одного ребенка не наблюдалось хаотических, не имеющих цели манипуляций. </w:t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>Следует отметить, что у каждого ребенка очень низкий уровень экспрессивной речи. В собственной речи  дети употребляют только самые простые понятия, отражающие ориентировку в пространстве, такие как «верх/низ» и «право/лево». Некоторые дети затрудняются даже повторить уже сказанное им предложение, запинаясь именно на пространственных предлогах. Уровень импрессивной речи развит лучше, так как большую часть понятий дети воспринимают правильно.</w:t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>Анализируя результаты, полученные по обеим методикам, и сравнивая их с нормативными возрастными показателями формирования пространственных представлений, которые указывает автор выбранной нами методики, мы убеждаемся в том, что дети с ЗПР отстают в развитии пространственных представлений от детей без нарушений. Так, например, в первой методике условно нормативным считается выполнение всех заданий к 6-7 годам, а в методике второй в норме дети в возрасте 5,5-6,5 лет справляются с заданиями на складывание картинок из 5-ти и более частей. Из этого следует, что дети, обследуемые нами, нуждаются в организации коррекционной помощи по формированию у них пространственных представлений для более успешной их подготовки к школьному обучению.</w:t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82C">
        <w:rPr>
          <w:rFonts w:ascii="Times New Roman" w:hAnsi="Times New Roman" w:cs="Times New Roman"/>
          <w:b/>
          <w:bCs/>
          <w:sz w:val="28"/>
          <w:szCs w:val="28"/>
        </w:rPr>
        <w:t>Методика и организация коррекционной работы по формированию пространственных представлений у детей старшего дошкольного возраста с ЗПР.</w:t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b/>
          <w:bCs/>
          <w:sz w:val="28"/>
          <w:szCs w:val="28"/>
        </w:rPr>
        <w:t xml:space="preserve">Целью данной работы </w:t>
      </w:r>
      <w:r w:rsidRPr="00BF382C">
        <w:rPr>
          <w:rFonts w:ascii="Times New Roman" w:hAnsi="Times New Roman" w:cs="Times New Roman"/>
          <w:sz w:val="28"/>
          <w:szCs w:val="28"/>
        </w:rPr>
        <w:t xml:space="preserve">было оценить в действии существующую методику по формированию пространственных представлений  у детей старшего дошкольного возраста с ЗПР. При подготовке к формирующему эксперименту нами был рассмотрен ряд методик, которые рассчитаны на коррекционно-развивающую работу  с детьми с ЗПР старшего дошкольного возраста. В процессе поиска мы столкнулись с проблемой ограниченного количества таких разработок, что может говорить о недостаточной изученности темы нашего исследования в теории и практике. </w:t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lastRenderedPageBreak/>
        <w:t xml:space="preserve">Первой была рассмотрена коррекционно-развивающая программа под названием </w:t>
      </w:r>
      <w:r w:rsidRPr="00BF382C">
        <w:rPr>
          <w:rFonts w:ascii="Times New Roman" w:hAnsi="Times New Roman" w:cs="Times New Roman"/>
          <w:b/>
          <w:bCs/>
          <w:sz w:val="28"/>
          <w:szCs w:val="28"/>
        </w:rPr>
        <w:t>«Узнаем и строим»</w:t>
      </w:r>
      <w:r w:rsidRPr="00BF382C">
        <w:rPr>
          <w:rFonts w:ascii="Times New Roman" w:hAnsi="Times New Roman" w:cs="Times New Roman"/>
          <w:sz w:val="28"/>
          <w:szCs w:val="28"/>
        </w:rPr>
        <w:t xml:space="preserve">, авторов </w:t>
      </w:r>
      <w:r w:rsidRPr="00BF382C">
        <w:rPr>
          <w:rFonts w:ascii="Times New Roman" w:hAnsi="Times New Roman" w:cs="Times New Roman"/>
          <w:b/>
          <w:bCs/>
          <w:sz w:val="28"/>
          <w:szCs w:val="28"/>
        </w:rPr>
        <w:t xml:space="preserve">И.Л. </w:t>
      </w:r>
      <w:proofErr w:type="spellStart"/>
      <w:r w:rsidRPr="00BF382C">
        <w:rPr>
          <w:rFonts w:ascii="Times New Roman" w:hAnsi="Times New Roman" w:cs="Times New Roman"/>
          <w:b/>
          <w:bCs/>
          <w:sz w:val="28"/>
          <w:szCs w:val="28"/>
        </w:rPr>
        <w:t>Гольдфельд</w:t>
      </w:r>
      <w:proofErr w:type="spellEnd"/>
      <w:r w:rsidRPr="00BF382C">
        <w:rPr>
          <w:rFonts w:ascii="Times New Roman" w:hAnsi="Times New Roman" w:cs="Times New Roman"/>
          <w:b/>
          <w:bCs/>
          <w:sz w:val="28"/>
          <w:szCs w:val="28"/>
        </w:rPr>
        <w:t xml:space="preserve"> и А. Арсенюк</w:t>
      </w:r>
      <w:r w:rsidRPr="00BF382C">
        <w:rPr>
          <w:rFonts w:ascii="Times New Roman" w:hAnsi="Times New Roman" w:cs="Times New Roman"/>
          <w:sz w:val="28"/>
          <w:szCs w:val="28"/>
        </w:rPr>
        <w:t>. Основная суть ее заключается в том, что в процессе формирования пространственных представлений у детей с ЗПР она опирается на конструктивную деятельность.</w:t>
      </w:r>
    </w:p>
    <w:p w:rsidR="00AE3344" w:rsidRPr="00BF382C" w:rsidRDefault="00AE3344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 xml:space="preserve">Второй из анализируемых была программа </w:t>
      </w:r>
      <w:r w:rsidRPr="00BF382C">
        <w:rPr>
          <w:rFonts w:ascii="Times New Roman" w:hAnsi="Times New Roman" w:cs="Times New Roman"/>
          <w:b/>
          <w:bCs/>
          <w:sz w:val="28"/>
          <w:szCs w:val="28"/>
        </w:rPr>
        <w:t>«Формирование пространственных представлений (ФПП)»</w:t>
      </w:r>
      <w:r w:rsidRPr="00BF382C">
        <w:rPr>
          <w:rFonts w:ascii="Times New Roman" w:hAnsi="Times New Roman" w:cs="Times New Roman"/>
          <w:sz w:val="28"/>
          <w:szCs w:val="28"/>
        </w:rPr>
        <w:t xml:space="preserve"> </w:t>
      </w:r>
      <w:r w:rsidRPr="00BF382C">
        <w:rPr>
          <w:rFonts w:ascii="Times New Roman" w:hAnsi="Times New Roman" w:cs="Times New Roman"/>
          <w:b/>
          <w:bCs/>
          <w:sz w:val="28"/>
          <w:szCs w:val="28"/>
        </w:rPr>
        <w:t>Н.Я. Семаго и М.М. Семаго</w:t>
      </w:r>
      <w:r w:rsidRPr="00BF382C">
        <w:rPr>
          <w:rFonts w:ascii="Times New Roman" w:hAnsi="Times New Roman" w:cs="Times New Roman"/>
          <w:sz w:val="28"/>
          <w:szCs w:val="28"/>
        </w:rPr>
        <w:t>, в которой формирование пространственных представлений происходит постепенно, начиная от уровня тела с переходом к уровню овладения анализом пространственных взаимоотношений объектов во внешнем пространстве.</w:t>
      </w:r>
    </w:p>
    <w:p w:rsidR="007E1C9F" w:rsidRPr="00BF382C" w:rsidRDefault="007E1C9F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 xml:space="preserve">В своем выборе мы остановились на третьей методике </w:t>
      </w:r>
      <w:r w:rsidRPr="00BF382C">
        <w:rPr>
          <w:rFonts w:ascii="Times New Roman" w:hAnsi="Times New Roman" w:cs="Times New Roman"/>
          <w:b/>
          <w:bCs/>
          <w:sz w:val="28"/>
          <w:szCs w:val="28"/>
        </w:rPr>
        <w:t>«Формирование пространственных представлений»</w:t>
      </w:r>
      <w:r w:rsidRPr="00BF382C">
        <w:rPr>
          <w:rFonts w:ascii="Times New Roman" w:hAnsi="Times New Roman" w:cs="Times New Roman"/>
          <w:sz w:val="28"/>
          <w:szCs w:val="28"/>
        </w:rPr>
        <w:t xml:space="preserve">, которая входит в программу по развитию мышления </w:t>
      </w:r>
      <w:r w:rsidRPr="00BF382C">
        <w:rPr>
          <w:rFonts w:ascii="Times New Roman" w:hAnsi="Times New Roman" w:cs="Times New Roman"/>
          <w:b/>
          <w:bCs/>
          <w:sz w:val="28"/>
          <w:szCs w:val="28"/>
        </w:rPr>
        <w:t>у детей с ЗПР Н.Ю. Боряковой</w:t>
      </w:r>
      <w:r w:rsidRPr="00BF382C">
        <w:rPr>
          <w:rFonts w:ascii="Times New Roman" w:hAnsi="Times New Roman" w:cs="Times New Roman"/>
          <w:sz w:val="28"/>
          <w:szCs w:val="28"/>
        </w:rPr>
        <w:t>. Конечный результат  данной разработки ориентирован на освоение ребенком пространственных представлений и развитие экспрессивного уровня речи ребенка. Делится она на 5 этапов, расположенных в последовательности, отражающей нормативное овладение ребенком пространственными представлениями, начиная от наиболее простых координатных, метрических представлений и заканчивая лингвистическими представлениями (пространство языка), наиболее поздно усваиваемыми ребенком. Методика содержит в себе дидактический материал для реализации коррекционно-развивающего процесса, представляющий собой конкретные задания для детей, дополняющие методическое описание каждого этапа. Работа ведется от 3 до 6 месяцев по 2-3 занятия в неделю.</w:t>
      </w:r>
    </w:p>
    <w:p w:rsidR="007E1C9F" w:rsidRPr="00BF382C" w:rsidRDefault="007E1C9F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 xml:space="preserve"> Выбор нами данной методики обуславливается тем, что на наш взгляд она оказалась содержательнее остальных, имеет более четкую структуру и уже включает в себя весь необходимый дидактический материал для занятий с ребенком. </w:t>
      </w:r>
      <w:r w:rsidRPr="00BF382C">
        <w:rPr>
          <w:rFonts w:ascii="Times New Roman" w:hAnsi="Times New Roman" w:cs="Times New Roman"/>
          <w:sz w:val="28"/>
          <w:szCs w:val="28"/>
        </w:rPr>
        <w:t>Рассмотрим подробнее содержание методики.</w:t>
      </w:r>
    </w:p>
    <w:p w:rsidR="007E1C9F" w:rsidRPr="00BF382C" w:rsidRDefault="007E1C9F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b/>
          <w:sz w:val="28"/>
          <w:szCs w:val="28"/>
        </w:rPr>
        <w:t>Первый этап – «Формирование пространственных ориентировок в собственном телесном пространстве»</w:t>
      </w:r>
      <w:r w:rsidRPr="00BF382C">
        <w:rPr>
          <w:rFonts w:ascii="Times New Roman" w:hAnsi="Times New Roman" w:cs="Times New Roman"/>
          <w:sz w:val="28"/>
          <w:szCs w:val="28"/>
        </w:rPr>
        <w:t xml:space="preserve"> - является базовым, так как онтогенетически более ранней системой ориентации является схема тела. Работа на данном этапе начинается с задания «угадай часть тела и запомни ее», направленного на развитие у ребенка общих представлений 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о теле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 xml:space="preserve"> и его частях. Далее начинается работа непосредственно по формированию пространственных предлогов и понятий относительно частей тела.</w:t>
      </w:r>
      <w:r w:rsidRPr="00BF3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C9F" w:rsidRPr="00BF382C" w:rsidRDefault="007E1C9F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b/>
          <w:sz w:val="28"/>
          <w:szCs w:val="28"/>
        </w:rPr>
        <w:t>Второй этап «Формирование пространственных представлений, отражающих взаимоотношения внешних объектов и тела»</w:t>
      </w:r>
      <w:r w:rsidRPr="00BF382C">
        <w:rPr>
          <w:rFonts w:ascii="Times New Roman" w:hAnsi="Times New Roman" w:cs="Times New Roman"/>
          <w:sz w:val="28"/>
          <w:szCs w:val="28"/>
        </w:rPr>
        <w:t xml:space="preserve"> направлен на определение ребенком направления в пространстве относительно своего тела.</w:t>
      </w:r>
    </w:p>
    <w:p w:rsidR="007E1C9F" w:rsidRPr="00BF382C" w:rsidRDefault="007E1C9F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b/>
          <w:sz w:val="28"/>
          <w:szCs w:val="28"/>
        </w:rPr>
        <w:t xml:space="preserve">Третий этап носит название «Формирование пространственных представлений, отражающих взаимоотношения объектов относительно друг друга». </w:t>
      </w:r>
      <w:r w:rsidRPr="00BF382C">
        <w:rPr>
          <w:rFonts w:ascii="Times New Roman" w:hAnsi="Times New Roman" w:cs="Times New Roman"/>
          <w:sz w:val="28"/>
          <w:szCs w:val="28"/>
        </w:rPr>
        <w:t>Направлен он на формирование у ребенка ориентировки в пространстве относительно внешних объектов по вертикальной и горизонтальной оси.</w:t>
      </w:r>
    </w:p>
    <w:p w:rsidR="007E1C9F" w:rsidRPr="00BF382C" w:rsidRDefault="007E1C9F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b/>
          <w:sz w:val="28"/>
          <w:szCs w:val="28"/>
        </w:rPr>
        <w:t>Этап четвертый «Построение грамматических конструкций, отражающих пространственные отношения на плоскости»</w:t>
      </w:r>
      <w:r w:rsidRPr="00BF382C">
        <w:rPr>
          <w:rFonts w:ascii="Times New Roman" w:hAnsi="Times New Roman" w:cs="Times New Roman"/>
          <w:sz w:val="28"/>
          <w:szCs w:val="28"/>
        </w:rPr>
        <w:t xml:space="preserve"> направлен на формирование ориентировок на местности, на листе бумаги и графическом воспроизведении направлений.</w:t>
      </w:r>
    </w:p>
    <w:p w:rsidR="007E1C9F" w:rsidRPr="00BF382C" w:rsidRDefault="007E1C9F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b/>
          <w:sz w:val="28"/>
          <w:szCs w:val="28"/>
        </w:rPr>
        <w:lastRenderedPageBreak/>
        <w:t>Пятый этап – заключительный.</w:t>
      </w:r>
      <w:r w:rsidRPr="00BF382C">
        <w:rPr>
          <w:rFonts w:ascii="Times New Roman" w:hAnsi="Times New Roman" w:cs="Times New Roman"/>
          <w:sz w:val="28"/>
          <w:szCs w:val="28"/>
        </w:rPr>
        <w:t xml:space="preserve"> Он направлен на закрепление предыдущих этапов и формирование логико-грамматических конструкций. Он содержит в себе более сложные задания, часть которых ориентирована на детей младшего школьного возраста. Для детей, участвующих в нашем исследовании, мы использовали </w:t>
      </w:r>
      <w:r w:rsidRPr="00BF382C">
        <w:rPr>
          <w:rFonts w:ascii="Times New Roman" w:hAnsi="Times New Roman" w:cs="Times New Roman"/>
          <w:sz w:val="28"/>
          <w:szCs w:val="28"/>
        </w:rPr>
        <w:t>выборочные задания. «Соседи числа» (ребенок должен найти соседей числа и назвать направления, в которых они находятся); «Числовой ряд» (в числовом ряду ребенок называет числа левее определенного и правее, при этом проговаривает полный ответ); «Расположение предметов» (ребенку предлагается определить и называть расположение предметов).</w:t>
      </w:r>
    </w:p>
    <w:p w:rsidR="007E1C9F" w:rsidRPr="00BF382C" w:rsidRDefault="007E1C9F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b/>
          <w:sz w:val="28"/>
          <w:szCs w:val="28"/>
        </w:rPr>
        <w:t xml:space="preserve">Работа по данной методике велась нами на протяжении месяца по 3 раза в неделю в форме индивидуальных занятий по 20-30 минут </w:t>
      </w:r>
      <w:r w:rsidRPr="00BF382C">
        <w:rPr>
          <w:rFonts w:ascii="Times New Roman" w:hAnsi="Times New Roman" w:cs="Times New Roman"/>
          <w:sz w:val="28"/>
          <w:szCs w:val="28"/>
        </w:rPr>
        <w:t xml:space="preserve"> в зависимости от особенностей каждого ребенка. То есть, 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 xml:space="preserve"> что родители иногда не приводили детей в садик по определенным причинам,  всего было проведено в общей сложности по 8-12 занятий с каждым ребенком. Работа начиналась с 1 первого этапа выбранной разработки по указанным в ней заданиям. Переход на следующий этап осуществлялся в том случае, если ребенок в достаточной степени овладевал предыдущим этапом, хорошо ориентировался в заданиях и понимал и правильно выполнял все поручения. Поскольку уровень актуального развития у детей различен, переходы от этапа к этапу у них происходили на разных сроках и поэтому дети прошли различное количество этапов. </w:t>
      </w:r>
      <w:r w:rsidRPr="00BF382C">
        <w:rPr>
          <w:rFonts w:ascii="Times New Roman" w:hAnsi="Times New Roman" w:cs="Times New Roman"/>
          <w:b/>
          <w:sz w:val="28"/>
          <w:szCs w:val="28"/>
        </w:rPr>
        <w:t>Так, например</w:t>
      </w:r>
      <w:r w:rsidRPr="00BF382C">
        <w:rPr>
          <w:rFonts w:ascii="Times New Roman" w:hAnsi="Times New Roman" w:cs="Times New Roman"/>
          <w:sz w:val="28"/>
          <w:szCs w:val="28"/>
        </w:rPr>
        <w:t>, Степа и Влад дошли до третьего этапа, однако в разное время, Степа перешел к нему раньше на несколько занятий. Маша прошла весь второй этап, но перейти к третьему не успела. Алина и Диана остановились на втором этапе. Алина более успешно осваивала данный этап, чем Диана, и, возможно, успела бы за это время перейти к третьему этапу, если бы не пропускала часто занятия. Отставание Дианы связано с тем, что на уровне остальных детей ее развитие было более замедлено. Она испытывала больше затруднений в выполнении заданий, медленнее усваивала понятия, ей требовалось большее количество занятий на укрепление полученных знаний.</w:t>
      </w:r>
    </w:p>
    <w:p w:rsidR="009955FF" w:rsidRPr="00BF382C" w:rsidRDefault="007E1C9F" w:rsidP="00BF38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382C">
        <w:rPr>
          <w:b/>
          <w:sz w:val="28"/>
          <w:szCs w:val="28"/>
        </w:rPr>
        <w:t>Все занятия проводились нами по единой схеме.</w:t>
      </w:r>
      <w:r w:rsidRPr="00BF382C">
        <w:rPr>
          <w:sz w:val="28"/>
          <w:szCs w:val="28"/>
        </w:rPr>
        <w:t xml:space="preserve"> Менялась только содержательная сторона при переходе от этапа к этапу. Начинались все занятия с организационного момента, который заключался в приветствии, создании положительного эмоционального настроя, короткой беседы с ребенком относительно проведенного им дня. Далее проводилась разминка, которая была направлена на общую и мелкую моторику ребенка, на активизацию его </w:t>
      </w:r>
      <w:proofErr w:type="gramStart"/>
      <w:r w:rsidRPr="00BF382C">
        <w:rPr>
          <w:sz w:val="28"/>
          <w:szCs w:val="28"/>
        </w:rPr>
        <w:t>психо-физического</w:t>
      </w:r>
      <w:proofErr w:type="gramEnd"/>
      <w:r w:rsidRPr="00BF382C">
        <w:rPr>
          <w:sz w:val="28"/>
          <w:szCs w:val="28"/>
        </w:rPr>
        <w:t xml:space="preserve"> состояния с последующим включением в работу.</w:t>
      </w:r>
    </w:p>
    <w:p w:rsidR="007E1C9F" w:rsidRPr="00BF382C" w:rsidRDefault="007E1C9F" w:rsidP="00BF3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382C">
        <w:rPr>
          <w:sz w:val="28"/>
          <w:szCs w:val="28"/>
        </w:rPr>
        <w:t xml:space="preserve">После разминки плавно осуществлялся переход к содержательной части, которая начиналась с предложения ребенку поиграть, вспомнить какие задания мы выполняли на прошлом занятии и далее – переход к самим заданиям. В этой части мы в необходимой последовательности использовали содержащийся в методике дидактический материал, задания и игры которого мы указывали ранее при описании разработки. Если ребенок быстро уставал, и его внимание становилось слишком рассеянным, проводилась одна короткая </w:t>
      </w:r>
      <w:r w:rsidR="00E86221" w:rsidRPr="00BF382C">
        <w:rPr>
          <w:sz w:val="28"/>
          <w:szCs w:val="28"/>
        </w:rPr>
        <w:t>физ. минутка</w:t>
      </w:r>
      <w:r w:rsidRPr="00BF382C">
        <w:rPr>
          <w:sz w:val="28"/>
          <w:szCs w:val="28"/>
        </w:rPr>
        <w:t xml:space="preserve"> для стабилизации его активности. Далее занятие продолжалось до истечения заданного времени (30 минут) или же прерывалось раньше, если активность ребенка становилась очень низкой и вновь ее активизировать не удавалось. Заканчивалось занятие разминкой на общую моторику. Такова была общая структура нашей индивидуальной работы с детьми, с </w:t>
      </w:r>
      <w:r w:rsidRPr="00BF382C">
        <w:rPr>
          <w:sz w:val="28"/>
          <w:szCs w:val="28"/>
        </w:rPr>
        <w:lastRenderedPageBreak/>
        <w:t xml:space="preserve">постепенным усложнением заданий, предлагаемых ребенку, с переходом от этапа к этапу. </w:t>
      </w:r>
    </w:p>
    <w:p w:rsidR="00E86221" w:rsidRPr="00BF382C" w:rsidRDefault="00E86221" w:rsidP="00BF3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6221" w:rsidRPr="00BF382C" w:rsidRDefault="00E86221" w:rsidP="00BF382C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F382C">
        <w:rPr>
          <w:b/>
          <w:bCs/>
          <w:color w:val="000000"/>
          <w:sz w:val="28"/>
          <w:szCs w:val="28"/>
        </w:rPr>
        <w:t>Проведение контрольного эксперимента и анализ полученных результатов экспериментального исследования.</w:t>
      </w:r>
    </w:p>
    <w:p w:rsidR="00E86221" w:rsidRPr="00BF382C" w:rsidRDefault="00E86221" w:rsidP="00BF38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2C">
        <w:rPr>
          <w:color w:val="000000"/>
          <w:sz w:val="28"/>
          <w:szCs w:val="28"/>
        </w:rPr>
        <w:t xml:space="preserve">По </w:t>
      </w:r>
      <w:proofErr w:type="gramStart"/>
      <w:r w:rsidRPr="00BF382C">
        <w:rPr>
          <w:color w:val="000000"/>
          <w:sz w:val="28"/>
          <w:szCs w:val="28"/>
        </w:rPr>
        <w:t>прошествии</w:t>
      </w:r>
      <w:proofErr w:type="gramEnd"/>
      <w:r w:rsidRPr="00BF382C">
        <w:rPr>
          <w:color w:val="000000"/>
          <w:sz w:val="28"/>
          <w:szCs w:val="28"/>
        </w:rPr>
        <w:t xml:space="preserve"> месяца коррекционно-развивающих занятий с детьми по методике Н.Ю. Боряковой, нами был проведен контрольный эксперимент с целью выявления результатов нашей работы. Итоговое обследование проводилось по той же диагностической карте, которую мы использовали при проведении констатирующего эксперимента. Полученные результаты были систематизированы и отражены на трех гистограммах (см. рисунок 4, 5, 6).  </w:t>
      </w:r>
    </w:p>
    <w:p w:rsidR="00E86221" w:rsidRPr="00BF382C" w:rsidRDefault="00E86221" w:rsidP="00BF38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2C">
        <w:rPr>
          <w:color w:val="000000"/>
          <w:sz w:val="28"/>
          <w:szCs w:val="28"/>
        </w:rPr>
        <w:drawing>
          <wp:inline distT="0" distB="0" distL="0" distR="0" wp14:anchorId="66A74DA6" wp14:editId="3B5AD6A9">
            <wp:extent cx="6613451" cy="2551814"/>
            <wp:effectExtent l="0" t="0" r="16510" b="203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1C9F" w:rsidRPr="00BF382C" w:rsidRDefault="007E1C9F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344" w:rsidRPr="00BF382C" w:rsidRDefault="00E86221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>Рисунок 4 отражает контрольные показатели владения детьми понятиями, отражающими ориентировку в пространстве по вертикальной оси и по горизонтальной (в глубину).</w:t>
      </w:r>
    </w:p>
    <w:p w:rsidR="00E86221" w:rsidRPr="00BF382C" w:rsidRDefault="00E86221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>Как видно из рисунка 4, после проведения коррекционной работы все дети стали ориентироваться в трех понятиях: «верх/низ», «сверху/снизу» и «ближе/дальше». Не ориентируется совсем только один ребенок в понятии «между», что составляет 20% от общего числа обследуемых детей. В понятиях «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 xml:space="preserve">/под», «между», «перед/за» и «спереди от/сзади от» затрудняются в ориентировке 60% детей,  40% детей в них ориентируются хорошо. Всего один ребенок ориентируется в понятии «между», что выражается в 20-ти % от всех детей. 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В понятиях «выше/ниже», «на» и «спереди от/сзади от» ориентируются 80% испытуемых, у 20-ти % ориентировка в данных понятиях вызывает затруднения.</w:t>
      </w:r>
      <w:proofErr w:type="gramEnd"/>
    </w:p>
    <w:p w:rsidR="00E86221" w:rsidRPr="00BF382C" w:rsidRDefault="00E86221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6E9E6D1" wp14:editId="76489619">
            <wp:extent cx="5943600" cy="1520456"/>
            <wp:effectExtent l="0" t="0" r="1905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6221" w:rsidRPr="00BF382C" w:rsidRDefault="00E86221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lastRenderedPageBreak/>
        <w:t>Рисунок 5 отражает контрольные показатели владения детьми понятиями, отражающими ориентировку в пространстве и по горизонтальной оси («право-левая» ориентировка).</w:t>
      </w:r>
    </w:p>
    <w:p w:rsidR="00E86221" w:rsidRPr="00BF382C" w:rsidRDefault="00E86221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>Анализируя рисунок 5, можно отметить, что в понятиях «лево/право» ориентируются все дети, т.е. 100%. Понятия «слева/справа» вызывают затруднения при ориентировке у 1 ребенка, что составляет 20% от общего числа детей, 80% детей хорошо ориентируются в них. В направлениях «левее/правее», как видно из гистограммы, ориентируется 20% детей, у 80-ти % ориентировка в них затруднена.</w:t>
      </w:r>
    </w:p>
    <w:p w:rsidR="00F950A3" w:rsidRPr="00BF382C" w:rsidRDefault="00F950A3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>Проведя контрольный эксперимент по методике «Разрезные картинки» и проанализировав полученные результаты, мы увидели, что никаких изменений не произошло, что может означать, что данная разработка неэффективна в формировании у детей данного аспекта познавательной деятельности.</w:t>
      </w:r>
    </w:p>
    <w:p w:rsidR="00F950A3" w:rsidRPr="00BF382C" w:rsidRDefault="00F950A3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 xml:space="preserve"> чтобы более наглядно представить динамику, произошедшую за месяц коррекционной работы с детьми, мы сравнили результаты констатирующего и контрольного экспериментов и отразили их в таблице. (Слайд с Таблицей)</w:t>
      </w:r>
    </w:p>
    <w:tbl>
      <w:tblPr>
        <w:tblStyle w:val="a6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192"/>
        <w:gridCol w:w="1367"/>
        <w:gridCol w:w="1367"/>
        <w:gridCol w:w="1367"/>
        <w:gridCol w:w="1368"/>
        <w:gridCol w:w="1986"/>
      </w:tblGrid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gridSpan w:val="3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Констатирующий эксперимент</w:t>
            </w:r>
          </w:p>
        </w:tc>
        <w:tc>
          <w:tcPr>
            <w:tcW w:w="4721" w:type="dxa"/>
            <w:gridSpan w:val="3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эксперимент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Ориент. (кол-во детей)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Затрудн</w:t>
            </w:r>
            <w:proofErr w:type="spellEnd"/>
            <w:r w:rsidRPr="00BF382C">
              <w:rPr>
                <w:rFonts w:ascii="Times New Roman" w:hAnsi="Times New Roman" w:cs="Times New Roman"/>
                <w:sz w:val="28"/>
                <w:szCs w:val="28"/>
              </w:rPr>
              <w:t xml:space="preserve">. (кол-во детей) 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ориент</w:t>
            </w:r>
            <w:proofErr w:type="spellEnd"/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. (кол-во детей)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 xml:space="preserve">Ориент. (кол-во детей) 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Затрудн</w:t>
            </w:r>
            <w:proofErr w:type="spellEnd"/>
            <w:r w:rsidRPr="00BF382C">
              <w:rPr>
                <w:rFonts w:ascii="Times New Roman" w:hAnsi="Times New Roman" w:cs="Times New Roman"/>
                <w:sz w:val="28"/>
                <w:szCs w:val="28"/>
              </w:rPr>
              <w:t xml:space="preserve">. (кол-во детей) 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ориент</w:t>
            </w:r>
            <w:proofErr w:type="spellEnd"/>
            <w:r w:rsidRPr="00BF382C">
              <w:rPr>
                <w:rFonts w:ascii="Times New Roman" w:hAnsi="Times New Roman" w:cs="Times New Roman"/>
                <w:sz w:val="28"/>
                <w:szCs w:val="28"/>
              </w:rPr>
              <w:t xml:space="preserve">. (кол-во детей) 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верх/низ</w:t>
            </w:r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82C">
              <w:rPr>
                <w:rFonts w:ascii="Times New Roman" w:hAnsi="Times New Roman" w:cs="Times New Roman"/>
                <w:sz w:val="28"/>
                <w:szCs w:val="28"/>
              </w:rPr>
              <w:instrText xml:space="preserve"> % \# "0%" </w:instrText>
            </w:r>
            <w:r w:rsidRPr="00BF382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82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82C">
              <w:rPr>
                <w:rFonts w:ascii="Times New Roman" w:hAnsi="Times New Roman" w:cs="Times New Roman"/>
                <w:sz w:val="28"/>
                <w:szCs w:val="28"/>
              </w:rPr>
              <w:instrText xml:space="preserve"> % \# "0%" </w:instrText>
            </w:r>
            <w:r w:rsidRPr="00BF382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снизу/сверху</w:t>
            </w:r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выше/ниже</w:t>
            </w:r>
            <w:proofErr w:type="gramEnd"/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над/под</w:t>
            </w:r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ближе/дальше</w:t>
            </w:r>
            <w:proofErr w:type="gramEnd"/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перед/за</w:t>
            </w:r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спереди от/сзади от</w:t>
            </w:r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лево/право</w:t>
            </w:r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слева/справа</w:t>
            </w:r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0A3" w:rsidRPr="00BF382C" w:rsidTr="00F950A3">
        <w:tc>
          <w:tcPr>
            <w:tcW w:w="2269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382C">
              <w:rPr>
                <w:rFonts w:ascii="Times New Roman" w:hAnsi="Times New Roman" w:cs="Times New Roman"/>
                <w:b/>
                <w:sz w:val="28"/>
                <w:szCs w:val="28"/>
              </w:rPr>
              <w:t>левее/правее</w:t>
            </w:r>
            <w:proofErr w:type="gramEnd"/>
          </w:p>
        </w:tc>
        <w:tc>
          <w:tcPr>
            <w:tcW w:w="1192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67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6" w:type="dxa"/>
          </w:tcPr>
          <w:p w:rsidR="00F950A3" w:rsidRPr="00BF382C" w:rsidRDefault="00F950A3" w:rsidP="00BF382C">
            <w:pPr>
              <w:tabs>
                <w:tab w:val="left" w:pos="566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950A3" w:rsidRPr="00BF382C" w:rsidRDefault="00F950A3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0A3" w:rsidRPr="00BF382C" w:rsidRDefault="00F950A3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>Сравнивая результаты констатирующего и контрольного экспериментов, мы можем сделать вывод, динамика наблюдается по всем показателям, кроме «</w:t>
      </w:r>
      <w:proofErr w:type="gramStart"/>
      <w:r w:rsidRPr="00BF382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BF382C">
        <w:rPr>
          <w:rFonts w:ascii="Times New Roman" w:hAnsi="Times New Roman" w:cs="Times New Roman"/>
          <w:sz w:val="28"/>
          <w:szCs w:val="28"/>
        </w:rPr>
        <w:t xml:space="preserve">/за», что может говорить о том, что детям нужно больше времени для овладения этой ориентировкой. Заметно сократилось количество детей, которые совершенно не ориентируются в пространственных понятиях. </w:t>
      </w:r>
      <w:proofErr w:type="spellStart"/>
      <w:r w:rsidRPr="00BF382C">
        <w:rPr>
          <w:rFonts w:ascii="Times New Roman" w:hAnsi="Times New Roman" w:cs="Times New Roman"/>
          <w:sz w:val="28"/>
          <w:szCs w:val="28"/>
        </w:rPr>
        <w:t>Врозрос</w:t>
      </w:r>
      <w:proofErr w:type="spellEnd"/>
      <w:r w:rsidRPr="00BF382C">
        <w:rPr>
          <w:rFonts w:ascii="Times New Roman" w:hAnsi="Times New Roman" w:cs="Times New Roman"/>
          <w:sz w:val="28"/>
          <w:szCs w:val="28"/>
        </w:rPr>
        <w:t xml:space="preserve"> процент детей, которые хорошо ориентируются в обследуемых показателях. В таких понятиях, как «снизу/сверху», «на», «лево/право»,  «ближе/дальше» ориентировка достигла 100%, что значит, что все дети овладели данным понятиями.</w:t>
      </w:r>
    </w:p>
    <w:p w:rsidR="00F950A3" w:rsidRPr="00BF382C" w:rsidRDefault="00F950A3" w:rsidP="00BF38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82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950A3" w:rsidRPr="00BF382C" w:rsidRDefault="00F950A3" w:rsidP="00BF3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2C">
        <w:rPr>
          <w:rFonts w:ascii="Times New Roman" w:hAnsi="Times New Roman" w:cs="Times New Roman"/>
          <w:sz w:val="28"/>
          <w:szCs w:val="28"/>
        </w:rPr>
        <w:t>Проведя коррекционную работу по методике Н.Ю. Боряковой и проанализировав результаты, мы обнаруживаем, что динамика в освоении детьми пространственных представлений наблюдается. Таким образом, эффективность данного материала при формировании у детей старшего дошкольного возраста с ЗПР пространственных представлений доказана на практике. Это говорит о том, что при организации эффективной коррекционной работы пробелы в пространственных представлениях у детей старшего дошкольного возраста с ЗПР устраняются, дети в своем развитии способны достигнуть нормы и могут быть успешно подготовлены к обучению в школе.</w:t>
      </w:r>
      <w:r w:rsidR="00BF382C" w:rsidRPr="00BF38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950A3" w:rsidRPr="00BF382C" w:rsidSect="00F95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F62"/>
    <w:multiLevelType w:val="hybridMultilevel"/>
    <w:tmpl w:val="4ECA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7E9C"/>
    <w:multiLevelType w:val="hybridMultilevel"/>
    <w:tmpl w:val="1744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60F29"/>
    <w:multiLevelType w:val="multilevel"/>
    <w:tmpl w:val="7BA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4E"/>
    <w:rsid w:val="0078711D"/>
    <w:rsid w:val="007A574E"/>
    <w:rsid w:val="007E1C9F"/>
    <w:rsid w:val="009955FF"/>
    <w:rsid w:val="00AE3344"/>
    <w:rsid w:val="00BF382C"/>
    <w:rsid w:val="00C17AE7"/>
    <w:rsid w:val="00E86221"/>
    <w:rsid w:val="00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34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9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9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34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9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9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683502567666967E-2"/>
          <c:y val="3.7250970228707145E-2"/>
          <c:w val="0.68622781582578984"/>
          <c:h val="0.58648930782582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Ориентируются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100%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57597457031863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400" b="1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3727923710955895E-3"/>
                  <c:y val="3.6648164633943991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7455847421912328E-3"/>
                  <c:y val="3.6648164633943991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верх/низ</c:v>
                </c:pt>
                <c:pt idx="1">
                  <c:v>сверху/снизу</c:v>
                </c:pt>
                <c:pt idx="2">
                  <c:v>выше/ниже</c:v>
                </c:pt>
                <c:pt idx="3">
                  <c:v>над/под</c:v>
                </c:pt>
                <c:pt idx="4">
                  <c:v>на</c:v>
                </c:pt>
                <c:pt idx="5">
                  <c:v>между</c:v>
                </c:pt>
                <c:pt idx="6">
                  <c:v>ближе/дальше</c:v>
                </c:pt>
                <c:pt idx="7">
                  <c:v>перед/за</c:v>
                </c:pt>
                <c:pt idx="8">
                  <c:v>спереди от/сзади от</c:v>
                </c:pt>
              </c:strCache>
            </c:strRef>
          </c:cat>
          <c:val>
            <c:numRef>
              <c:f>Лист1!$B$2:$B$10</c:f>
              <c:numCache>
                <c:formatCode>0</c:formatCode>
                <c:ptCount val="9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spPr>
            <a:solidFill>
              <a:srgbClr val="CC0000"/>
            </a:solidFill>
            <a:ln>
              <a:noFill/>
            </a:ln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400" b="1" smtClean="0"/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400" b="1" dirty="0" smtClean="0"/>
                      <a:t>60%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400" b="1" smtClean="0"/>
                      <a:t>60%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400" b="1" smtClean="0"/>
                      <a:t>60%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1400" b="1" smtClean="0"/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ru-RU" sz="1400" b="1" smtClean="0"/>
                      <a:t>60%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ru-RU" sz="1400" b="1" smtClean="0"/>
                      <a:t>60%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верх/низ</c:v>
                </c:pt>
                <c:pt idx="1">
                  <c:v>сверху/снизу</c:v>
                </c:pt>
                <c:pt idx="2">
                  <c:v>выше/ниже</c:v>
                </c:pt>
                <c:pt idx="3">
                  <c:v>над/под</c:v>
                </c:pt>
                <c:pt idx="4">
                  <c:v>на</c:v>
                </c:pt>
                <c:pt idx="5">
                  <c:v>между</c:v>
                </c:pt>
                <c:pt idx="6">
                  <c:v>ближе/дальше</c:v>
                </c:pt>
                <c:pt idx="7">
                  <c:v>перед/за</c:v>
                </c:pt>
                <c:pt idx="8">
                  <c:v>спереди от/сзади от</c:v>
                </c:pt>
              </c:strCache>
            </c:strRef>
          </c:cat>
          <c:val>
            <c:numRef>
              <c:f>Лист1!$C$2:$C$10</c:f>
              <c:numCache>
                <c:formatCode>0</c:formatCode>
                <c:ptCount val="9"/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ориентируются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</c:spPr>
          <c:invertIfNegative val="0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верх/низ</c:v>
                </c:pt>
                <c:pt idx="1">
                  <c:v>сверху/снизу</c:v>
                </c:pt>
                <c:pt idx="2">
                  <c:v>выше/ниже</c:v>
                </c:pt>
                <c:pt idx="3">
                  <c:v>над/под</c:v>
                </c:pt>
                <c:pt idx="4">
                  <c:v>на</c:v>
                </c:pt>
                <c:pt idx="5">
                  <c:v>между</c:v>
                </c:pt>
                <c:pt idx="6">
                  <c:v>ближе/дальше</c:v>
                </c:pt>
                <c:pt idx="7">
                  <c:v>перед/за</c:v>
                </c:pt>
                <c:pt idx="8">
                  <c:v>спереди от/сзади от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3" formatCode="0">
                  <c:v>2</c:v>
                </c:pt>
                <c:pt idx="5" formatCode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axId val="234768384"/>
        <c:axId val="239290624"/>
      </c:barChart>
      <c:catAx>
        <c:axId val="234768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Анализируемые понятия</a:t>
                </a:r>
              </a:p>
            </c:rich>
          </c:tx>
          <c:layout/>
          <c:overlay val="0"/>
        </c:title>
        <c:majorTickMark val="cross"/>
        <c:minorTickMark val="none"/>
        <c:tickLblPos val="low"/>
        <c:spPr>
          <a:ln w="25400" cap="rnd">
            <a:solidFill>
              <a:schemeClr val="tx1"/>
            </a:solidFill>
          </a:ln>
        </c:spPr>
        <c:txPr>
          <a:bodyPr rot="-2880000" vert="horz"/>
          <a:lstStyle/>
          <a:p>
            <a:pPr>
              <a:defRPr/>
            </a:pPr>
            <a:endParaRPr lang="ru-RU"/>
          </a:p>
        </c:txPr>
        <c:crossAx val="239290624"/>
        <c:crosses val="autoZero"/>
        <c:auto val="1"/>
        <c:lblAlgn val="ctr"/>
        <c:lblOffset val="100"/>
        <c:noMultiLvlLbl val="0"/>
      </c:catAx>
      <c:valAx>
        <c:axId val="239290624"/>
        <c:scaling>
          <c:orientation val="minMax"/>
          <c:max val="5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детей</a:t>
                </a:r>
              </a:p>
            </c:rich>
          </c:tx>
          <c:layout/>
          <c:overlay val="0"/>
        </c:title>
        <c:numFmt formatCode="0" sourceLinked="1"/>
        <c:majorTickMark val="out"/>
        <c:minorTickMark val="none"/>
        <c:tickLblPos val="nextTo"/>
        <c:spPr>
          <a:noFill/>
          <a:ln w="25400" cap="rnd" cmpd="sng">
            <a:solidFill>
              <a:schemeClr val="tx1"/>
            </a:solidFill>
            <a:miter lim="800000"/>
            <a:headEnd w="lg" len="lg"/>
          </a:ln>
        </c:spPr>
        <c:crossAx val="234768384"/>
        <c:crosses val="autoZero"/>
        <c:crossBetween val="between"/>
        <c:majorUnit val="1"/>
      </c:valAx>
      <c:spPr>
        <a:ln w="25400" cap="rnd"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75756823046196387"/>
          <c:y val="0.33653543307086614"/>
          <c:w val="0.24243176953803613"/>
          <c:h val="0.19282646503175138"/>
        </c:manualLayout>
      </c:layout>
      <c:overlay val="0"/>
      <c:spPr>
        <a:noFill/>
        <a:ln>
          <a:noFill/>
        </a:ln>
      </c:spPr>
    </c:legend>
    <c:plotVisOnly val="1"/>
    <c:dispBlanksAs val="gap"/>
    <c:showDLblsOverMax val="0"/>
  </c:chart>
  <c:txPr>
    <a:bodyPr/>
    <a:lstStyle/>
    <a:p>
      <a:pPr>
        <a:defRPr sz="14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15978532714747"/>
          <c:y val="0.10307296303296748"/>
          <c:w val="0.63547852232288216"/>
          <c:h val="0.676511412151896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Ориентируются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400" b="1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en-US" sz="1400" b="1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</a:t>
                    </a:r>
                    <a:r>
                      <a:rPr lang="en-US" sz="1400" b="1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400" b="1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лево/право</c:v>
                </c:pt>
                <c:pt idx="1">
                  <c:v>слева/справа</c:v>
                </c:pt>
                <c:pt idx="2">
                  <c:v>левее/правее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лево/право</c:v>
                </c:pt>
                <c:pt idx="1">
                  <c:v>слева/справа</c:v>
                </c:pt>
                <c:pt idx="2">
                  <c:v>левее/правее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ориентируются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лево/право</c:v>
                </c:pt>
                <c:pt idx="1">
                  <c:v>слева/справа</c:v>
                </c:pt>
                <c:pt idx="2">
                  <c:v>левее/правее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750464"/>
        <c:axId val="223461952"/>
      </c:barChart>
      <c:catAx>
        <c:axId val="210750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Анализируемые понятия</a:t>
                </a:r>
              </a:p>
            </c:rich>
          </c:tx>
          <c:layout/>
          <c:overlay val="0"/>
        </c:title>
        <c:majorTickMark val="cross"/>
        <c:minorTickMark val="none"/>
        <c:tickLblPos val="low"/>
        <c:spPr>
          <a:ln w="25400">
            <a:solidFill>
              <a:schemeClr val="tx1"/>
            </a:solidFill>
          </a:ln>
        </c:spPr>
        <c:crossAx val="223461952"/>
        <c:crosses val="autoZero"/>
        <c:auto val="1"/>
        <c:lblAlgn val="ctr"/>
        <c:lblOffset val="100"/>
        <c:noMultiLvlLbl val="0"/>
      </c:catAx>
      <c:valAx>
        <c:axId val="223461952"/>
        <c:scaling>
          <c:orientation val="minMax"/>
          <c:max val="5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детей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25400">
            <a:solidFill>
              <a:schemeClr val="tx1"/>
            </a:solidFill>
          </a:ln>
        </c:spPr>
        <c:crossAx val="210750464"/>
        <c:crosses val="autoZero"/>
        <c:crossBetween val="between"/>
        <c:minorUnit val="1"/>
      </c:valAx>
      <c:spPr>
        <a:ln w="25400" cap="rnd"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7750617081030281"/>
          <c:y val="0.2177484246496609"/>
          <c:w val="0.17151944949189046"/>
          <c:h val="0.6319960281513484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00234273486522"/>
          <c:y val="0.11502345150055791"/>
          <c:w val="0.68593706979417746"/>
          <c:h val="0.757888414974825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100</a:t>
                    </a:r>
                    <a:r>
                      <a:rPr lang="en-US" b="1"/>
                      <a:t>%</a:t>
                    </a:r>
                    <a:endParaRPr lang="en-US"/>
                  </a:p>
                </c:rich>
              </c:tx>
              <c:numFmt formatCode="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100%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</a:t>
                    </a:r>
                    <a:r>
                      <a:rPr lang="en-US"/>
                      <a:t>0%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995584"/>
        <c:axId val="210886656"/>
      </c:barChart>
      <c:catAx>
        <c:axId val="212995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0"/>
                </a:pPr>
                <a:r>
                  <a:rPr lang="ru-RU" sz="1400" b="0"/>
                  <a:t>Количество деталей в картинке</a:t>
                </a:r>
              </a:p>
            </c:rich>
          </c:tx>
          <c:layout/>
          <c:overlay val="0"/>
        </c:title>
        <c:numFmt formatCode="General" sourceLinked="1"/>
        <c:majorTickMark val="cross"/>
        <c:minorTickMark val="none"/>
        <c:tickLblPos val="nextTo"/>
        <c:spPr>
          <a:ln w="25400" cap="rnd">
            <a:solidFill>
              <a:schemeClr val="tx1"/>
            </a:solidFill>
          </a:ln>
        </c:spPr>
        <c:crossAx val="210886656"/>
        <c:crosses val="autoZero"/>
        <c:auto val="1"/>
        <c:lblAlgn val="ctr"/>
        <c:lblOffset val="100"/>
        <c:noMultiLvlLbl val="0"/>
      </c:catAx>
      <c:valAx>
        <c:axId val="210886656"/>
        <c:scaling>
          <c:orientation val="minMax"/>
          <c:max val="5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400" b="0"/>
                </a:pPr>
                <a:r>
                  <a:rPr lang="ru-RU" sz="1400" b="0"/>
                  <a:t>Количество детей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25400" cap="rnd">
            <a:solidFill>
              <a:schemeClr val="tx1"/>
            </a:solidFill>
          </a:ln>
        </c:spPr>
        <c:crossAx val="212995584"/>
        <c:crosses val="autoZero"/>
        <c:crossBetween val="between"/>
        <c:majorUnit val="1"/>
      </c:valAx>
      <c:spPr>
        <a:ln w="25400" cap="rnd"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80302925278833759"/>
          <c:y val="0.25241256920846233"/>
          <c:w val="0.18776887109161783"/>
          <c:h val="0.58960235574689157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06597647321321"/>
          <c:y val="3.7250970228707145E-2"/>
          <c:w val="0.65547250021670045"/>
          <c:h val="0.559003114770989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Ориентируются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80%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верх/низ</c:v>
                </c:pt>
                <c:pt idx="1">
                  <c:v>сверху/снизу</c:v>
                </c:pt>
                <c:pt idx="2">
                  <c:v>выше/ниже</c:v>
                </c:pt>
                <c:pt idx="3">
                  <c:v>над/под</c:v>
                </c:pt>
                <c:pt idx="4">
                  <c:v>на</c:v>
                </c:pt>
                <c:pt idx="5">
                  <c:v>между</c:v>
                </c:pt>
                <c:pt idx="6">
                  <c:v>ближе/дальше</c:v>
                </c:pt>
                <c:pt idx="7">
                  <c:v>перед/за</c:v>
                </c:pt>
                <c:pt idx="8">
                  <c:v>спереди от/сзади от</c:v>
                </c:pt>
              </c:strCache>
            </c:strRef>
          </c:cat>
          <c:val>
            <c:numRef>
              <c:f>Лист1!$B$2:$B$10</c:f>
              <c:numCache>
                <c:formatCode>0</c:formatCode>
                <c:ptCount val="9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5</c:v>
                </c:pt>
                <c:pt idx="7">
                  <c:v>2</c:v>
                </c:pt>
                <c:pt idx="8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spPr>
            <a:solidFill>
              <a:srgbClr val="CC0000"/>
            </a:solidFill>
            <a:ln>
              <a:noFill/>
            </a:ln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верх/низ</c:v>
                </c:pt>
                <c:pt idx="1">
                  <c:v>сверху/снизу</c:v>
                </c:pt>
                <c:pt idx="2">
                  <c:v>выше/ниже</c:v>
                </c:pt>
                <c:pt idx="3">
                  <c:v>над/под</c:v>
                </c:pt>
                <c:pt idx="4">
                  <c:v>на</c:v>
                </c:pt>
                <c:pt idx="5">
                  <c:v>между</c:v>
                </c:pt>
                <c:pt idx="6">
                  <c:v>ближе/дальше</c:v>
                </c:pt>
                <c:pt idx="7">
                  <c:v>перед/за</c:v>
                </c:pt>
                <c:pt idx="8">
                  <c:v>спереди от/сзади от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2" formatCode="0">
                  <c:v>1</c:v>
                </c:pt>
                <c:pt idx="3" formatCode="0">
                  <c:v>3</c:v>
                </c:pt>
                <c:pt idx="4" formatCode="0">
                  <c:v>1</c:v>
                </c:pt>
                <c:pt idx="5" formatCode="0">
                  <c:v>3</c:v>
                </c:pt>
                <c:pt idx="7" formatCode="0">
                  <c:v>3</c:v>
                </c:pt>
                <c:pt idx="8" formatCode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ориентируются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</c:spPr>
          <c:invertIfNegative val="0"/>
          <c:dLbls>
            <c:dLbl>
              <c:idx val="5"/>
              <c:layout>
                <c:manualLayout>
                  <c:x val="8.8184656355850162E-3"/>
                  <c:y val="7.2480531082543343E-3"/>
                </c:manualLayout>
              </c:layout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верх/низ</c:v>
                </c:pt>
                <c:pt idx="1">
                  <c:v>сверху/снизу</c:v>
                </c:pt>
                <c:pt idx="2">
                  <c:v>выше/ниже</c:v>
                </c:pt>
                <c:pt idx="3">
                  <c:v>над/под</c:v>
                </c:pt>
                <c:pt idx="4">
                  <c:v>на</c:v>
                </c:pt>
                <c:pt idx="5">
                  <c:v>между</c:v>
                </c:pt>
                <c:pt idx="6">
                  <c:v>ближе/дальше</c:v>
                </c:pt>
                <c:pt idx="7">
                  <c:v>перед/за</c:v>
                </c:pt>
                <c:pt idx="8">
                  <c:v>спереди от/сзади от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5" formatCode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axId val="210749440"/>
        <c:axId val="221563712"/>
      </c:barChart>
      <c:catAx>
        <c:axId val="210749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Анализируемые понятия</a:t>
                </a:r>
              </a:p>
            </c:rich>
          </c:tx>
          <c:layout/>
          <c:overlay val="0"/>
        </c:title>
        <c:majorTickMark val="cross"/>
        <c:minorTickMark val="none"/>
        <c:tickLblPos val="low"/>
        <c:spPr>
          <a:ln w="25400" cap="rnd">
            <a:solidFill>
              <a:schemeClr val="tx1"/>
            </a:solidFill>
          </a:ln>
        </c:spPr>
        <c:txPr>
          <a:bodyPr rot="-2880000" vert="horz"/>
          <a:lstStyle/>
          <a:p>
            <a:pPr>
              <a:defRPr/>
            </a:pPr>
            <a:endParaRPr lang="ru-RU"/>
          </a:p>
        </c:txPr>
        <c:crossAx val="221563712"/>
        <c:crosses val="autoZero"/>
        <c:auto val="1"/>
        <c:lblAlgn val="ctr"/>
        <c:lblOffset val="100"/>
        <c:noMultiLvlLbl val="0"/>
      </c:catAx>
      <c:valAx>
        <c:axId val="221563712"/>
        <c:scaling>
          <c:orientation val="minMax"/>
          <c:max val="5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детей</a:t>
                </a:r>
              </a:p>
            </c:rich>
          </c:tx>
          <c:layout/>
          <c:overlay val="0"/>
        </c:title>
        <c:numFmt formatCode="0" sourceLinked="1"/>
        <c:majorTickMark val="out"/>
        <c:minorTickMark val="none"/>
        <c:tickLblPos val="nextTo"/>
        <c:spPr>
          <a:noFill/>
          <a:ln w="25400" cap="rnd" cmpd="sng">
            <a:solidFill>
              <a:schemeClr val="tx1"/>
            </a:solidFill>
            <a:miter lim="800000"/>
            <a:headEnd w="lg" len="lg"/>
          </a:ln>
        </c:spPr>
        <c:crossAx val="210749440"/>
        <c:crosses val="autoZero"/>
        <c:crossBetween val="between"/>
        <c:majorUnit val="1"/>
      </c:valAx>
      <c:spPr>
        <a:ln w="25400" cap="rnd"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75756823046196387"/>
          <c:y val="0.33653543307086614"/>
          <c:w val="0.24243176953803613"/>
          <c:h val="0.19282646503175138"/>
        </c:manualLayout>
      </c:layout>
      <c:overlay val="0"/>
      <c:spPr>
        <a:noFill/>
        <a:ln>
          <a:noFill/>
        </a:ln>
      </c:spPr>
    </c:legend>
    <c:plotVisOnly val="1"/>
    <c:dispBlanksAs val="gap"/>
    <c:showDLblsOverMax val="0"/>
  </c:chart>
  <c:txPr>
    <a:bodyPr/>
    <a:lstStyle/>
    <a:p>
      <a:pPr>
        <a:defRPr sz="14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661200284654401E-2"/>
          <c:y val="6.7723392717080597E-2"/>
          <c:w val="0.66393693743411808"/>
          <c:h val="0.716651445712432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Ориентируются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лево/право</c:v>
                </c:pt>
                <c:pt idx="1">
                  <c:v>слева/справа</c:v>
                </c:pt>
                <c:pt idx="2">
                  <c:v>левее/правее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400" b="1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лево/право</c:v>
                </c:pt>
                <c:pt idx="1">
                  <c:v>слева/справа</c:v>
                </c:pt>
                <c:pt idx="2">
                  <c:v>левее/правее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ориентируются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лево/право</c:v>
                </c:pt>
                <c:pt idx="1">
                  <c:v>слева/справа</c:v>
                </c:pt>
                <c:pt idx="2">
                  <c:v>левее/правее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323776"/>
        <c:axId val="228430336"/>
      </c:barChart>
      <c:catAx>
        <c:axId val="213323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Анализируемые понятия</a:t>
                </a:r>
              </a:p>
            </c:rich>
          </c:tx>
          <c:layout/>
          <c:overlay val="0"/>
        </c:title>
        <c:majorTickMark val="cross"/>
        <c:minorTickMark val="none"/>
        <c:tickLblPos val="low"/>
        <c:spPr>
          <a:ln w="25400">
            <a:solidFill>
              <a:schemeClr val="tx1"/>
            </a:solidFill>
          </a:ln>
        </c:spPr>
        <c:crossAx val="228430336"/>
        <c:crosses val="autoZero"/>
        <c:auto val="1"/>
        <c:lblAlgn val="ctr"/>
        <c:lblOffset val="100"/>
        <c:noMultiLvlLbl val="0"/>
      </c:catAx>
      <c:valAx>
        <c:axId val="228430336"/>
        <c:scaling>
          <c:orientation val="minMax"/>
          <c:max val="5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детей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25400">
            <a:solidFill>
              <a:schemeClr val="tx1"/>
            </a:solidFill>
          </a:ln>
        </c:spPr>
        <c:crossAx val="213323776"/>
        <c:crosses val="autoZero"/>
        <c:crossBetween val="between"/>
        <c:minorUnit val="1"/>
      </c:valAx>
      <c:spPr>
        <a:ln w="25400" cap="rnd">
          <a:solidFill>
            <a:schemeClr val="tx1"/>
          </a:solidFill>
        </a:ln>
      </c:spPr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2548</Words>
  <Characters>17199</Characters>
  <Application>Microsoft Office Word</Application>
  <DocSecurity>0</DocSecurity>
  <Lines>441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</dc:creator>
  <cp:lastModifiedBy>технолог</cp:lastModifiedBy>
  <cp:revision>1</cp:revision>
  <cp:lastPrinted>2016-04-04T23:23:00Z</cp:lastPrinted>
  <dcterms:created xsi:type="dcterms:W3CDTF">2016-04-04T22:04:00Z</dcterms:created>
  <dcterms:modified xsi:type="dcterms:W3CDTF">2016-04-04T23:52:00Z</dcterms:modified>
</cp:coreProperties>
</file>