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B15B8" w14:textId="2569E2D7" w:rsidR="00910F4C" w:rsidRDefault="00223491">
      <w:pPr>
        <w:spacing w:line="360" w:lineRule="auto"/>
        <w:rPr>
          <w:rFonts w:ascii="Times New Roman" w:eastAsia="Times New Roman" w:hAnsi="Times New Roman" w:cs="Times New Roman"/>
          <w:b/>
          <w:bCs/>
          <w:sz w:val="28"/>
          <w:szCs w:val="28"/>
          <w:lang w:eastAsia="ru-RU"/>
        </w:rPr>
      </w:pPr>
      <w:r w:rsidRPr="00223491">
        <w:rPr>
          <w:rFonts w:ascii="Times New Roman" w:eastAsia="Times New Roman" w:hAnsi="Times New Roman" w:cs="Times New Roman"/>
          <w:b/>
          <w:bCs/>
          <w:noProof/>
          <w:sz w:val="28"/>
          <w:szCs w:val="28"/>
          <w:lang w:eastAsia="ru-RU"/>
        </w:rPr>
        <w:drawing>
          <wp:inline distT="0" distB="0" distL="0" distR="0" wp14:anchorId="6A300F78" wp14:editId="64EB0B98">
            <wp:extent cx="5940425" cy="8228965"/>
            <wp:effectExtent l="0" t="0" r="3175" b="635"/>
            <wp:docPr id="17362967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96797" name=""/>
                    <pic:cNvPicPr/>
                  </pic:nvPicPr>
                  <pic:blipFill>
                    <a:blip r:embed="rId9"/>
                    <a:stretch>
                      <a:fillRect/>
                    </a:stretch>
                  </pic:blipFill>
                  <pic:spPr>
                    <a:xfrm>
                      <a:off x="0" y="0"/>
                      <a:ext cx="5940425" cy="8228965"/>
                    </a:xfrm>
                    <a:prstGeom prst="rect">
                      <a:avLst/>
                    </a:prstGeom>
                  </pic:spPr>
                </pic:pic>
              </a:graphicData>
            </a:graphic>
          </wp:inline>
        </w:drawing>
      </w:r>
    </w:p>
    <w:p w14:paraId="28A066A0" w14:textId="77777777" w:rsidR="00910F4C" w:rsidRDefault="00910F4C">
      <w:pPr>
        <w:spacing w:line="256" w:lineRule="auto"/>
        <w:jc w:val="center"/>
        <w:rPr>
          <w:rFonts w:ascii="Times New Roman" w:eastAsia="Times New Roman" w:hAnsi="Times New Roman" w:cs="Times New Roman"/>
          <w:sz w:val="24"/>
          <w:szCs w:val="24"/>
          <w:lang w:eastAsia="ru-RU"/>
        </w:rPr>
      </w:pPr>
    </w:p>
    <w:p w14:paraId="3D2EC77B" w14:textId="77777777" w:rsidR="00223491" w:rsidRDefault="00223491">
      <w:pPr>
        <w:spacing w:line="256" w:lineRule="auto"/>
        <w:jc w:val="center"/>
        <w:rPr>
          <w:rFonts w:ascii="Times New Roman" w:eastAsia="Times New Roman" w:hAnsi="Times New Roman" w:cs="Times New Roman"/>
          <w:sz w:val="24"/>
          <w:szCs w:val="24"/>
          <w:lang w:eastAsia="ru-RU"/>
        </w:rPr>
      </w:pPr>
    </w:p>
    <w:p w14:paraId="225DF530" w14:textId="77777777" w:rsidR="00223491" w:rsidRDefault="00223491">
      <w:pPr>
        <w:spacing w:line="256" w:lineRule="auto"/>
        <w:jc w:val="center"/>
        <w:rPr>
          <w:rFonts w:ascii="Times New Roman" w:eastAsia="Times New Roman" w:hAnsi="Times New Roman" w:cs="Times New Roman"/>
          <w:sz w:val="28"/>
          <w:szCs w:val="28"/>
          <w:lang w:eastAsia="ru-RU"/>
        </w:rPr>
      </w:pPr>
    </w:p>
    <w:p w14:paraId="3B443342" w14:textId="77777777" w:rsidR="00783C89" w:rsidRDefault="00783C89">
      <w:pPr>
        <w:spacing w:line="360" w:lineRule="auto"/>
        <w:jc w:val="center"/>
        <w:rPr>
          <w:rFonts w:ascii="Times New Roman" w:eastAsia="Times New Roman" w:hAnsi="Times New Roman" w:cs="Times New Roman"/>
          <w:b/>
          <w:bCs/>
          <w:sz w:val="28"/>
          <w:szCs w:val="28"/>
          <w:lang w:eastAsia="ru-RU"/>
        </w:rPr>
      </w:pPr>
    </w:p>
    <w:p w14:paraId="2C8DDA7A" w14:textId="720B6C3C" w:rsidR="00910F4C" w:rsidRDefault="009D47C4">
      <w:pPr>
        <w:spacing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СОДЕРЖАНИЕ</w:t>
      </w:r>
    </w:p>
    <w:p w14:paraId="59033656" w14:textId="77777777" w:rsidR="00910F4C" w:rsidRDefault="009D47C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Введение...................................................................................................................3</w:t>
      </w:r>
    </w:p>
    <w:p w14:paraId="6B486E09" w14:textId="77777777" w:rsidR="00910F4C" w:rsidRDefault="009D47C4">
      <w:pPr>
        <w:numPr>
          <w:ilvl w:val="0"/>
          <w:numId w:val="1"/>
        </w:numPr>
        <w:spacing w:after="0" w:line="360" w:lineRule="auto"/>
        <w:ind w:left="0" w:firstLine="0"/>
        <w:contextualSpacing/>
        <w:jc w:val="both"/>
        <w:rPr>
          <w:rFonts w:ascii="Times New Roman" w:eastAsia="Calibri" w:hAnsi="Times New Roman" w:cs="Times New Roman"/>
          <w:sz w:val="28"/>
          <w:szCs w:val="28"/>
        </w:rPr>
      </w:pPr>
      <w:bookmarkStart w:id="0" w:name="_Hlk197127282"/>
      <w:r>
        <w:rPr>
          <w:rFonts w:ascii="Times New Roman" w:eastAsia="Calibri" w:hAnsi="Times New Roman" w:cs="Times New Roman"/>
          <w:sz w:val="28"/>
          <w:szCs w:val="28"/>
        </w:rPr>
        <w:t>Теоретические аспекты обеспечения экономической безопасности организации..............................................................................................................5</w:t>
      </w:r>
    </w:p>
    <w:p w14:paraId="54B24595" w14:textId="77777777" w:rsidR="00910F4C" w:rsidRDefault="009D47C4">
      <w:pPr>
        <w:numPr>
          <w:ilvl w:val="1"/>
          <w:numId w:val="1"/>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Понятие, сущность и особенности экономической безопасности организации</w:t>
      </w:r>
      <w:bookmarkEnd w:id="0"/>
      <w:r>
        <w:rPr>
          <w:rFonts w:ascii="Times New Roman" w:eastAsia="Calibri" w:hAnsi="Times New Roman" w:cs="Times New Roman"/>
          <w:sz w:val="28"/>
          <w:szCs w:val="28"/>
        </w:rPr>
        <w:t>..............................................................................................................5</w:t>
      </w:r>
    </w:p>
    <w:p w14:paraId="562437C6" w14:textId="77777777" w:rsidR="00910F4C" w:rsidRDefault="009D47C4">
      <w:pPr>
        <w:numPr>
          <w:ilvl w:val="1"/>
          <w:numId w:val="1"/>
        </w:numPr>
        <w:spacing w:line="360" w:lineRule="auto"/>
        <w:ind w:left="0" w:firstLine="709"/>
        <w:contextualSpacing/>
        <w:jc w:val="both"/>
        <w:rPr>
          <w:rFonts w:ascii="Times New Roman" w:eastAsia="Calibri" w:hAnsi="Times New Roman" w:cs="Times New Roman"/>
          <w:sz w:val="28"/>
          <w:szCs w:val="28"/>
        </w:rPr>
      </w:pPr>
      <w:bookmarkStart w:id="1" w:name="_Hlk197185076"/>
      <w:r>
        <w:rPr>
          <w:rFonts w:ascii="Times New Roman" w:eastAsia="Calibri" w:hAnsi="Times New Roman" w:cs="Times New Roman"/>
          <w:sz w:val="28"/>
          <w:szCs w:val="28"/>
        </w:rPr>
        <w:t>Влияние региональных факторов на экономическую безопасность организации</w:t>
      </w:r>
      <w:bookmarkEnd w:id="1"/>
      <w:r>
        <w:rPr>
          <w:rFonts w:ascii="Times New Roman" w:eastAsia="Calibri" w:hAnsi="Times New Roman" w:cs="Times New Roman"/>
          <w:sz w:val="28"/>
          <w:szCs w:val="28"/>
        </w:rPr>
        <w:t>..............................................................................................................7</w:t>
      </w:r>
    </w:p>
    <w:p w14:paraId="467C8E2E" w14:textId="77777777" w:rsidR="00910F4C" w:rsidRDefault="009D47C4">
      <w:pPr>
        <w:numPr>
          <w:ilvl w:val="1"/>
          <w:numId w:val="1"/>
        </w:numPr>
        <w:spacing w:line="360" w:lineRule="auto"/>
        <w:ind w:left="0" w:firstLine="709"/>
        <w:contextualSpacing/>
        <w:jc w:val="both"/>
        <w:rPr>
          <w:rFonts w:ascii="Times New Roman" w:eastAsia="Calibri" w:hAnsi="Times New Roman" w:cs="Times New Roman"/>
          <w:sz w:val="28"/>
          <w:szCs w:val="28"/>
        </w:rPr>
      </w:pPr>
      <w:bookmarkStart w:id="2" w:name="_Hlk197187940"/>
      <w:r>
        <w:rPr>
          <w:rFonts w:ascii="Times New Roman" w:eastAsia="Calibri" w:hAnsi="Times New Roman" w:cs="Times New Roman"/>
          <w:sz w:val="28"/>
          <w:szCs w:val="28"/>
        </w:rPr>
        <w:t>Подходы и методы оценки экономической безопасности организации</w:t>
      </w:r>
      <w:bookmarkEnd w:id="2"/>
      <w:r>
        <w:rPr>
          <w:rFonts w:ascii="Times New Roman" w:eastAsia="Calibri" w:hAnsi="Times New Roman" w:cs="Times New Roman"/>
          <w:sz w:val="28"/>
          <w:szCs w:val="28"/>
        </w:rPr>
        <w:t>............................................................................................................10</w:t>
      </w:r>
    </w:p>
    <w:p w14:paraId="33676017" w14:textId="77777777" w:rsidR="00910F4C" w:rsidRDefault="009D47C4">
      <w:pPr>
        <w:numPr>
          <w:ilvl w:val="0"/>
          <w:numId w:val="1"/>
        </w:numPr>
        <w:spacing w:line="360" w:lineRule="auto"/>
        <w:ind w:left="0" w:firstLine="0"/>
        <w:contextualSpacing/>
        <w:jc w:val="both"/>
        <w:rPr>
          <w:rFonts w:ascii="Times New Roman" w:eastAsia="Calibri" w:hAnsi="Times New Roman" w:cs="Times New Roman"/>
          <w:sz w:val="28"/>
          <w:szCs w:val="28"/>
        </w:rPr>
      </w:pPr>
      <w:bookmarkStart w:id="3" w:name="_Hlk163597502"/>
      <w:bookmarkStart w:id="4" w:name="_Hlk197799306"/>
      <w:r>
        <w:rPr>
          <w:rFonts w:ascii="Times New Roman" w:eastAsia="Calibri" w:hAnsi="Times New Roman" w:cs="Times New Roman"/>
          <w:sz w:val="28"/>
          <w:szCs w:val="28"/>
        </w:rPr>
        <w:t>Анализ</w:t>
      </w:r>
      <w:bookmarkEnd w:id="3"/>
      <w:r>
        <w:rPr>
          <w:rFonts w:ascii="Times New Roman" w:eastAsia="Calibri" w:hAnsi="Times New Roman" w:cs="Times New Roman"/>
          <w:sz w:val="28"/>
          <w:szCs w:val="28"/>
        </w:rPr>
        <w:t xml:space="preserve"> и оценка уровня экономической безопасности российских винодельческих компаний: проблемы и противоречия.....................................15</w:t>
      </w:r>
    </w:p>
    <w:p w14:paraId="1FDE22FB" w14:textId="77777777" w:rsidR="00910F4C" w:rsidRDefault="009D47C4">
      <w:pPr>
        <w:numPr>
          <w:ilvl w:val="1"/>
          <w:numId w:val="1"/>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Оценка </w:t>
      </w:r>
      <w:bookmarkStart w:id="5" w:name="_Hlk197085014"/>
      <w:r>
        <w:rPr>
          <w:rFonts w:ascii="Times New Roman" w:eastAsia="Calibri" w:hAnsi="Times New Roman" w:cs="Times New Roman"/>
          <w:sz w:val="28"/>
          <w:szCs w:val="28"/>
        </w:rPr>
        <w:t>современного состояния российских винодельческих компаний в условиях внешних вызовов и угроз</w:t>
      </w:r>
      <w:bookmarkEnd w:id="5"/>
      <w:r>
        <w:rPr>
          <w:rFonts w:ascii="Times New Roman" w:eastAsia="Calibri" w:hAnsi="Times New Roman" w:cs="Times New Roman"/>
          <w:sz w:val="28"/>
          <w:szCs w:val="28"/>
        </w:rPr>
        <w:t>................................................15</w:t>
      </w:r>
    </w:p>
    <w:bookmarkEnd w:id="4"/>
    <w:p w14:paraId="27F0BBBF" w14:textId="77777777" w:rsidR="00910F4C" w:rsidRDefault="009D47C4">
      <w:pPr>
        <w:numPr>
          <w:ilvl w:val="1"/>
          <w:numId w:val="1"/>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основных показателей экономической безопасности ООО «Кубань вино»........................................................................................................19</w:t>
      </w:r>
    </w:p>
    <w:p w14:paraId="595F4994" w14:textId="77777777" w:rsidR="00910F4C" w:rsidRDefault="009D47C4">
      <w:pPr>
        <w:numPr>
          <w:ilvl w:val="1"/>
          <w:numId w:val="1"/>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Влияние внутренних и внешних угроз на обеспечение экономической безопасности ООО «Кубань вино»...........................................23</w:t>
      </w:r>
    </w:p>
    <w:p w14:paraId="37969FA3" w14:textId="77777777" w:rsidR="00910F4C" w:rsidRDefault="009D47C4">
      <w:pPr>
        <w:numPr>
          <w:ilvl w:val="0"/>
          <w:numId w:val="1"/>
        </w:numPr>
        <w:spacing w:line="360" w:lineRule="auto"/>
        <w:ind w:left="0" w:firstLine="0"/>
        <w:contextualSpacing/>
        <w:jc w:val="both"/>
        <w:rPr>
          <w:rFonts w:ascii="Times New Roman" w:eastAsia="Calibri" w:hAnsi="Times New Roman" w:cs="Times New Roman"/>
          <w:sz w:val="28"/>
          <w:szCs w:val="28"/>
        </w:rPr>
      </w:pPr>
      <w:bookmarkStart w:id="6" w:name="_Hlk168684829"/>
      <w:r>
        <w:rPr>
          <w:rFonts w:ascii="Times New Roman" w:eastAsia="Calibri" w:hAnsi="Times New Roman" w:cs="Times New Roman"/>
          <w:sz w:val="28"/>
          <w:szCs w:val="28"/>
        </w:rPr>
        <w:t>Перспективы повышения экономической безопасности организации с учетом региональных факторов...........................................................................26</w:t>
      </w:r>
    </w:p>
    <w:bookmarkEnd w:id="6"/>
    <w:p w14:paraId="28770722" w14:textId="77777777" w:rsidR="00910F4C" w:rsidRDefault="009D47C4">
      <w:pPr>
        <w:numPr>
          <w:ilvl w:val="1"/>
          <w:numId w:val="1"/>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Практические рекомендации по обеспечению экономической безопасности ООО «Кубань вино»......................................................................26</w:t>
      </w:r>
    </w:p>
    <w:p w14:paraId="795971CC" w14:textId="77777777" w:rsidR="00910F4C" w:rsidRDefault="009D47C4">
      <w:pPr>
        <w:numPr>
          <w:ilvl w:val="1"/>
          <w:numId w:val="1"/>
        </w:numPr>
        <w:spacing w:line="360" w:lineRule="auto"/>
        <w:ind w:left="0" w:firstLine="709"/>
        <w:contextualSpacing/>
        <w:jc w:val="both"/>
        <w:rPr>
          <w:rFonts w:ascii="Times New Roman" w:eastAsia="Calibri" w:hAnsi="Times New Roman" w:cs="Times New Roman"/>
          <w:sz w:val="28"/>
          <w:szCs w:val="28"/>
        </w:rPr>
      </w:pPr>
      <w:bookmarkStart w:id="7" w:name="_Hlk197956893"/>
      <w:r>
        <w:rPr>
          <w:rFonts w:ascii="Times New Roman" w:eastAsia="Calibri" w:hAnsi="Times New Roman" w:cs="Times New Roman"/>
          <w:sz w:val="28"/>
          <w:szCs w:val="28"/>
        </w:rPr>
        <w:t>Роль государственного регулирования в обеспечении экономической безопасности организации</w:t>
      </w:r>
      <w:bookmarkEnd w:id="7"/>
      <w:r>
        <w:rPr>
          <w:rFonts w:ascii="Times New Roman" w:eastAsia="Calibri" w:hAnsi="Times New Roman" w:cs="Times New Roman"/>
          <w:sz w:val="28"/>
          <w:szCs w:val="28"/>
        </w:rPr>
        <w:t>.........................................................29</w:t>
      </w:r>
    </w:p>
    <w:p w14:paraId="776FA621" w14:textId="77777777" w:rsidR="00910F4C" w:rsidRDefault="009D47C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Заключение.............................................................................................................33</w:t>
      </w:r>
    </w:p>
    <w:p w14:paraId="1145261E" w14:textId="77777777" w:rsidR="00910F4C" w:rsidRDefault="009D47C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Список использованных источников...................................................................34</w:t>
      </w:r>
    </w:p>
    <w:p w14:paraId="24D4168E" w14:textId="77777777" w:rsidR="00910F4C" w:rsidRDefault="00910F4C">
      <w:pPr>
        <w:spacing w:line="360" w:lineRule="auto"/>
        <w:ind w:left="-567"/>
        <w:jc w:val="both"/>
        <w:rPr>
          <w:rFonts w:ascii="Times New Roman" w:eastAsia="Calibri" w:hAnsi="Times New Roman" w:cs="Times New Roman"/>
          <w:sz w:val="28"/>
          <w:szCs w:val="28"/>
        </w:rPr>
      </w:pPr>
    </w:p>
    <w:p w14:paraId="77720E43" w14:textId="77777777" w:rsidR="00910F4C" w:rsidRDefault="00910F4C">
      <w:pPr>
        <w:spacing w:line="360" w:lineRule="auto"/>
        <w:ind w:left="-567"/>
        <w:jc w:val="both"/>
        <w:rPr>
          <w:rFonts w:ascii="Times New Roman" w:eastAsia="Calibri" w:hAnsi="Times New Roman" w:cs="Times New Roman"/>
          <w:sz w:val="28"/>
          <w:szCs w:val="28"/>
        </w:rPr>
      </w:pPr>
    </w:p>
    <w:p w14:paraId="6D9A27E2" w14:textId="77777777" w:rsidR="00910F4C" w:rsidRDefault="00910F4C">
      <w:pPr>
        <w:spacing w:line="360" w:lineRule="auto"/>
        <w:jc w:val="both"/>
        <w:rPr>
          <w:rFonts w:ascii="Times New Roman" w:eastAsia="Calibri" w:hAnsi="Times New Roman" w:cs="Times New Roman"/>
          <w:sz w:val="28"/>
          <w:szCs w:val="28"/>
        </w:rPr>
      </w:pPr>
    </w:p>
    <w:p w14:paraId="4DF8F992" w14:textId="77777777" w:rsidR="00910F4C" w:rsidRDefault="009D47C4">
      <w:pPr>
        <w:spacing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ВВЕДЕНИЕ</w:t>
      </w:r>
    </w:p>
    <w:p w14:paraId="638B223D" w14:textId="77777777" w:rsidR="00910F4C" w:rsidRDefault="009D47C4">
      <w:pPr>
        <w:spacing w:before="240"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Актуальность темы обусловлена возрастающей значимостью региональных особенностей в условиях глобализации и интеграции экономик. В современных условиях организации сталкиваются с множеством рисков, связанных с экономической нестабильностью, изменениями в законодательстве, колебаниями рыночной конъюнктуры и социально-экономическими факторами, которые варьируются в зависимости от региона. Региональные факторы, такие как уровень развития инфраструктуры, наличие природных ресурсов, демографическая ситуация, социальная стабильность и инвестиционная привлекательность, оказывают значительное влияние на стратегию управления экономической безопасностью организаций. Понимание этих факторов позволяет не только минимизировать риски, но и использовать региональные преимущества для повышения конкурентоспособности. В условиях кризисов и неопределенности особенно важно учитывать специфику региона, в котором функционирует организация, что делает данную тему актуальной для научного исследования и практического применения. Анализ региональных факторов может способствовать разработке более эффективных стратегий управления экономической безопасностью, что в свою очередь будет способствовать устойчивому развитию организаций и повышению их способности к адаптации в изменяющейся экономической среде.</w:t>
      </w:r>
    </w:p>
    <w:p w14:paraId="6BAD73F2" w14:textId="77777777" w:rsidR="00910F4C" w:rsidRDefault="009D47C4">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Цель данной работы – изучить теоретические аспекты обеспечения экономической безопасности организации, провести анализ и оценку уровня экономической безопасности российских винодельческих компаний, выявив перспективы повышения экономической безопасности организации с учетом региональных факторов. Для достижения поставленной цели необходимо выполнить следующие задачи:</w:t>
      </w:r>
    </w:p>
    <w:p w14:paraId="7845F96E" w14:textId="77777777" w:rsidR="00910F4C" w:rsidRDefault="009D47C4">
      <w:pPr>
        <w:pStyle w:val="ad"/>
        <w:numPr>
          <w:ilvl w:val="0"/>
          <w:numId w:val="2"/>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Изучить понятие, сущность и особенности экономической безопасности организации;</w:t>
      </w:r>
    </w:p>
    <w:p w14:paraId="2F7EEE2B" w14:textId="77777777" w:rsidR="00910F4C" w:rsidRDefault="009D47C4">
      <w:pPr>
        <w:pStyle w:val="ad"/>
        <w:numPr>
          <w:ilvl w:val="0"/>
          <w:numId w:val="2"/>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Исследовать влияние региональных факторов на экономическую безопасность организации;</w:t>
      </w:r>
    </w:p>
    <w:p w14:paraId="3383AF2E" w14:textId="77777777" w:rsidR="00910F4C" w:rsidRDefault="009D47C4">
      <w:pPr>
        <w:pStyle w:val="ad"/>
        <w:numPr>
          <w:ilvl w:val="0"/>
          <w:numId w:val="2"/>
        </w:numPr>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Рассмотреть подходы и методы оценки экономической безопасности организации;</w:t>
      </w:r>
    </w:p>
    <w:p w14:paraId="5DE43D18" w14:textId="77777777" w:rsidR="00910F4C" w:rsidRDefault="009D47C4">
      <w:pPr>
        <w:pStyle w:val="ad"/>
        <w:numPr>
          <w:ilvl w:val="0"/>
          <w:numId w:val="2"/>
        </w:numPr>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Провести оценку современного состояния российских винодельческих компаний в условиях внешних вызовов и угроз;</w:t>
      </w:r>
    </w:p>
    <w:p w14:paraId="1808A334" w14:textId="77777777" w:rsidR="00910F4C" w:rsidRDefault="009D47C4">
      <w:pPr>
        <w:pStyle w:val="ad"/>
        <w:numPr>
          <w:ilvl w:val="0"/>
          <w:numId w:val="2"/>
        </w:numPr>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Проанализировать основные показатели экономической безопасности ООО «Кубань вино»;</w:t>
      </w:r>
    </w:p>
    <w:p w14:paraId="1E69C16F" w14:textId="77777777" w:rsidR="00910F4C" w:rsidRDefault="009D47C4">
      <w:pPr>
        <w:pStyle w:val="ad"/>
        <w:numPr>
          <w:ilvl w:val="0"/>
          <w:numId w:val="2"/>
        </w:numPr>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Определить влияние внутренних и внешних угроз на обеспечение экономической безопасности ООО «Кубань вино»;</w:t>
      </w:r>
    </w:p>
    <w:p w14:paraId="5A2E73FF" w14:textId="77777777" w:rsidR="00910F4C" w:rsidRDefault="009D47C4">
      <w:pPr>
        <w:pStyle w:val="ad"/>
        <w:numPr>
          <w:ilvl w:val="0"/>
          <w:numId w:val="2"/>
        </w:numPr>
        <w:spacing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Предложить практические рекомендации по обеспечению экономической безопасности ООО «Кубань вино»;</w:t>
      </w:r>
    </w:p>
    <w:p w14:paraId="4324F213" w14:textId="77777777" w:rsidR="00910F4C" w:rsidRDefault="009D47C4">
      <w:pPr>
        <w:pStyle w:val="ad"/>
        <w:numPr>
          <w:ilvl w:val="0"/>
          <w:numId w:val="2"/>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Определить роль государственного регулирования в обеспечении экономической безопасности организации.</w:t>
      </w:r>
    </w:p>
    <w:p w14:paraId="7B67A714" w14:textId="77777777" w:rsidR="00910F4C" w:rsidRDefault="009D47C4">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Предметом исследования является анализ влияния региональных факторов на финансовую устойчивость и конкурентоспособность организаций.</w:t>
      </w:r>
    </w:p>
    <w:p w14:paraId="5281A4D9" w14:textId="77777777" w:rsidR="00910F4C" w:rsidRDefault="009D47C4">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Объект исследования – современное состояние экономической безопасности ООО «Кубань вино.</w:t>
      </w:r>
    </w:p>
    <w:p w14:paraId="529DF8F7" w14:textId="77777777" w:rsidR="00910F4C" w:rsidRDefault="009D47C4">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Для решения поставленных задач были использованы следующие методы научного познания: дедукция, индукция, анализ статистических данных, системный и сравнительный анализ.</w:t>
      </w:r>
    </w:p>
    <w:p w14:paraId="1164F74C" w14:textId="77777777" w:rsidR="00910F4C" w:rsidRDefault="009D47C4">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Информационной базой исследования выступили труды российских и зарубежных ученых, статистические сборники, научные статьи.</w:t>
      </w:r>
    </w:p>
    <w:p w14:paraId="696FD0BC" w14:textId="77777777" w:rsidR="00910F4C" w:rsidRDefault="009D47C4">
      <w:pPr>
        <w:spacing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Курсовая работы состоит из введения, трех глав, заключения и списка использованных источников. </w:t>
      </w:r>
    </w:p>
    <w:p w14:paraId="01A7A9FF" w14:textId="77777777" w:rsidR="00910F4C" w:rsidRDefault="00910F4C">
      <w:pPr>
        <w:spacing w:line="360" w:lineRule="auto"/>
        <w:jc w:val="both"/>
        <w:rPr>
          <w:rFonts w:ascii="Times New Roman" w:eastAsia="Calibri" w:hAnsi="Times New Roman" w:cs="Times New Roman"/>
          <w:sz w:val="28"/>
          <w:szCs w:val="28"/>
        </w:rPr>
      </w:pPr>
    </w:p>
    <w:p w14:paraId="18314C1E" w14:textId="77777777" w:rsidR="00910F4C" w:rsidRPr="00DD0CEE" w:rsidRDefault="009D47C4" w:rsidP="009D47C4">
      <w:pPr>
        <w:spacing w:before="240" w:after="240" w:line="360" w:lineRule="auto"/>
        <w:ind w:firstLine="709"/>
        <w:jc w:val="both"/>
        <w:rPr>
          <w:rFonts w:ascii="Times New Roman" w:hAnsi="Times New Roman" w:cs="Times New Roman"/>
          <w:b/>
          <w:bCs/>
          <w:sz w:val="28"/>
          <w:szCs w:val="28"/>
        </w:rPr>
      </w:pPr>
      <w:r w:rsidRPr="00DD0CEE">
        <w:rPr>
          <w:rFonts w:ascii="Times New Roman" w:hAnsi="Times New Roman" w:cs="Times New Roman"/>
          <w:b/>
          <w:bCs/>
          <w:sz w:val="28"/>
          <w:szCs w:val="28"/>
        </w:rPr>
        <w:lastRenderedPageBreak/>
        <w:t>1</w:t>
      </w:r>
      <w:r w:rsidRPr="00DD0CEE">
        <w:rPr>
          <w:rFonts w:ascii="Times New Roman" w:hAnsi="Times New Roman" w:cs="Times New Roman"/>
          <w:b/>
          <w:bCs/>
          <w:sz w:val="28"/>
          <w:szCs w:val="28"/>
        </w:rPr>
        <w:tab/>
        <w:t>Теоретические аспекты обеспечения экономической безопасности организации</w:t>
      </w:r>
    </w:p>
    <w:p w14:paraId="3641E262" w14:textId="77777777" w:rsidR="00910F4C" w:rsidRDefault="009D47C4" w:rsidP="009D47C4">
      <w:pPr>
        <w:spacing w:before="240" w:after="240" w:line="360" w:lineRule="auto"/>
        <w:ind w:firstLine="709"/>
        <w:jc w:val="both"/>
        <w:rPr>
          <w:rFonts w:ascii="Times New Roman" w:hAnsi="Times New Roman" w:cs="Times New Roman"/>
          <w:b/>
          <w:bCs/>
          <w:sz w:val="28"/>
          <w:szCs w:val="28"/>
        </w:rPr>
      </w:pPr>
      <w:r w:rsidRPr="00DD0CEE">
        <w:rPr>
          <w:rFonts w:ascii="Times New Roman" w:hAnsi="Times New Roman" w:cs="Times New Roman"/>
          <w:b/>
          <w:bCs/>
          <w:sz w:val="28"/>
          <w:szCs w:val="28"/>
        </w:rPr>
        <w:t>1.1</w:t>
      </w:r>
      <w:r w:rsidRPr="00DD0CEE">
        <w:rPr>
          <w:rFonts w:ascii="Times New Roman" w:hAnsi="Times New Roman" w:cs="Times New Roman"/>
          <w:b/>
          <w:bCs/>
          <w:sz w:val="28"/>
          <w:szCs w:val="28"/>
        </w:rPr>
        <w:tab/>
        <w:t>Понятие, сущность и особенности экономической безопасности организации</w:t>
      </w:r>
    </w:p>
    <w:p w14:paraId="18969385"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современных условиях необходимость создания эффективной системы безопасности становится особенно актуальной. Угрозы и риски, ставшие постоянными, проникают во все аспекты жизни, включая экономическую сферу. Это подчеркивает важность глубокого анализа безопасности в контексте различных явлений и процессов, происходящих в обществе, а также разработки единой теории безопасности на этой основе. Несмотря на множество исследований в этой области, в научной среде до сих пор отсутствует общепринятое определение термина «экономическая безопасность организации» [23]. Рассмотрим некоторые определения данного термина.</w:t>
      </w:r>
    </w:p>
    <w:p w14:paraId="63A6233D" w14:textId="4DA11B07" w:rsidR="00910F4C" w:rsidRDefault="009D47C4" w:rsidP="009D47C4">
      <w:pPr>
        <w:spacing w:after="0" w:line="240" w:lineRule="auto"/>
        <w:jc w:val="both"/>
        <w:rPr>
          <w:rFonts w:ascii="Times New Roman" w:hAnsi="Times New Roman" w:cs="Times New Roman"/>
          <w:sz w:val="28"/>
          <w:szCs w:val="28"/>
        </w:rPr>
      </w:pPr>
      <w:r w:rsidRPr="00DD0CEE">
        <w:rPr>
          <w:rFonts w:ascii="Times New Roman" w:hAnsi="Times New Roman" w:cs="Times New Roman"/>
          <w:sz w:val="28"/>
          <w:szCs w:val="28"/>
        </w:rPr>
        <w:t>Таблица 1 – Подходы к определению термина «экономическая безопасность предприятия» (ЭБП) (составлено автором на основе [21])</w:t>
      </w:r>
    </w:p>
    <w:tbl>
      <w:tblPr>
        <w:tblStyle w:val="ac"/>
        <w:tblW w:w="0" w:type="auto"/>
        <w:tblLook w:val="04A0" w:firstRow="1" w:lastRow="0" w:firstColumn="1" w:lastColumn="0" w:noHBand="0" w:noVBand="1"/>
      </w:tblPr>
      <w:tblGrid>
        <w:gridCol w:w="2263"/>
        <w:gridCol w:w="7082"/>
      </w:tblGrid>
      <w:tr w:rsidR="00910F4C" w14:paraId="4ED5974A" w14:textId="77777777">
        <w:tc>
          <w:tcPr>
            <w:tcW w:w="2263" w:type="dxa"/>
            <w:vAlign w:val="center"/>
          </w:tcPr>
          <w:p w14:paraId="77A2D7C3" w14:textId="77777777" w:rsidR="00910F4C" w:rsidRDefault="009D47C4">
            <w:pPr>
              <w:spacing w:after="0" w:line="360" w:lineRule="auto"/>
              <w:jc w:val="center"/>
              <w:rPr>
                <w:rFonts w:ascii="Times New Roman" w:hAnsi="Times New Roman" w:cs="Times New Roman"/>
                <w:b/>
                <w:bCs/>
                <w:szCs w:val="24"/>
              </w:rPr>
            </w:pPr>
            <w:r>
              <w:rPr>
                <w:rFonts w:ascii="Times New Roman" w:hAnsi="Times New Roman" w:cs="Times New Roman"/>
                <w:b/>
                <w:bCs/>
                <w:szCs w:val="24"/>
              </w:rPr>
              <w:t>Автор</w:t>
            </w:r>
          </w:p>
        </w:tc>
        <w:tc>
          <w:tcPr>
            <w:tcW w:w="7082" w:type="dxa"/>
            <w:vAlign w:val="center"/>
          </w:tcPr>
          <w:p w14:paraId="3D3C56AA" w14:textId="77777777" w:rsidR="00910F4C" w:rsidRDefault="009D47C4">
            <w:pPr>
              <w:spacing w:after="0" w:line="360" w:lineRule="auto"/>
              <w:jc w:val="center"/>
              <w:rPr>
                <w:rFonts w:ascii="Times New Roman" w:hAnsi="Times New Roman" w:cs="Times New Roman"/>
                <w:b/>
                <w:bCs/>
                <w:szCs w:val="24"/>
              </w:rPr>
            </w:pPr>
            <w:r>
              <w:rPr>
                <w:rFonts w:ascii="Times New Roman" w:hAnsi="Times New Roman" w:cs="Times New Roman"/>
                <w:b/>
                <w:bCs/>
                <w:szCs w:val="24"/>
              </w:rPr>
              <w:t>Определение</w:t>
            </w:r>
          </w:p>
        </w:tc>
      </w:tr>
      <w:tr w:rsidR="00910F4C" w14:paraId="61DB6B12" w14:textId="77777777">
        <w:tc>
          <w:tcPr>
            <w:tcW w:w="2263" w:type="dxa"/>
            <w:vAlign w:val="center"/>
          </w:tcPr>
          <w:p w14:paraId="7319E26C" w14:textId="77777777" w:rsidR="00910F4C" w:rsidRDefault="009D47C4">
            <w:pPr>
              <w:spacing w:after="0" w:line="360" w:lineRule="auto"/>
              <w:jc w:val="center"/>
              <w:rPr>
                <w:rFonts w:ascii="Times New Roman" w:hAnsi="Times New Roman" w:cs="Times New Roman"/>
                <w:szCs w:val="24"/>
              </w:rPr>
            </w:pPr>
            <w:proofErr w:type="spellStart"/>
            <w:r>
              <w:rPr>
                <w:rFonts w:ascii="Times New Roman" w:hAnsi="Times New Roman" w:cs="Times New Roman"/>
                <w:szCs w:val="24"/>
              </w:rPr>
              <w:t>Бедников</w:t>
            </w:r>
            <w:proofErr w:type="spellEnd"/>
            <w:r>
              <w:rPr>
                <w:rFonts w:ascii="Times New Roman" w:hAnsi="Times New Roman" w:cs="Times New Roman"/>
                <w:szCs w:val="24"/>
              </w:rPr>
              <w:t xml:space="preserve"> М.А.</w:t>
            </w:r>
          </w:p>
        </w:tc>
        <w:tc>
          <w:tcPr>
            <w:tcW w:w="7082" w:type="dxa"/>
          </w:tcPr>
          <w:p w14:paraId="431042B1"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ЭБП – защищенность его научно-технического, технологического, производственного и кадрового потенциала от прямых (активных) или косвенных (пассивных) экономических угроз, например, связанных с неэффективной научно-промышленной политикой государства или формированием неблагоприятной внешней среды, а также способность к его воспроизведению</w:t>
            </w:r>
          </w:p>
        </w:tc>
      </w:tr>
      <w:tr w:rsidR="00910F4C" w14:paraId="02ECEC22" w14:textId="77777777">
        <w:tc>
          <w:tcPr>
            <w:tcW w:w="2263" w:type="dxa"/>
            <w:vAlign w:val="center"/>
          </w:tcPr>
          <w:p w14:paraId="39A78B86" w14:textId="77777777" w:rsidR="00910F4C" w:rsidRDefault="009D47C4">
            <w:pPr>
              <w:spacing w:after="0" w:line="360" w:lineRule="auto"/>
              <w:jc w:val="center"/>
              <w:rPr>
                <w:rFonts w:ascii="Times New Roman" w:hAnsi="Times New Roman" w:cs="Times New Roman"/>
                <w:szCs w:val="24"/>
              </w:rPr>
            </w:pPr>
            <w:r>
              <w:rPr>
                <w:rFonts w:ascii="Times New Roman" w:hAnsi="Times New Roman" w:cs="Times New Roman"/>
                <w:szCs w:val="24"/>
              </w:rPr>
              <w:t>Воронович Л.М.</w:t>
            </w:r>
          </w:p>
        </w:tc>
        <w:tc>
          <w:tcPr>
            <w:tcW w:w="7082" w:type="dxa"/>
          </w:tcPr>
          <w:p w14:paraId="6BA0626D"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ЭБП – состояние независимости субъектов предпринимательской деятельности от недобросовестной конкуренции предприятий-монополистов, непредвиденных договорами действий пред приятий-поставщиков и торговых организаций, от нерациональной экономической и правовой политики государства и других факторов, которые позволяют присваивать большую часть законных доходов</w:t>
            </w:r>
          </w:p>
        </w:tc>
      </w:tr>
      <w:tr w:rsidR="00910F4C" w14:paraId="7D0EA373" w14:textId="77777777">
        <w:tc>
          <w:tcPr>
            <w:tcW w:w="2263" w:type="dxa"/>
            <w:vAlign w:val="center"/>
          </w:tcPr>
          <w:p w14:paraId="562B83A1" w14:textId="77777777" w:rsidR="00910F4C" w:rsidRDefault="009D47C4">
            <w:pPr>
              <w:spacing w:after="0" w:line="360" w:lineRule="auto"/>
              <w:jc w:val="center"/>
              <w:rPr>
                <w:rFonts w:ascii="Times New Roman" w:hAnsi="Times New Roman" w:cs="Times New Roman"/>
                <w:szCs w:val="24"/>
              </w:rPr>
            </w:pPr>
            <w:r>
              <w:rPr>
                <w:rFonts w:ascii="Times New Roman" w:hAnsi="Times New Roman" w:cs="Times New Roman"/>
                <w:szCs w:val="24"/>
              </w:rPr>
              <w:t>Гапоненко Ф.В.</w:t>
            </w:r>
          </w:p>
        </w:tc>
        <w:tc>
          <w:tcPr>
            <w:tcW w:w="7082" w:type="dxa"/>
          </w:tcPr>
          <w:p w14:paraId="5E65A8EE"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ЭБП – состояние предприятия, при котором оно при наиболее эффективном использовании корпоративных ресурсов достигает предотвращения, ослабления или защиты от существующих опасностей и угроз или других непредвиденных обстоятельств и, в основном, обеспечивает достижение целей бизнеса в условиях конкуренции и хозяйственного риска</w:t>
            </w:r>
          </w:p>
        </w:tc>
      </w:tr>
      <w:tr w:rsidR="00910F4C" w14:paraId="5FA8CFA1" w14:textId="77777777">
        <w:tc>
          <w:tcPr>
            <w:tcW w:w="2263" w:type="dxa"/>
            <w:vAlign w:val="center"/>
          </w:tcPr>
          <w:p w14:paraId="35A16FAF" w14:textId="77777777" w:rsidR="00910F4C" w:rsidRDefault="009D47C4">
            <w:pPr>
              <w:spacing w:after="0" w:line="360" w:lineRule="auto"/>
              <w:jc w:val="center"/>
              <w:rPr>
                <w:rFonts w:ascii="Times New Roman" w:hAnsi="Times New Roman" w:cs="Times New Roman"/>
                <w:szCs w:val="24"/>
              </w:rPr>
            </w:pPr>
            <w:proofErr w:type="spellStart"/>
            <w:r>
              <w:rPr>
                <w:rFonts w:ascii="Times New Roman" w:hAnsi="Times New Roman" w:cs="Times New Roman"/>
                <w:szCs w:val="24"/>
              </w:rPr>
              <w:t>Дубецкая</w:t>
            </w:r>
            <w:proofErr w:type="spellEnd"/>
            <w:r>
              <w:rPr>
                <w:rFonts w:ascii="Times New Roman" w:hAnsi="Times New Roman" w:cs="Times New Roman"/>
                <w:szCs w:val="24"/>
              </w:rPr>
              <w:t xml:space="preserve"> С.П.</w:t>
            </w:r>
          </w:p>
        </w:tc>
        <w:tc>
          <w:tcPr>
            <w:tcW w:w="7082" w:type="dxa"/>
          </w:tcPr>
          <w:p w14:paraId="0D465EA0"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ЭБП – состояние объекта в системе его связей с точки зрения его устойчивости (выживания) и развития в условиях внутренних и внешних угроз, не предсказуемых действий и сложно прогнозируемых факторов</w:t>
            </w:r>
          </w:p>
        </w:tc>
      </w:tr>
      <w:tr w:rsidR="00910F4C" w14:paraId="0AEB12DD" w14:textId="77777777">
        <w:tc>
          <w:tcPr>
            <w:tcW w:w="2263" w:type="dxa"/>
            <w:vAlign w:val="center"/>
          </w:tcPr>
          <w:p w14:paraId="6A323378" w14:textId="77777777" w:rsidR="00910F4C" w:rsidRDefault="009D47C4">
            <w:pPr>
              <w:spacing w:after="0" w:line="360" w:lineRule="auto"/>
              <w:jc w:val="center"/>
              <w:rPr>
                <w:rFonts w:ascii="Times New Roman" w:hAnsi="Times New Roman" w:cs="Times New Roman"/>
                <w:szCs w:val="24"/>
              </w:rPr>
            </w:pPr>
            <w:r>
              <w:rPr>
                <w:rFonts w:ascii="Times New Roman" w:hAnsi="Times New Roman" w:cs="Times New Roman"/>
                <w:szCs w:val="24"/>
              </w:rPr>
              <w:t>Зубок М.И.</w:t>
            </w:r>
          </w:p>
        </w:tc>
        <w:tc>
          <w:tcPr>
            <w:tcW w:w="7082" w:type="dxa"/>
          </w:tcPr>
          <w:p w14:paraId="22ED7696"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 xml:space="preserve">ЭБП – состояние корпоративных ресурсов (ресурсов капитала, персонала, информации и техно логии, техники и оборудования, прав) и предпринимательских возможностей, при котором гарантируется наиболее эффективное использование та ких ресурсов для стабильного </w:t>
            </w:r>
            <w:r>
              <w:rPr>
                <w:rFonts w:ascii="Times New Roman" w:hAnsi="Times New Roman" w:cs="Times New Roman"/>
                <w:szCs w:val="24"/>
              </w:rPr>
              <w:lastRenderedPageBreak/>
              <w:t>функционирования и динамического научно-технического и социального развития, предотвращения внутренних и внешних негативных воздействий (угрозам)</w:t>
            </w:r>
          </w:p>
        </w:tc>
      </w:tr>
      <w:tr w:rsidR="00910F4C" w14:paraId="5AF30A2C" w14:textId="77777777">
        <w:tc>
          <w:tcPr>
            <w:tcW w:w="2263" w:type="dxa"/>
            <w:vAlign w:val="center"/>
          </w:tcPr>
          <w:p w14:paraId="773F6EDD" w14:textId="77777777" w:rsidR="00910F4C" w:rsidRDefault="009D47C4">
            <w:pPr>
              <w:spacing w:after="0" w:line="360" w:lineRule="auto"/>
              <w:jc w:val="center"/>
              <w:rPr>
                <w:rFonts w:ascii="Times New Roman" w:hAnsi="Times New Roman" w:cs="Times New Roman"/>
                <w:szCs w:val="24"/>
              </w:rPr>
            </w:pPr>
            <w:proofErr w:type="spellStart"/>
            <w:r>
              <w:rPr>
                <w:rFonts w:ascii="Times New Roman" w:hAnsi="Times New Roman" w:cs="Times New Roman"/>
                <w:szCs w:val="24"/>
              </w:rPr>
              <w:lastRenderedPageBreak/>
              <w:t>Половнев</w:t>
            </w:r>
            <w:proofErr w:type="spellEnd"/>
            <w:r>
              <w:rPr>
                <w:rFonts w:ascii="Times New Roman" w:hAnsi="Times New Roman" w:cs="Times New Roman"/>
                <w:szCs w:val="24"/>
              </w:rPr>
              <w:t xml:space="preserve"> К.С.</w:t>
            </w:r>
          </w:p>
        </w:tc>
        <w:tc>
          <w:tcPr>
            <w:tcW w:w="7082" w:type="dxa"/>
          </w:tcPr>
          <w:p w14:paraId="578D1888"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ЭБП – непрерывный процесс обеспечения на промышленном пред приятии, которое находится в определенной внешней среде, стабильности его функционирования, финансового равновесия и регулярного получения прибыли, а также возможности выполнения поставленных целей и задач, возможности для дальнейшего развития и совершенствования на различных стадиях жизненного цикла предприятия и в процессе определения конкурентных рыночных стратегий</w:t>
            </w:r>
          </w:p>
        </w:tc>
      </w:tr>
      <w:tr w:rsidR="00910F4C" w14:paraId="4D1A11E0" w14:textId="77777777">
        <w:tc>
          <w:tcPr>
            <w:tcW w:w="2263" w:type="dxa"/>
            <w:vAlign w:val="center"/>
          </w:tcPr>
          <w:p w14:paraId="38DA21FC" w14:textId="77777777" w:rsidR="00910F4C" w:rsidRDefault="009D47C4">
            <w:pPr>
              <w:spacing w:after="0" w:line="360" w:lineRule="auto"/>
              <w:jc w:val="center"/>
              <w:rPr>
                <w:rFonts w:ascii="Times New Roman" w:hAnsi="Times New Roman" w:cs="Times New Roman"/>
                <w:szCs w:val="24"/>
              </w:rPr>
            </w:pPr>
            <w:proofErr w:type="spellStart"/>
            <w:r>
              <w:rPr>
                <w:rFonts w:ascii="Times New Roman" w:hAnsi="Times New Roman" w:cs="Times New Roman"/>
                <w:szCs w:val="24"/>
              </w:rPr>
              <w:t>Раздина</w:t>
            </w:r>
            <w:proofErr w:type="spellEnd"/>
            <w:r>
              <w:rPr>
                <w:rFonts w:ascii="Times New Roman" w:hAnsi="Times New Roman" w:cs="Times New Roman"/>
                <w:szCs w:val="24"/>
              </w:rPr>
              <w:t xml:space="preserve"> Е.В.</w:t>
            </w:r>
          </w:p>
        </w:tc>
        <w:tc>
          <w:tcPr>
            <w:tcW w:w="7082" w:type="dxa"/>
          </w:tcPr>
          <w:p w14:paraId="23569EE2"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ЭБП – комплекс мероприятий, способствующих повышению финансовой устойчивости хозяйствующих субъектов в условиях рыночной экономики, которые защищают их коммерческие интересы от влияния негативных рыночных процессов</w:t>
            </w:r>
          </w:p>
        </w:tc>
      </w:tr>
      <w:tr w:rsidR="00910F4C" w14:paraId="25B8A8AA" w14:textId="77777777">
        <w:tc>
          <w:tcPr>
            <w:tcW w:w="2263" w:type="dxa"/>
            <w:vAlign w:val="center"/>
          </w:tcPr>
          <w:p w14:paraId="7C2CAD0A" w14:textId="77777777" w:rsidR="00910F4C" w:rsidRDefault="009D47C4">
            <w:pPr>
              <w:spacing w:after="0" w:line="360" w:lineRule="auto"/>
              <w:jc w:val="center"/>
              <w:rPr>
                <w:rFonts w:ascii="Times New Roman" w:hAnsi="Times New Roman" w:cs="Times New Roman"/>
                <w:szCs w:val="24"/>
              </w:rPr>
            </w:pPr>
            <w:proofErr w:type="spellStart"/>
            <w:r>
              <w:rPr>
                <w:rFonts w:ascii="Times New Roman" w:hAnsi="Times New Roman" w:cs="Times New Roman"/>
                <w:szCs w:val="24"/>
              </w:rPr>
              <w:t>Шемаева</w:t>
            </w:r>
            <w:proofErr w:type="spellEnd"/>
            <w:r>
              <w:rPr>
                <w:rFonts w:ascii="Times New Roman" w:hAnsi="Times New Roman" w:cs="Times New Roman"/>
                <w:szCs w:val="24"/>
              </w:rPr>
              <w:t xml:space="preserve"> Л.Г.</w:t>
            </w:r>
          </w:p>
        </w:tc>
        <w:tc>
          <w:tcPr>
            <w:tcW w:w="7082" w:type="dxa"/>
          </w:tcPr>
          <w:p w14:paraId="58F763B3"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ЭБП – характеристика предприятия, которая отражает его способность реализовать собственные стратегические экономические интересы при определенных внешних условиях благодаря защите от существующих и потенциальных угроз и использованию возможностей, которые предоставляет внешняя среда</w:t>
            </w:r>
          </w:p>
        </w:tc>
      </w:tr>
    </w:tbl>
    <w:p w14:paraId="382B450B"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основе изучения ряда научных работ, экономическую безопасность предприятия можно трактовать как отдельную количественную величину и, можно считать показателем, отражающим способность организации выявлять потенциальные внутренние и внешние угрозы и защищаться от них. Это также позволяет определить наиболее эффективное использование ресурсов для достижения как краткосрочных, так и долгосрочных целей компании. </w:t>
      </w:r>
    </w:p>
    <w:p w14:paraId="6F04952E"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Основные задачи системы экономической безопасности любой коммерческой организации включают в себя [3]:</w:t>
      </w:r>
    </w:p>
    <w:p w14:paraId="1DDBEBEA"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Защиту законных прав и интересов компании и ее работников;</w:t>
      </w:r>
    </w:p>
    <w:p w14:paraId="18F6408F"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Сбор, анализ и оценку данных для прогнозирования развития ситуации;</w:t>
      </w:r>
    </w:p>
    <w:p w14:paraId="3A176B8A"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Исследование партнеров, клиентов, конкурентов и кандидатов на вакансии;</w:t>
      </w:r>
    </w:p>
    <w:p w14:paraId="2F8572D0" w14:textId="77777777" w:rsidR="00910F4C" w:rsidRDefault="009D47C4">
      <w:pPr>
        <w:pStyle w:val="ad"/>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Своевременное выявление потенциальных угроз со стороны внешних источников;</w:t>
      </w:r>
    </w:p>
    <w:p w14:paraId="2D925BB2" w14:textId="77777777" w:rsidR="00910F4C" w:rsidRDefault="009D47C4">
      <w:pPr>
        <w:pStyle w:val="ad"/>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Предотвращение доступа к предприятию структур экономической разведки конкурентов и преступных групп;</w:t>
      </w:r>
    </w:p>
    <w:p w14:paraId="62D4961A"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Противодействие техническому проникновению с целью совершения преступлений;</w:t>
      </w:r>
    </w:p>
    <w:p w14:paraId="108F4681"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Выявление и пресечение противоправной деятельности сотрудников, угрожающей безопасности предприятия;</w:t>
      </w:r>
    </w:p>
    <w:p w14:paraId="63907B48"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сохранности материальных ценностей и коммерческой тайны;</w:t>
      </w:r>
    </w:p>
    <w:p w14:paraId="38D670BE"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Получение информации для принятия оптимальных управленческих решений в области стратегии и тактики бизнеса;</w:t>
      </w:r>
    </w:p>
    <w:p w14:paraId="15AFFEF8"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Физическая и техническая охрана объектов, территории и транспортных средств;</w:t>
      </w:r>
    </w:p>
    <w:p w14:paraId="1BD530AF"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положительного имиджа компании среди населения и деловых партнеров для содействия реализации бизнес-планов;</w:t>
      </w:r>
    </w:p>
    <w:p w14:paraId="5CB97314"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Возмещение ущерба, причиненного неправомерными действиями;</w:t>
      </w:r>
    </w:p>
    <w:p w14:paraId="5180A75F" w14:textId="77777777" w:rsidR="00910F4C" w:rsidRDefault="009D47C4">
      <w:pPr>
        <w:pStyle w:val="ad"/>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Мониторинг эффективности работы системы безопасности и ее совершенствование.</w:t>
      </w:r>
    </w:p>
    <w:p w14:paraId="4FA1D0EF"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учетом перечисленных задач, условий конкурентной борьбы и особенностей бизнеса, формируется система экономической безопасности предприятия. Важно отметить, что каждая компания разрабатывает свою уникальную систему безопасности. Ее эффективность и полнота зависят от существующей законодательной базы в стране, ресурсов, выделяемых руководством на материально-техническое обеспечение и финансирование, а также от осознания всеми сотрудниками важности защиты бизнеса. Кроме того, значительную роль играют знания и опыт руководителя службы безопасности, который отвечает за создание и поддержание системы в рабочем состоянии.</w:t>
      </w:r>
    </w:p>
    <w:p w14:paraId="0DD95079" w14:textId="77777777" w:rsidR="00910F4C" w:rsidRDefault="009D47C4" w:rsidP="009D47C4">
      <w:pPr>
        <w:spacing w:before="240" w:after="240" w:line="360" w:lineRule="auto"/>
        <w:ind w:firstLine="709"/>
        <w:jc w:val="both"/>
        <w:rPr>
          <w:rFonts w:ascii="Times New Roman" w:hAnsi="Times New Roman" w:cs="Times New Roman"/>
          <w:b/>
          <w:bCs/>
          <w:sz w:val="28"/>
          <w:szCs w:val="28"/>
        </w:rPr>
      </w:pPr>
      <w:r w:rsidRPr="00DD0CEE">
        <w:rPr>
          <w:rFonts w:ascii="Times New Roman" w:hAnsi="Times New Roman" w:cs="Times New Roman"/>
          <w:b/>
          <w:bCs/>
          <w:sz w:val="28"/>
          <w:szCs w:val="28"/>
        </w:rPr>
        <w:t>1.2 Влияние региональных факторов на экономическую безопасность организации</w:t>
      </w:r>
    </w:p>
    <w:p w14:paraId="64F0D7CB"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Динамика изменений в условиях внешней и внутренней среды, влияющих на региональное развитие, меняет восприятие сущности и направлений экономической безопасности региона (ЭБР). Эта безопасность должна эволюционировать, чтобы адекватно реагировать на новые вызовы и угрозы. </w:t>
      </w:r>
      <w:r>
        <w:rPr>
          <w:rFonts w:ascii="Times New Roman" w:hAnsi="Times New Roman" w:cs="Times New Roman"/>
          <w:sz w:val="28"/>
          <w:szCs w:val="28"/>
        </w:rPr>
        <w:lastRenderedPageBreak/>
        <w:t>Экономическая безопасность региона чаще всего определяется как состояние экономики, способной противостоять различным угрозам, то есть как уровень защищенности экономики от негативных факторов [1].</w:t>
      </w:r>
    </w:p>
    <w:p w14:paraId="06937C8A"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более структурированного и точного понимания специфики термина экономическая безопасность в контексте регионального развития, рассмотрим теории регионального развития.</w:t>
      </w:r>
    </w:p>
    <w:p w14:paraId="631D5BEC" w14:textId="724DDD91" w:rsidR="00910F4C" w:rsidRDefault="009D47C4" w:rsidP="009D47C4">
      <w:pPr>
        <w:spacing w:after="0" w:line="240" w:lineRule="auto"/>
        <w:jc w:val="both"/>
        <w:rPr>
          <w:rFonts w:ascii="Times New Roman" w:hAnsi="Times New Roman" w:cs="Times New Roman"/>
          <w:sz w:val="28"/>
          <w:szCs w:val="28"/>
        </w:rPr>
      </w:pPr>
      <w:r w:rsidRPr="00DD0CEE">
        <w:rPr>
          <w:rFonts w:ascii="Times New Roman" w:hAnsi="Times New Roman" w:cs="Times New Roman"/>
          <w:sz w:val="28"/>
          <w:szCs w:val="28"/>
        </w:rPr>
        <w:t>Таблица 2 – Теории регионального развития, определяющие факторы развития экономической безопасности (составлено автором на основе [14])</w:t>
      </w:r>
    </w:p>
    <w:tbl>
      <w:tblPr>
        <w:tblStyle w:val="ac"/>
        <w:tblW w:w="9498" w:type="dxa"/>
        <w:tblInd w:w="-5" w:type="dxa"/>
        <w:tblLook w:val="04A0" w:firstRow="1" w:lastRow="0" w:firstColumn="1" w:lastColumn="0" w:noHBand="0" w:noVBand="1"/>
      </w:tblPr>
      <w:tblGrid>
        <w:gridCol w:w="2337"/>
        <w:gridCol w:w="3475"/>
        <w:gridCol w:w="3686"/>
      </w:tblGrid>
      <w:tr w:rsidR="00910F4C" w14:paraId="609C4FDE" w14:textId="77777777">
        <w:tc>
          <w:tcPr>
            <w:tcW w:w="2337" w:type="dxa"/>
            <w:vMerge w:val="restart"/>
            <w:vAlign w:val="center"/>
          </w:tcPr>
          <w:p w14:paraId="785C69DD" w14:textId="77777777" w:rsidR="00910F4C" w:rsidRDefault="009D47C4">
            <w:pPr>
              <w:spacing w:after="0" w:line="240" w:lineRule="auto"/>
              <w:jc w:val="center"/>
              <w:rPr>
                <w:rFonts w:ascii="Times New Roman" w:hAnsi="Times New Roman" w:cs="Times New Roman"/>
                <w:b/>
                <w:bCs/>
                <w:szCs w:val="24"/>
              </w:rPr>
            </w:pPr>
            <w:r>
              <w:rPr>
                <w:rFonts w:ascii="Times New Roman" w:hAnsi="Times New Roman" w:cs="Times New Roman"/>
                <w:b/>
                <w:bCs/>
                <w:szCs w:val="24"/>
              </w:rPr>
              <w:t>Теория</w:t>
            </w:r>
          </w:p>
        </w:tc>
        <w:tc>
          <w:tcPr>
            <w:tcW w:w="7161" w:type="dxa"/>
            <w:gridSpan w:val="2"/>
            <w:vAlign w:val="center"/>
          </w:tcPr>
          <w:p w14:paraId="0C562A2A" w14:textId="77777777" w:rsidR="00910F4C" w:rsidRDefault="009D47C4">
            <w:pPr>
              <w:spacing w:after="0" w:line="240" w:lineRule="auto"/>
              <w:jc w:val="center"/>
              <w:rPr>
                <w:rFonts w:ascii="Times New Roman" w:hAnsi="Times New Roman" w:cs="Times New Roman"/>
                <w:b/>
                <w:bCs/>
                <w:szCs w:val="24"/>
              </w:rPr>
            </w:pPr>
            <w:r>
              <w:rPr>
                <w:rFonts w:ascii="Times New Roman" w:hAnsi="Times New Roman" w:cs="Times New Roman"/>
                <w:b/>
                <w:bCs/>
                <w:szCs w:val="24"/>
              </w:rPr>
              <w:t>Факторы развития безопасности</w:t>
            </w:r>
          </w:p>
        </w:tc>
      </w:tr>
      <w:tr w:rsidR="00910F4C" w14:paraId="2E5ABCB9" w14:textId="77777777">
        <w:tc>
          <w:tcPr>
            <w:tcW w:w="2337" w:type="dxa"/>
            <w:vMerge/>
            <w:vAlign w:val="center"/>
          </w:tcPr>
          <w:p w14:paraId="67B0E3D8" w14:textId="77777777" w:rsidR="00910F4C" w:rsidRDefault="00910F4C">
            <w:pPr>
              <w:spacing w:after="0" w:line="240" w:lineRule="auto"/>
              <w:jc w:val="center"/>
              <w:rPr>
                <w:rFonts w:ascii="Times New Roman" w:hAnsi="Times New Roman" w:cs="Times New Roman"/>
                <w:b/>
                <w:bCs/>
                <w:szCs w:val="24"/>
              </w:rPr>
            </w:pPr>
          </w:p>
        </w:tc>
        <w:tc>
          <w:tcPr>
            <w:tcW w:w="3475" w:type="dxa"/>
            <w:vAlign w:val="center"/>
          </w:tcPr>
          <w:p w14:paraId="0821BA67" w14:textId="77777777" w:rsidR="00910F4C" w:rsidRDefault="009D47C4">
            <w:pPr>
              <w:spacing w:after="0" w:line="240" w:lineRule="auto"/>
              <w:jc w:val="center"/>
              <w:rPr>
                <w:rFonts w:ascii="Times New Roman" w:hAnsi="Times New Roman" w:cs="Times New Roman"/>
                <w:b/>
                <w:bCs/>
                <w:szCs w:val="24"/>
              </w:rPr>
            </w:pPr>
            <w:r>
              <w:rPr>
                <w:rFonts w:ascii="Times New Roman" w:hAnsi="Times New Roman" w:cs="Times New Roman"/>
                <w:b/>
                <w:bCs/>
                <w:szCs w:val="24"/>
              </w:rPr>
              <w:t>Факторы дестабилизации, приводящие к угрозам</w:t>
            </w:r>
          </w:p>
        </w:tc>
        <w:tc>
          <w:tcPr>
            <w:tcW w:w="3686" w:type="dxa"/>
            <w:vAlign w:val="center"/>
          </w:tcPr>
          <w:p w14:paraId="10F8A83C" w14:textId="77777777" w:rsidR="00910F4C" w:rsidRDefault="009D47C4">
            <w:pPr>
              <w:spacing w:after="0" w:line="240" w:lineRule="auto"/>
              <w:jc w:val="center"/>
              <w:rPr>
                <w:rFonts w:ascii="Times New Roman" w:hAnsi="Times New Roman" w:cs="Times New Roman"/>
                <w:b/>
                <w:bCs/>
                <w:szCs w:val="24"/>
              </w:rPr>
            </w:pPr>
            <w:r>
              <w:rPr>
                <w:rFonts w:ascii="Times New Roman" w:hAnsi="Times New Roman" w:cs="Times New Roman"/>
                <w:b/>
                <w:bCs/>
                <w:szCs w:val="24"/>
              </w:rPr>
              <w:t>Инструменты обеспечения экономической безопасности</w:t>
            </w:r>
          </w:p>
        </w:tc>
      </w:tr>
      <w:tr w:rsidR="00910F4C" w14:paraId="05976DD3" w14:textId="77777777">
        <w:tc>
          <w:tcPr>
            <w:tcW w:w="2337" w:type="dxa"/>
            <w:vAlign w:val="center"/>
          </w:tcPr>
          <w:p w14:paraId="6A06BE26" w14:textId="77777777" w:rsidR="00910F4C" w:rsidRDefault="009D47C4">
            <w:pPr>
              <w:spacing w:after="0" w:line="240" w:lineRule="auto"/>
              <w:jc w:val="center"/>
              <w:rPr>
                <w:rFonts w:ascii="Times New Roman" w:hAnsi="Times New Roman" w:cs="Times New Roman"/>
                <w:szCs w:val="24"/>
              </w:rPr>
            </w:pPr>
            <w:r>
              <w:rPr>
                <w:rFonts w:ascii="Times New Roman" w:hAnsi="Times New Roman" w:cs="Times New Roman"/>
                <w:szCs w:val="24"/>
              </w:rPr>
              <w:t>Теория базового сектора</w:t>
            </w:r>
          </w:p>
        </w:tc>
        <w:tc>
          <w:tcPr>
            <w:tcW w:w="3475" w:type="dxa"/>
          </w:tcPr>
          <w:p w14:paraId="1FB9B9CF"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 xml:space="preserve">Утрата конкурентоспособности базовым сектором или же отсутствие экспортно-ориентированного сектора экономики </w:t>
            </w:r>
          </w:p>
        </w:tc>
        <w:tc>
          <w:tcPr>
            <w:tcW w:w="3686" w:type="dxa"/>
          </w:tcPr>
          <w:p w14:paraId="3319F34C"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Преференции промышленным компаниям базовых отраслей с целью модернизации производств и выхода на внешние рынки. Трансляция потенциала территории через участие в международных, межрегиональных выставках, позиционирование территории</w:t>
            </w:r>
          </w:p>
        </w:tc>
      </w:tr>
      <w:tr w:rsidR="00910F4C" w14:paraId="6573A425" w14:textId="77777777">
        <w:tc>
          <w:tcPr>
            <w:tcW w:w="2337" w:type="dxa"/>
            <w:vAlign w:val="center"/>
          </w:tcPr>
          <w:p w14:paraId="1D5CE882" w14:textId="77777777" w:rsidR="00910F4C" w:rsidRDefault="009D47C4">
            <w:pPr>
              <w:spacing w:after="0" w:line="240" w:lineRule="auto"/>
              <w:jc w:val="center"/>
              <w:rPr>
                <w:rFonts w:ascii="Times New Roman" w:hAnsi="Times New Roman" w:cs="Times New Roman"/>
                <w:szCs w:val="24"/>
              </w:rPr>
            </w:pPr>
            <w:r>
              <w:rPr>
                <w:rFonts w:ascii="Times New Roman" w:hAnsi="Times New Roman" w:cs="Times New Roman"/>
                <w:szCs w:val="24"/>
              </w:rPr>
              <w:t>Сырьевая теория</w:t>
            </w:r>
          </w:p>
        </w:tc>
        <w:tc>
          <w:tcPr>
            <w:tcW w:w="3475" w:type="dxa"/>
          </w:tcPr>
          <w:p w14:paraId="10508731"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Исчерпание месторождений, отсутствие спроса на экспортный сырьевой товар</w:t>
            </w:r>
          </w:p>
        </w:tc>
        <w:tc>
          <w:tcPr>
            <w:tcW w:w="3686" w:type="dxa"/>
          </w:tcPr>
          <w:p w14:paraId="7C5F0C9B"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Преференции для целей диверсификации</w:t>
            </w:r>
          </w:p>
        </w:tc>
      </w:tr>
      <w:tr w:rsidR="00910F4C" w14:paraId="08C65203" w14:textId="77777777">
        <w:tc>
          <w:tcPr>
            <w:tcW w:w="2337" w:type="dxa"/>
            <w:vAlign w:val="center"/>
          </w:tcPr>
          <w:p w14:paraId="206D19CD" w14:textId="77777777" w:rsidR="00910F4C" w:rsidRDefault="009D47C4">
            <w:pPr>
              <w:spacing w:after="0" w:line="240" w:lineRule="auto"/>
              <w:jc w:val="center"/>
              <w:rPr>
                <w:rFonts w:ascii="Times New Roman" w:hAnsi="Times New Roman" w:cs="Times New Roman"/>
                <w:szCs w:val="24"/>
              </w:rPr>
            </w:pPr>
            <w:r>
              <w:rPr>
                <w:rFonts w:ascii="Times New Roman" w:hAnsi="Times New Roman" w:cs="Times New Roman"/>
                <w:szCs w:val="24"/>
              </w:rPr>
              <w:t>Теория структурных изменений</w:t>
            </w:r>
          </w:p>
        </w:tc>
        <w:tc>
          <w:tcPr>
            <w:tcW w:w="3475" w:type="dxa"/>
          </w:tcPr>
          <w:p w14:paraId="148398B4"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Отсутствие перехода к более высоким уровням технологической сложности в промышленности; отсутствие перехода к экономике услуг (особенно для про мышленных городов-миллионников)</w:t>
            </w:r>
          </w:p>
        </w:tc>
        <w:tc>
          <w:tcPr>
            <w:tcW w:w="3686" w:type="dxa"/>
          </w:tcPr>
          <w:p w14:paraId="1785F2F5"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Преференции для целей модернизации, роста производительности труда, поддержка развития сферы услуг</w:t>
            </w:r>
          </w:p>
        </w:tc>
      </w:tr>
      <w:tr w:rsidR="00910F4C" w14:paraId="106100F1" w14:textId="77777777">
        <w:tc>
          <w:tcPr>
            <w:tcW w:w="2337" w:type="dxa"/>
            <w:vAlign w:val="center"/>
          </w:tcPr>
          <w:p w14:paraId="3B44E8A0" w14:textId="77777777" w:rsidR="00910F4C" w:rsidRDefault="009D47C4">
            <w:pPr>
              <w:spacing w:after="0" w:line="240" w:lineRule="auto"/>
              <w:jc w:val="center"/>
              <w:rPr>
                <w:rFonts w:ascii="Times New Roman" w:hAnsi="Times New Roman" w:cs="Times New Roman"/>
                <w:szCs w:val="24"/>
              </w:rPr>
            </w:pPr>
            <w:r>
              <w:rPr>
                <w:rFonts w:ascii="Times New Roman" w:hAnsi="Times New Roman" w:cs="Times New Roman"/>
                <w:szCs w:val="24"/>
              </w:rPr>
              <w:t>Теория полюсов роста</w:t>
            </w:r>
          </w:p>
        </w:tc>
        <w:tc>
          <w:tcPr>
            <w:tcW w:w="3475" w:type="dxa"/>
          </w:tcPr>
          <w:p w14:paraId="5D9D0A0E"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Дефицит инновационных проектов, полюсов роста, диффузии инноваций</w:t>
            </w:r>
          </w:p>
        </w:tc>
        <w:tc>
          <w:tcPr>
            <w:tcW w:w="3686" w:type="dxa"/>
          </w:tcPr>
          <w:p w14:paraId="6C97A34F"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Создание промышленных парков, техно парков, бизнес-инкубаторов. Преференции при внедрении инноваций, поддержка кластерных инициатив</w:t>
            </w:r>
          </w:p>
        </w:tc>
      </w:tr>
      <w:tr w:rsidR="00910F4C" w14:paraId="70756E98" w14:textId="77777777">
        <w:tc>
          <w:tcPr>
            <w:tcW w:w="2337" w:type="dxa"/>
            <w:vAlign w:val="center"/>
          </w:tcPr>
          <w:p w14:paraId="746DDF1C" w14:textId="77777777" w:rsidR="00910F4C" w:rsidRDefault="009D47C4">
            <w:pPr>
              <w:spacing w:after="0" w:line="240" w:lineRule="auto"/>
              <w:jc w:val="center"/>
              <w:rPr>
                <w:rFonts w:ascii="Times New Roman" w:hAnsi="Times New Roman" w:cs="Times New Roman"/>
                <w:szCs w:val="24"/>
              </w:rPr>
            </w:pPr>
            <w:r>
              <w:rPr>
                <w:rFonts w:ascii="Times New Roman" w:hAnsi="Times New Roman" w:cs="Times New Roman"/>
                <w:szCs w:val="24"/>
              </w:rPr>
              <w:t>Предпринимательские теории</w:t>
            </w:r>
          </w:p>
        </w:tc>
        <w:tc>
          <w:tcPr>
            <w:tcW w:w="3475" w:type="dxa"/>
          </w:tcPr>
          <w:p w14:paraId="361532E7"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Низкая предпринимательская активность на территории</w:t>
            </w:r>
          </w:p>
        </w:tc>
        <w:tc>
          <w:tcPr>
            <w:tcW w:w="3686" w:type="dxa"/>
          </w:tcPr>
          <w:p w14:paraId="664E99F6"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Стимулирование через преференции разных форм экономической деятельности, поддержка стартапов, развитие предпринимательских компетенций молодежи</w:t>
            </w:r>
          </w:p>
        </w:tc>
      </w:tr>
      <w:tr w:rsidR="00910F4C" w14:paraId="0B89693B" w14:textId="77777777">
        <w:tc>
          <w:tcPr>
            <w:tcW w:w="2337" w:type="dxa"/>
            <w:vAlign w:val="center"/>
          </w:tcPr>
          <w:p w14:paraId="6420C390" w14:textId="77777777" w:rsidR="00910F4C" w:rsidRDefault="009D47C4">
            <w:pPr>
              <w:spacing w:after="0" w:line="240" w:lineRule="auto"/>
              <w:jc w:val="center"/>
              <w:rPr>
                <w:rFonts w:ascii="Times New Roman" w:hAnsi="Times New Roman" w:cs="Times New Roman"/>
                <w:szCs w:val="24"/>
              </w:rPr>
            </w:pPr>
            <w:r>
              <w:rPr>
                <w:rFonts w:ascii="Times New Roman" w:hAnsi="Times New Roman" w:cs="Times New Roman"/>
                <w:szCs w:val="24"/>
              </w:rPr>
              <w:t>Теории гибкой специализации</w:t>
            </w:r>
          </w:p>
        </w:tc>
        <w:tc>
          <w:tcPr>
            <w:tcW w:w="3475" w:type="dxa"/>
          </w:tcPr>
          <w:p w14:paraId="57FB5F60"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Отсутствие качественного изменения структуры экономики и низкая мобильность хозяйствующих субъектов регио на к изменениям окружающей среды</w:t>
            </w:r>
          </w:p>
        </w:tc>
        <w:tc>
          <w:tcPr>
            <w:tcW w:w="3686" w:type="dxa"/>
          </w:tcPr>
          <w:p w14:paraId="6186CD93" w14:textId="77777777" w:rsidR="00910F4C" w:rsidRDefault="009D47C4">
            <w:pPr>
              <w:spacing w:after="0" w:line="240" w:lineRule="auto"/>
              <w:jc w:val="both"/>
              <w:rPr>
                <w:rFonts w:ascii="Times New Roman" w:hAnsi="Times New Roman" w:cs="Times New Roman"/>
                <w:szCs w:val="24"/>
              </w:rPr>
            </w:pPr>
            <w:r>
              <w:rPr>
                <w:rFonts w:ascii="Times New Roman" w:hAnsi="Times New Roman" w:cs="Times New Roman"/>
                <w:szCs w:val="24"/>
              </w:rPr>
              <w:t>Стимулирование создания и развития кластеров в регионе</w:t>
            </w:r>
          </w:p>
        </w:tc>
      </w:tr>
    </w:tbl>
    <w:p w14:paraId="3196B455"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Исследование теорий регионального развития показало, что в зависимости от основных факторов, вызывающих дестабилизацию, их можно условно классифицировать на теории, которые объясняют кризисы в </w:t>
      </w:r>
      <w:r>
        <w:rPr>
          <w:rFonts w:ascii="Times New Roman" w:hAnsi="Times New Roman" w:cs="Times New Roman"/>
          <w:sz w:val="28"/>
          <w:szCs w:val="28"/>
        </w:rPr>
        <w:lastRenderedPageBreak/>
        <w:t>промышленных и сырьевых регионах, проблемные аграрные зоны, крупные города и торговые области. Эти теории также помогают понять причины кризисных явлений в отдельных отраслях и секторах экономики региона. Ключевым выводом анализа является необходимость создания многоуровневой системы мониторинга для эффективного управления безопасностью. Уровни сбора информации должны включать малые и средние предприятия, ключевые предприятия региона, отрасли экономики и сам регион в целом.</w:t>
      </w:r>
    </w:p>
    <w:p w14:paraId="7D90E7AF"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887E0E" wp14:editId="3C589A6E">
            <wp:extent cx="5242560" cy="4640580"/>
            <wp:effectExtent l="0" t="0" r="0" b="7620"/>
            <wp:docPr id="6980111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11118" name="Рисунок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42560" cy="4640580"/>
                    </a:xfrm>
                    <a:prstGeom prst="rect">
                      <a:avLst/>
                    </a:prstGeom>
                  </pic:spPr>
                </pic:pic>
              </a:graphicData>
            </a:graphic>
          </wp:inline>
        </w:drawing>
      </w:r>
    </w:p>
    <w:p w14:paraId="3B15175D" w14:textId="2BC7923B" w:rsidR="00910F4C" w:rsidRDefault="009D47C4" w:rsidP="009D47C4">
      <w:pPr>
        <w:spacing w:after="0" w:line="240" w:lineRule="auto"/>
        <w:ind w:firstLine="567"/>
        <w:jc w:val="center"/>
        <w:rPr>
          <w:rFonts w:ascii="Times New Roman" w:hAnsi="Times New Roman" w:cs="Times New Roman"/>
          <w:sz w:val="28"/>
          <w:szCs w:val="28"/>
        </w:rPr>
      </w:pPr>
      <w:r w:rsidRPr="00DD0CEE">
        <w:rPr>
          <w:rFonts w:ascii="Times New Roman" w:hAnsi="Times New Roman" w:cs="Times New Roman"/>
          <w:sz w:val="28"/>
          <w:szCs w:val="28"/>
        </w:rPr>
        <w:t>Рисунок 1 – Факторы развития экономической безопасности с учетом теорий регионального развития [1]</w:t>
      </w:r>
    </w:p>
    <w:p w14:paraId="2241AEF3" w14:textId="77777777" w:rsidR="009D47C4" w:rsidRDefault="009D47C4" w:rsidP="009D47C4">
      <w:pPr>
        <w:spacing w:after="0" w:line="240" w:lineRule="auto"/>
        <w:ind w:firstLine="567"/>
        <w:jc w:val="center"/>
        <w:rPr>
          <w:rFonts w:ascii="Times New Roman" w:hAnsi="Times New Roman" w:cs="Times New Roman"/>
          <w:sz w:val="28"/>
          <w:szCs w:val="28"/>
        </w:rPr>
      </w:pPr>
    </w:p>
    <w:p w14:paraId="332E2F1E"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реализации предложенного подхода к различению и формированию перечня факторов, влияющих на развитие экономической безопасности, что потребует внесения изменений в систему мониторинга и управления экономикой региона, необходимо выполнить следующие шаги [10]:</w:t>
      </w:r>
    </w:p>
    <w:p w14:paraId="0DD24DB2"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Провести анализ современных теоретических основ регионального развития;  </w:t>
      </w:r>
    </w:p>
    <w:p w14:paraId="57FB5731"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Увеличить полномочия государственных органов по сбору данных, касающихся экономической безопасности региона;  </w:t>
      </w:r>
    </w:p>
    <w:p w14:paraId="604CCF1C" w14:textId="77777777" w:rsidR="00910F4C" w:rsidRDefault="009D47C4">
      <w:pPr>
        <w:pStyle w:val="ad"/>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Разработать методические рекомендации по оценке и мониторингу экономической безопасности, включая определение частоты сбора информации и сроки проведения оценочных мероприятий;  </w:t>
      </w:r>
    </w:p>
    <w:p w14:paraId="7DB25CFB" w14:textId="77777777" w:rsidR="00910F4C" w:rsidRDefault="009D47C4">
      <w:pPr>
        <w:pStyle w:val="ad"/>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Установить структуру в системе органов власти, ответственную за управление экономической безопасностью, а также определить регламент взаимодействия с статистическими службами для обеспечения своевременного принятия решений.</w:t>
      </w:r>
    </w:p>
    <w:p w14:paraId="3EA5F408"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Влияние региональных факторов на экономическую безопасность организации является важным аспектом, который требует тщательного анализа и учета. Региональные факторы включают в себя экономические, социальные, политические и экологические условия, которые могут существенно повлиять на деятельность организаций. Экономическая ситуация в регионе, уровень безработицы, инфляция, налоговая политика и доступность ресурсов – все это напрямую сказывается на финансовой устойчивости и конкурентоспособности компаний. </w:t>
      </w:r>
    </w:p>
    <w:p w14:paraId="7F8FB1A4" w14:textId="351F31CF" w:rsidR="00910F4C" w:rsidRDefault="009D47C4" w:rsidP="009D47C4">
      <w:pPr>
        <w:spacing w:before="240" w:after="240" w:line="360" w:lineRule="auto"/>
        <w:ind w:firstLine="709"/>
        <w:jc w:val="both"/>
        <w:rPr>
          <w:rFonts w:ascii="Times New Roman" w:hAnsi="Times New Roman" w:cs="Times New Roman"/>
          <w:b/>
          <w:bCs/>
          <w:sz w:val="28"/>
          <w:szCs w:val="28"/>
        </w:rPr>
      </w:pPr>
      <w:r w:rsidRPr="00DD0CEE">
        <w:rPr>
          <w:rFonts w:ascii="Times New Roman" w:hAnsi="Times New Roman" w:cs="Times New Roman"/>
          <w:b/>
          <w:bCs/>
          <w:sz w:val="28"/>
          <w:szCs w:val="28"/>
        </w:rPr>
        <w:t>1.3 Подходы и методы оценки экономической безопасности организации</w:t>
      </w:r>
    </w:p>
    <w:p w14:paraId="469EDF82"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Основной элемент экономической безопасности предприятия – механизм ее обеспечения, который включает совокупность правовых норм, законодательных актов, мотивационных факторов и стимулов, разнообразных мероприятий, методов и средств. Эти инструменты позволяют субъекту оказывать эффективное влияние на объект для решения задач, которые касаются безопасности [24]. Для обеспечения эффективной системы экономической безопасности организации необходимо выделить ключевые элементы механизма:</w:t>
      </w:r>
    </w:p>
    <w:p w14:paraId="57F14CAD" w14:textId="77777777" w:rsidR="00910F4C" w:rsidRDefault="009D47C4">
      <w:pPr>
        <w:pStyle w:val="ad"/>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 рисков, связанных с планируемой деятельностью компании;</w:t>
      </w:r>
    </w:p>
    <w:p w14:paraId="5F176981" w14:textId="77777777" w:rsidR="00910F4C" w:rsidRDefault="009D47C4">
      <w:pPr>
        <w:pStyle w:val="ad"/>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Разработка комплекса мероприятий, направленных на полное устранение рисков или их минимизацию, а также создание плана реализации этих мероприятий в рамках конкретного предприятия;</w:t>
      </w:r>
    </w:p>
    <w:p w14:paraId="20375FD8" w14:textId="77777777" w:rsidR="00910F4C" w:rsidRDefault="009D47C4">
      <w:pPr>
        <w:pStyle w:val="ad"/>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Организация выполнения разработанного плана;</w:t>
      </w:r>
    </w:p>
    <w:p w14:paraId="07649D1E" w14:textId="77777777" w:rsidR="00910F4C" w:rsidRDefault="009D47C4">
      <w:pPr>
        <w:pStyle w:val="ad"/>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Проведение регулярного мониторинга его реализации и, при необходимости, внесение корректировок в соответствии с изменениями в условиях;</w:t>
      </w:r>
    </w:p>
    <w:p w14:paraId="39EC2B7D" w14:textId="77777777" w:rsidR="00910F4C" w:rsidRDefault="009D47C4">
      <w:pPr>
        <w:pStyle w:val="ad"/>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Оценка результатов работы в области обеспечения экономической безопасности предприятия.</w:t>
      </w:r>
    </w:p>
    <w:p w14:paraId="344D3EF7"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формирования стратегии экономической безопасности организации применяется комплексный подход, который включает несколько основных элементов. Рассмотрим основные из них.</w:t>
      </w:r>
    </w:p>
    <w:p w14:paraId="12755A6E" w14:textId="77777777" w:rsidR="00910F4C" w:rsidRDefault="009D47C4">
      <w:pPr>
        <w:spacing w:after="0" w:line="360" w:lineRule="auto"/>
        <w:ind w:hanging="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294268" wp14:editId="7FE55E74">
            <wp:extent cx="6146165" cy="2941320"/>
            <wp:effectExtent l="0" t="0" r="6985" b="0"/>
            <wp:docPr id="9520302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0287" name="Рисунок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46165" cy="2941320"/>
                    </a:xfrm>
                    <a:prstGeom prst="rect">
                      <a:avLst/>
                    </a:prstGeom>
                  </pic:spPr>
                </pic:pic>
              </a:graphicData>
            </a:graphic>
          </wp:inline>
        </w:drawing>
      </w:r>
    </w:p>
    <w:p w14:paraId="3B1AF97D" w14:textId="24EAD495" w:rsidR="00910F4C" w:rsidRDefault="009D47C4" w:rsidP="009D47C4">
      <w:pPr>
        <w:spacing w:after="0" w:line="240" w:lineRule="auto"/>
        <w:ind w:firstLine="567"/>
        <w:jc w:val="center"/>
        <w:rPr>
          <w:rFonts w:ascii="Times New Roman" w:hAnsi="Times New Roman" w:cs="Times New Roman"/>
          <w:sz w:val="28"/>
          <w:szCs w:val="28"/>
        </w:rPr>
      </w:pPr>
      <w:r w:rsidRPr="00DD0CEE">
        <w:rPr>
          <w:rFonts w:ascii="Times New Roman" w:hAnsi="Times New Roman" w:cs="Times New Roman"/>
          <w:sz w:val="28"/>
          <w:szCs w:val="28"/>
        </w:rPr>
        <w:t>Рисунок 2 – Методика оценки уровня экономической безопасности предприятия [7]</w:t>
      </w:r>
    </w:p>
    <w:p w14:paraId="14E20DD9"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данной методике, в первую очередь необходимо выбрать набор показателей, которые смогут наиболее полно отразить потенциал предприятия в контексте его экономической безопасности. Эти показатели должны охватывать ключевые аспекты деятельности компании, подверженные как внутренним, так и внешним угрозам. </w:t>
      </w:r>
    </w:p>
    <w:p w14:paraId="3F3A04B7"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При формировании стратегии экономической безопасности предприятия важно учитывать его стратегические ресурсы, такие как производственный, финансовый и рыночный потенциал. Эти ресурсы определяют способность компании справляться с конкурентным давлением и адаптироваться к изменениям во внешней среде, что способствует устойчивому развитию.</w:t>
      </w:r>
    </w:p>
    <w:p w14:paraId="2FD3B3E1"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Большое количество исследователей рекомендует применять индикативный метод для оценки экономической безопасности. Этот подход подразумевает использование индикаторов — пороговых значений, которые характеризуют работу компании в различных функциональных сферах. Уровень экономической безопасности определяется на основании системы ключевых показателей, свойственных конкретному предприятию.</w:t>
      </w:r>
    </w:p>
    <w:p w14:paraId="67A87895" w14:textId="6CE53DBB" w:rsidR="00910F4C" w:rsidRDefault="009D47C4" w:rsidP="009D47C4">
      <w:pPr>
        <w:pStyle w:val="ad"/>
        <w:spacing w:line="240" w:lineRule="auto"/>
        <w:ind w:left="0"/>
        <w:jc w:val="both"/>
        <w:rPr>
          <w:rFonts w:ascii="Times New Roman" w:hAnsi="Times New Roman" w:cs="Times New Roman"/>
          <w:sz w:val="28"/>
          <w:szCs w:val="28"/>
        </w:rPr>
      </w:pPr>
      <w:r w:rsidRPr="00DD0CEE">
        <w:rPr>
          <w:rFonts w:ascii="Times New Roman" w:hAnsi="Times New Roman" w:cs="Times New Roman"/>
          <w:sz w:val="28"/>
          <w:szCs w:val="28"/>
        </w:rPr>
        <w:t>Таблица 3 – Показатели экономической безопасности предприятия (составлено автором на основе [20])</w:t>
      </w:r>
    </w:p>
    <w:tbl>
      <w:tblPr>
        <w:tblStyle w:val="ac"/>
        <w:tblW w:w="0" w:type="auto"/>
        <w:tblLook w:val="04A0" w:firstRow="1" w:lastRow="0" w:firstColumn="1" w:lastColumn="0" w:noHBand="0" w:noVBand="1"/>
      </w:tblPr>
      <w:tblGrid>
        <w:gridCol w:w="3114"/>
        <w:gridCol w:w="6231"/>
      </w:tblGrid>
      <w:tr w:rsidR="00910F4C" w14:paraId="455E0FE9" w14:textId="77777777">
        <w:tc>
          <w:tcPr>
            <w:tcW w:w="3114" w:type="dxa"/>
            <w:vAlign w:val="center"/>
          </w:tcPr>
          <w:p w14:paraId="4526CEA9"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Показатели</w:t>
            </w:r>
          </w:p>
        </w:tc>
        <w:tc>
          <w:tcPr>
            <w:tcW w:w="6231" w:type="dxa"/>
            <w:vAlign w:val="center"/>
          </w:tcPr>
          <w:p w14:paraId="7CD2FDC3"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Составляющие</w:t>
            </w:r>
          </w:p>
        </w:tc>
      </w:tr>
      <w:tr w:rsidR="00910F4C" w14:paraId="0BE1DA2C" w14:textId="77777777">
        <w:tc>
          <w:tcPr>
            <w:tcW w:w="3114" w:type="dxa"/>
            <w:vAlign w:val="center"/>
          </w:tcPr>
          <w:p w14:paraId="4495310A"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Производственные</w:t>
            </w:r>
          </w:p>
        </w:tc>
        <w:tc>
          <w:tcPr>
            <w:tcW w:w="6231" w:type="dxa"/>
          </w:tcPr>
          <w:p w14:paraId="2A872CD8" w14:textId="77777777" w:rsidR="00910F4C" w:rsidRDefault="009D47C4">
            <w:pPr>
              <w:pStyle w:val="ad"/>
              <w:numPr>
                <w:ilvl w:val="0"/>
                <w:numId w:val="3"/>
              </w:numPr>
              <w:spacing w:after="0" w:line="276" w:lineRule="auto"/>
              <w:ind w:left="318" w:hanging="283"/>
              <w:jc w:val="both"/>
              <w:rPr>
                <w:rFonts w:ascii="Times New Roman" w:hAnsi="Times New Roman" w:cs="Times New Roman"/>
                <w:szCs w:val="24"/>
                <w:lang w:val="en-US"/>
              </w:rPr>
            </w:pPr>
            <w:r>
              <w:rPr>
                <w:rFonts w:ascii="Times New Roman" w:hAnsi="Times New Roman" w:cs="Times New Roman"/>
                <w:szCs w:val="24"/>
              </w:rPr>
              <w:t>Динамика производства (темпы роста);</w:t>
            </w:r>
          </w:p>
          <w:p w14:paraId="1ED016A3" w14:textId="77777777" w:rsidR="00910F4C" w:rsidRDefault="009D47C4">
            <w:pPr>
              <w:pStyle w:val="ad"/>
              <w:numPr>
                <w:ilvl w:val="0"/>
                <w:numId w:val="3"/>
              </w:numPr>
              <w:spacing w:after="0" w:line="276" w:lineRule="auto"/>
              <w:ind w:left="318" w:hanging="283"/>
              <w:jc w:val="both"/>
              <w:rPr>
                <w:rFonts w:ascii="Times New Roman" w:hAnsi="Times New Roman" w:cs="Times New Roman"/>
                <w:szCs w:val="24"/>
                <w:lang w:val="en-US"/>
              </w:rPr>
            </w:pPr>
            <w:r>
              <w:rPr>
                <w:rFonts w:ascii="Times New Roman" w:hAnsi="Times New Roman" w:cs="Times New Roman"/>
                <w:szCs w:val="24"/>
              </w:rPr>
              <w:t>Уровень загрузки производственных мощностей;</w:t>
            </w:r>
          </w:p>
          <w:p w14:paraId="30013F96" w14:textId="77777777" w:rsidR="00910F4C" w:rsidRDefault="009D47C4">
            <w:pPr>
              <w:pStyle w:val="ad"/>
              <w:numPr>
                <w:ilvl w:val="0"/>
                <w:numId w:val="3"/>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Доля НИОКР в общем объеме работ;</w:t>
            </w:r>
          </w:p>
          <w:p w14:paraId="3AF12533" w14:textId="77777777" w:rsidR="00910F4C" w:rsidRDefault="009D47C4">
            <w:pPr>
              <w:pStyle w:val="ad"/>
              <w:numPr>
                <w:ilvl w:val="0"/>
                <w:numId w:val="3"/>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Доля НИР в общем объеме НИОКР;</w:t>
            </w:r>
          </w:p>
          <w:p w14:paraId="502CE8D9" w14:textId="77777777" w:rsidR="00910F4C" w:rsidRDefault="009D47C4">
            <w:pPr>
              <w:pStyle w:val="ad"/>
              <w:numPr>
                <w:ilvl w:val="0"/>
                <w:numId w:val="3"/>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Темп обновления производственных фондов;</w:t>
            </w:r>
          </w:p>
          <w:p w14:paraId="65EDA612" w14:textId="77777777" w:rsidR="00910F4C" w:rsidRDefault="009D47C4">
            <w:pPr>
              <w:pStyle w:val="ad"/>
              <w:numPr>
                <w:ilvl w:val="0"/>
                <w:numId w:val="3"/>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Ритмичность производственного процесса;</w:t>
            </w:r>
          </w:p>
          <w:p w14:paraId="6908E730" w14:textId="77777777" w:rsidR="00910F4C" w:rsidRDefault="009D47C4">
            <w:pPr>
              <w:pStyle w:val="ad"/>
              <w:numPr>
                <w:ilvl w:val="0"/>
                <w:numId w:val="3"/>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Удельный вес сторонних заказов;</w:t>
            </w:r>
          </w:p>
          <w:p w14:paraId="159A16CC" w14:textId="77777777" w:rsidR="00910F4C" w:rsidRDefault="009D47C4">
            <w:pPr>
              <w:pStyle w:val="ad"/>
              <w:numPr>
                <w:ilvl w:val="0"/>
                <w:numId w:val="3"/>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Конкурентоспособность выпускаемой продукции;</w:t>
            </w:r>
          </w:p>
          <w:p w14:paraId="53695B56" w14:textId="77777777" w:rsidR="00910F4C" w:rsidRDefault="009D47C4">
            <w:pPr>
              <w:pStyle w:val="ad"/>
              <w:numPr>
                <w:ilvl w:val="0"/>
                <w:numId w:val="3"/>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Возрастная структура используемого оборудования.</w:t>
            </w:r>
          </w:p>
        </w:tc>
      </w:tr>
      <w:tr w:rsidR="00910F4C" w14:paraId="16608635" w14:textId="77777777">
        <w:tc>
          <w:tcPr>
            <w:tcW w:w="3114" w:type="dxa"/>
            <w:vAlign w:val="center"/>
          </w:tcPr>
          <w:p w14:paraId="727B7AFC"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Финансово-экономические</w:t>
            </w:r>
          </w:p>
        </w:tc>
        <w:tc>
          <w:tcPr>
            <w:tcW w:w="6231" w:type="dxa"/>
          </w:tcPr>
          <w:p w14:paraId="062A0DD0" w14:textId="77777777" w:rsidR="00910F4C" w:rsidRDefault="009D47C4">
            <w:pPr>
              <w:spacing w:after="0" w:line="276" w:lineRule="auto"/>
              <w:jc w:val="both"/>
              <w:rPr>
                <w:rFonts w:ascii="Times New Roman" w:hAnsi="Times New Roman" w:cs="Times New Roman"/>
                <w:szCs w:val="24"/>
              </w:rPr>
            </w:pPr>
            <w:r>
              <w:rPr>
                <w:rFonts w:ascii="Times New Roman" w:hAnsi="Times New Roman" w:cs="Times New Roman"/>
                <w:szCs w:val="24"/>
              </w:rPr>
              <w:t>Показатели ликвидности, рентабельности, деловой активности финансовой устойчивости, платежеспособности.</w:t>
            </w:r>
          </w:p>
        </w:tc>
      </w:tr>
      <w:tr w:rsidR="00910F4C" w14:paraId="5EB43C55" w14:textId="77777777">
        <w:tc>
          <w:tcPr>
            <w:tcW w:w="3114" w:type="dxa"/>
            <w:vAlign w:val="center"/>
          </w:tcPr>
          <w:p w14:paraId="10096816"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Социальные</w:t>
            </w:r>
          </w:p>
        </w:tc>
        <w:tc>
          <w:tcPr>
            <w:tcW w:w="6231" w:type="dxa"/>
          </w:tcPr>
          <w:p w14:paraId="53EADCBF" w14:textId="77777777" w:rsidR="00910F4C" w:rsidRDefault="009D47C4">
            <w:pPr>
              <w:pStyle w:val="ad"/>
              <w:numPr>
                <w:ilvl w:val="0"/>
                <w:numId w:val="4"/>
              </w:numPr>
              <w:spacing w:after="0" w:line="276" w:lineRule="auto"/>
              <w:ind w:left="318" w:hanging="283"/>
              <w:jc w:val="both"/>
              <w:rPr>
                <w:rFonts w:ascii="Times New Roman" w:hAnsi="Times New Roman" w:cs="Times New Roman"/>
                <w:szCs w:val="24"/>
                <w:lang w:val="en-US"/>
              </w:rPr>
            </w:pPr>
            <w:r>
              <w:rPr>
                <w:rFonts w:ascii="Times New Roman" w:hAnsi="Times New Roman" w:cs="Times New Roman"/>
                <w:szCs w:val="24"/>
              </w:rPr>
              <w:t>Уровень оплаты труда;</w:t>
            </w:r>
          </w:p>
          <w:p w14:paraId="74237389" w14:textId="77777777" w:rsidR="00910F4C" w:rsidRDefault="009D47C4">
            <w:pPr>
              <w:pStyle w:val="ad"/>
              <w:numPr>
                <w:ilvl w:val="0"/>
                <w:numId w:val="4"/>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Уровень задолженности по заработной плате;</w:t>
            </w:r>
          </w:p>
          <w:p w14:paraId="0F143B0B" w14:textId="77777777" w:rsidR="00910F4C" w:rsidRDefault="009D47C4">
            <w:pPr>
              <w:pStyle w:val="ad"/>
              <w:numPr>
                <w:ilvl w:val="0"/>
                <w:numId w:val="4"/>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Потери рабочего времени;</w:t>
            </w:r>
          </w:p>
          <w:p w14:paraId="1629DA9B" w14:textId="77777777" w:rsidR="00910F4C" w:rsidRDefault="009D47C4">
            <w:pPr>
              <w:pStyle w:val="ad"/>
              <w:numPr>
                <w:ilvl w:val="0"/>
                <w:numId w:val="4"/>
              </w:numPr>
              <w:spacing w:after="0" w:line="276" w:lineRule="auto"/>
              <w:ind w:left="318" w:hanging="283"/>
              <w:jc w:val="both"/>
              <w:rPr>
                <w:rFonts w:ascii="Times New Roman" w:hAnsi="Times New Roman" w:cs="Times New Roman"/>
                <w:szCs w:val="24"/>
              </w:rPr>
            </w:pPr>
            <w:r>
              <w:rPr>
                <w:rFonts w:ascii="Times New Roman" w:hAnsi="Times New Roman" w:cs="Times New Roman"/>
                <w:szCs w:val="24"/>
              </w:rPr>
              <w:t>Возрастная и квалификационная структура кадров.</w:t>
            </w:r>
          </w:p>
        </w:tc>
      </w:tr>
    </w:tbl>
    <w:p w14:paraId="437B626B"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Такой подход позволяет не только оценить текущее состояние экономической безопасности, но и спрогнозировать потенциальные риски и угрозы, что необходимо для эффективного стратегического планирования и управления. Представленные в таблице 3 показатели могут иметь стабильный, предкризисный, кризисный и критический уровень. </w:t>
      </w:r>
    </w:p>
    <w:p w14:paraId="6F7B7F08"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Эффективное наблюдение и анализ помогают организации адаптироваться к изменениям во внешней среде, происходящим на рынке, минимизируя риски и позволяя принимать обоснованные управленческие </w:t>
      </w:r>
      <w:r>
        <w:rPr>
          <w:rFonts w:ascii="Times New Roman" w:hAnsi="Times New Roman" w:cs="Times New Roman"/>
          <w:sz w:val="28"/>
          <w:szCs w:val="28"/>
        </w:rPr>
        <w:lastRenderedPageBreak/>
        <w:t>решения. В этом процессе используются различные количественные показатели, которые отражают разные аспекты деятельности предприятия и служат основой для планирования, учета и анализа.</w:t>
      </w:r>
    </w:p>
    <w:p w14:paraId="6FC53FC7"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Далее рассмотрим основные </w:t>
      </w:r>
      <w:proofErr w:type="spellStart"/>
      <w:r>
        <w:rPr>
          <w:rFonts w:ascii="Times New Roman" w:hAnsi="Times New Roman" w:cs="Times New Roman"/>
          <w:sz w:val="28"/>
          <w:szCs w:val="28"/>
        </w:rPr>
        <w:t>основные</w:t>
      </w:r>
      <w:proofErr w:type="spellEnd"/>
      <w:r>
        <w:rPr>
          <w:rFonts w:ascii="Times New Roman" w:hAnsi="Times New Roman" w:cs="Times New Roman"/>
          <w:sz w:val="28"/>
          <w:szCs w:val="28"/>
        </w:rPr>
        <w:t xml:space="preserve"> показатели эффективности деятельности предприятия в рамках интегрального метода, приведенные в таблице 4.</w:t>
      </w:r>
    </w:p>
    <w:p w14:paraId="7D2CA874"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Таблица 4 – Основные показатели эффективности деятельности предприятия в рамках интегрального метода (составлено автором на основе [13]).</w:t>
      </w:r>
    </w:p>
    <w:tbl>
      <w:tblPr>
        <w:tblStyle w:val="ac"/>
        <w:tblW w:w="0" w:type="auto"/>
        <w:tblLook w:val="04A0" w:firstRow="1" w:lastRow="0" w:firstColumn="1" w:lastColumn="0" w:noHBand="0" w:noVBand="1"/>
      </w:tblPr>
      <w:tblGrid>
        <w:gridCol w:w="2547"/>
        <w:gridCol w:w="3260"/>
        <w:gridCol w:w="3538"/>
      </w:tblGrid>
      <w:tr w:rsidR="00910F4C" w14:paraId="167AEC46" w14:textId="77777777">
        <w:tc>
          <w:tcPr>
            <w:tcW w:w="2547" w:type="dxa"/>
            <w:vAlign w:val="center"/>
          </w:tcPr>
          <w:p w14:paraId="35477163"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Группа</w:t>
            </w:r>
          </w:p>
        </w:tc>
        <w:tc>
          <w:tcPr>
            <w:tcW w:w="3260" w:type="dxa"/>
            <w:vAlign w:val="center"/>
          </w:tcPr>
          <w:p w14:paraId="10D5B790"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Показатель</w:t>
            </w:r>
          </w:p>
        </w:tc>
        <w:tc>
          <w:tcPr>
            <w:tcW w:w="3538" w:type="dxa"/>
            <w:vAlign w:val="center"/>
          </w:tcPr>
          <w:p w14:paraId="71EFC58F"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Сущность</w:t>
            </w:r>
          </w:p>
        </w:tc>
      </w:tr>
      <w:tr w:rsidR="00910F4C" w14:paraId="14BF9DC2" w14:textId="77777777">
        <w:tc>
          <w:tcPr>
            <w:tcW w:w="2547" w:type="dxa"/>
            <w:vMerge w:val="restart"/>
            <w:vAlign w:val="center"/>
          </w:tcPr>
          <w:p w14:paraId="04C6ED82"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Общий уровень ЭБ</w:t>
            </w:r>
          </w:p>
        </w:tc>
        <w:tc>
          <w:tcPr>
            <w:tcW w:w="3260" w:type="dxa"/>
            <w:vAlign w:val="center"/>
          </w:tcPr>
          <w:p w14:paraId="5E9250EB" w14:textId="77777777" w:rsidR="00910F4C" w:rsidRDefault="009D47C4">
            <w:pPr>
              <w:spacing w:after="0" w:line="276" w:lineRule="auto"/>
              <w:jc w:val="center"/>
              <w:rPr>
                <w:rFonts w:ascii="Times New Roman" w:hAnsi="Times New Roman" w:cs="Times New Roman"/>
                <w:szCs w:val="24"/>
              </w:rPr>
            </w:pPr>
            <w:r>
              <w:rPr>
                <w:rFonts w:ascii="Times New Roman" w:hAnsi="Times New Roman" w:cs="Times New Roman"/>
                <w:szCs w:val="24"/>
              </w:rPr>
              <w:t>Коэффициент автономии и обеспеченности собственными средствами</w:t>
            </w:r>
          </w:p>
        </w:tc>
        <w:tc>
          <w:tcPr>
            <w:tcW w:w="3538" w:type="dxa"/>
            <w:vAlign w:val="center"/>
          </w:tcPr>
          <w:p w14:paraId="2E372628"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Отражают уровень финансовой независимости и стабильности предприятия</w:t>
            </w:r>
          </w:p>
        </w:tc>
      </w:tr>
      <w:tr w:rsidR="00910F4C" w14:paraId="15DA9BD3" w14:textId="77777777">
        <w:tc>
          <w:tcPr>
            <w:tcW w:w="2547" w:type="dxa"/>
            <w:vMerge/>
            <w:vAlign w:val="center"/>
          </w:tcPr>
          <w:p w14:paraId="1613CB0F" w14:textId="77777777" w:rsidR="00910F4C" w:rsidRDefault="00910F4C">
            <w:pPr>
              <w:pStyle w:val="ad"/>
              <w:spacing w:after="0" w:line="276" w:lineRule="auto"/>
              <w:ind w:left="0"/>
              <w:jc w:val="center"/>
              <w:rPr>
                <w:rFonts w:ascii="Times New Roman" w:hAnsi="Times New Roman" w:cs="Times New Roman"/>
                <w:szCs w:val="24"/>
              </w:rPr>
            </w:pPr>
          </w:p>
        </w:tc>
        <w:tc>
          <w:tcPr>
            <w:tcW w:w="3260" w:type="dxa"/>
            <w:vAlign w:val="center"/>
          </w:tcPr>
          <w:p w14:paraId="1061BF0A" w14:textId="77777777" w:rsidR="00910F4C" w:rsidRDefault="009D47C4">
            <w:pPr>
              <w:spacing w:after="0" w:line="276" w:lineRule="auto"/>
              <w:jc w:val="center"/>
              <w:rPr>
                <w:rFonts w:ascii="Times New Roman" w:hAnsi="Times New Roman" w:cs="Times New Roman"/>
                <w:szCs w:val="24"/>
              </w:rPr>
            </w:pPr>
            <w:r>
              <w:rPr>
                <w:rFonts w:ascii="Times New Roman" w:hAnsi="Times New Roman" w:cs="Times New Roman"/>
                <w:szCs w:val="24"/>
              </w:rPr>
              <w:t>Коэффициенты абсолютной и текущей ликвидности</w:t>
            </w:r>
          </w:p>
        </w:tc>
        <w:tc>
          <w:tcPr>
            <w:tcW w:w="3538" w:type="dxa"/>
            <w:vAlign w:val="center"/>
          </w:tcPr>
          <w:p w14:paraId="10EAAC24" w14:textId="77777777" w:rsidR="00910F4C" w:rsidRDefault="009D47C4">
            <w:pPr>
              <w:spacing w:after="0" w:line="276" w:lineRule="auto"/>
              <w:jc w:val="center"/>
              <w:rPr>
                <w:rFonts w:ascii="Times New Roman" w:hAnsi="Times New Roman" w:cs="Times New Roman"/>
                <w:szCs w:val="24"/>
              </w:rPr>
            </w:pPr>
            <w:r>
              <w:rPr>
                <w:rFonts w:ascii="Times New Roman" w:hAnsi="Times New Roman" w:cs="Times New Roman"/>
                <w:szCs w:val="24"/>
              </w:rPr>
              <w:t>Определяют способность предприятия своевременно рассчитываться по своим краткосрочным обязательствам</w:t>
            </w:r>
          </w:p>
        </w:tc>
      </w:tr>
      <w:tr w:rsidR="00910F4C" w14:paraId="1544132A" w14:textId="77777777">
        <w:tc>
          <w:tcPr>
            <w:tcW w:w="2547" w:type="dxa"/>
            <w:vMerge/>
            <w:vAlign w:val="center"/>
          </w:tcPr>
          <w:p w14:paraId="7E98B0B6" w14:textId="77777777" w:rsidR="00910F4C" w:rsidRDefault="00910F4C">
            <w:pPr>
              <w:pStyle w:val="ad"/>
              <w:spacing w:after="0" w:line="276" w:lineRule="auto"/>
              <w:ind w:left="0"/>
              <w:jc w:val="center"/>
              <w:rPr>
                <w:rFonts w:ascii="Times New Roman" w:hAnsi="Times New Roman" w:cs="Times New Roman"/>
                <w:szCs w:val="24"/>
              </w:rPr>
            </w:pPr>
          </w:p>
        </w:tc>
        <w:tc>
          <w:tcPr>
            <w:tcW w:w="3260" w:type="dxa"/>
            <w:vAlign w:val="center"/>
          </w:tcPr>
          <w:p w14:paraId="42C025C3"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Пятифакторная модель Э. Альтмана</w:t>
            </w:r>
          </w:p>
        </w:tc>
        <w:tc>
          <w:tcPr>
            <w:tcW w:w="3538" w:type="dxa"/>
            <w:vAlign w:val="center"/>
          </w:tcPr>
          <w:p w14:paraId="60757631"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Предназначена для прогнозирования вероятности банкротства</w:t>
            </w:r>
          </w:p>
        </w:tc>
      </w:tr>
      <w:tr w:rsidR="00910F4C" w14:paraId="3D3799EF" w14:textId="77777777">
        <w:tc>
          <w:tcPr>
            <w:tcW w:w="2547" w:type="dxa"/>
            <w:vMerge w:val="restart"/>
            <w:vAlign w:val="center"/>
          </w:tcPr>
          <w:p w14:paraId="6F9FF22B"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Анализ производственного потенциала</w:t>
            </w:r>
          </w:p>
        </w:tc>
        <w:tc>
          <w:tcPr>
            <w:tcW w:w="3260" w:type="dxa"/>
            <w:vAlign w:val="center"/>
          </w:tcPr>
          <w:p w14:paraId="661A5980"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Рентабельность продаж и рентабельность активов</w:t>
            </w:r>
          </w:p>
        </w:tc>
        <w:tc>
          <w:tcPr>
            <w:tcW w:w="3538" w:type="dxa"/>
            <w:vAlign w:val="center"/>
          </w:tcPr>
          <w:p w14:paraId="1BE86356"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Отражают эффективность деятельности предприятия</w:t>
            </w:r>
          </w:p>
        </w:tc>
      </w:tr>
      <w:tr w:rsidR="00910F4C" w14:paraId="001D2B24" w14:textId="77777777">
        <w:tc>
          <w:tcPr>
            <w:tcW w:w="2547" w:type="dxa"/>
            <w:vMerge/>
            <w:vAlign w:val="center"/>
          </w:tcPr>
          <w:p w14:paraId="19192870" w14:textId="77777777" w:rsidR="00910F4C" w:rsidRDefault="00910F4C">
            <w:pPr>
              <w:pStyle w:val="ad"/>
              <w:spacing w:after="0" w:line="276" w:lineRule="auto"/>
              <w:ind w:left="0"/>
              <w:jc w:val="center"/>
              <w:rPr>
                <w:rFonts w:ascii="Times New Roman" w:hAnsi="Times New Roman" w:cs="Times New Roman"/>
                <w:szCs w:val="24"/>
              </w:rPr>
            </w:pPr>
          </w:p>
        </w:tc>
        <w:tc>
          <w:tcPr>
            <w:tcW w:w="3260" w:type="dxa"/>
            <w:vAlign w:val="center"/>
          </w:tcPr>
          <w:p w14:paraId="75311685"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Коэффициент оборачиваемости оборотных активов</w:t>
            </w:r>
          </w:p>
        </w:tc>
        <w:tc>
          <w:tcPr>
            <w:tcW w:w="3538" w:type="dxa"/>
            <w:vAlign w:val="center"/>
          </w:tcPr>
          <w:p w14:paraId="7739D13E"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Указывает на эффективность использования оборотных средств</w:t>
            </w:r>
          </w:p>
        </w:tc>
      </w:tr>
      <w:tr w:rsidR="00910F4C" w14:paraId="69C184EE" w14:textId="77777777">
        <w:tc>
          <w:tcPr>
            <w:tcW w:w="2547" w:type="dxa"/>
            <w:vMerge/>
            <w:vAlign w:val="center"/>
          </w:tcPr>
          <w:p w14:paraId="7A0CC20A" w14:textId="77777777" w:rsidR="00910F4C" w:rsidRDefault="00910F4C">
            <w:pPr>
              <w:pStyle w:val="ad"/>
              <w:spacing w:after="0" w:line="276" w:lineRule="auto"/>
              <w:ind w:left="0"/>
              <w:jc w:val="center"/>
              <w:rPr>
                <w:rFonts w:ascii="Times New Roman" w:hAnsi="Times New Roman" w:cs="Times New Roman"/>
                <w:szCs w:val="24"/>
              </w:rPr>
            </w:pPr>
          </w:p>
        </w:tc>
        <w:tc>
          <w:tcPr>
            <w:tcW w:w="3260" w:type="dxa"/>
            <w:vAlign w:val="center"/>
          </w:tcPr>
          <w:p w14:paraId="567D0227"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Коэффициент соотношения дебиторской и кредиторской задолженности</w:t>
            </w:r>
          </w:p>
        </w:tc>
        <w:tc>
          <w:tcPr>
            <w:tcW w:w="3538" w:type="dxa"/>
            <w:vAlign w:val="center"/>
          </w:tcPr>
          <w:p w14:paraId="14C87873"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Показывает степень рационального использования средств</w:t>
            </w:r>
          </w:p>
        </w:tc>
      </w:tr>
      <w:tr w:rsidR="00910F4C" w14:paraId="27E4CD54" w14:textId="77777777">
        <w:tc>
          <w:tcPr>
            <w:tcW w:w="2547" w:type="dxa"/>
            <w:vMerge w:val="restart"/>
            <w:vAlign w:val="center"/>
          </w:tcPr>
          <w:p w14:paraId="40157E4B"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Эффективность использования основных средств</w:t>
            </w:r>
          </w:p>
        </w:tc>
        <w:tc>
          <w:tcPr>
            <w:tcW w:w="3260" w:type="dxa"/>
            <w:vAlign w:val="center"/>
          </w:tcPr>
          <w:p w14:paraId="139AE94D"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Коэффициент фондоотдачи</w:t>
            </w:r>
          </w:p>
        </w:tc>
        <w:tc>
          <w:tcPr>
            <w:tcW w:w="3538" w:type="dxa"/>
            <w:vAlign w:val="center"/>
          </w:tcPr>
          <w:p w14:paraId="38F4F196"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Измеряет выход продукции относительно стоимости основных фондов</w:t>
            </w:r>
          </w:p>
        </w:tc>
      </w:tr>
      <w:tr w:rsidR="00910F4C" w14:paraId="2C38D892" w14:textId="77777777">
        <w:tc>
          <w:tcPr>
            <w:tcW w:w="2547" w:type="dxa"/>
            <w:vMerge/>
            <w:vAlign w:val="center"/>
          </w:tcPr>
          <w:p w14:paraId="0FA5CE16" w14:textId="77777777" w:rsidR="00910F4C" w:rsidRDefault="00910F4C">
            <w:pPr>
              <w:pStyle w:val="ad"/>
              <w:spacing w:after="0" w:line="276" w:lineRule="auto"/>
              <w:ind w:left="0"/>
              <w:jc w:val="center"/>
              <w:rPr>
                <w:rFonts w:ascii="Times New Roman" w:hAnsi="Times New Roman" w:cs="Times New Roman"/>
                <w:szCs w:val="24"/>
              </w:rPr>
            </w:pPr>
          </w:p>
        </w:tc>
        <w:tc>
          <w:tcPr>
            <w:tcW w:w="3260" w:type="dxa"/>
            <w:vAlign w:val="center"/>
          </w:tcPr>
          <w:p w14:paraId="66DFC8CE"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Коэффициент годности и обновления основных средств</w:t>
            </w:r>
          </w:p>
        </w:tc>
        <w:tc>
          <w:tcPr>
            <w:tcW w:w="3538" w:type="dxa"/>
            <w:vAlign w:val="center"/>
          </w:tcPr>
          <w:p w14:paraId="3227641F"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Поддержание технологической конкурентоспособности</w:t>
            </w:r>
          </w:p>
        </w:tc>
      </w:tr>
      <w:tr w:rsidR="00910F4C" w14:paraId="5BC586EF" w14:textId="77777777">
        <w:tc>
          <w:tcPr>
            <w:tcW w:w="2547" w:type="dxa"/>
            <w:vMerge w:val="restart"/>
            <w:vAlign w:val="center"/>
          </w:tcPr>
          <w:p w14:paraId="1BD934AE"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Оценка кадрового потенциала</w:t>
            </w:r>
          </w:p>
        </w:tc>
        <w:tc>
          <w:tcPr>
            <w:tcW w:w="3260" w:type="dxa"/>
            <w:vAlign w:val="center"/>
          </w:tcPr>
          <w:p w14:paraId="76C6B04E"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Коэффициент уровня заработной платы сотрудников</w:t>
            </w:r>
          </w:p>
        </w:tc>
        <w:tc>
          <w:tcPr>
            <w:tcW w:w="3538" w:type="dxa"/>
            <w:vAlign w:val="center"/>
          </w:tcPr>
          <w:p w14:paraId="3F6689E9"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Отражает благосостояние и мотивацию персонала</w:t>
            </w:r>
          </w:p>
        </w:tc>
      </w:tr>
      <w:tr w:rsidR="00910F4C" w14:paraId="330DD663" w14:textId="77777777">
        <w:tc>
          <w:tcPr>
            <w:tcW w:w="2547" w:type="dxa"/>
            <w:vMerge/>
          </w:tcPr>
          <w:p w14:paraId="43D6701E" w14:textId="77777777" w:rsidR="00910F4C" w:rsidRDefault="00910F4C">
            <w:pPr>
              <w:pStyle w:val="ad"/>
              <w:spacing w:after="0" w:line="276" w:lineRule="auto"/>
              <w:ind w:left="0"/>
              <w:jc w:val="both"/>
              <w:rPr>
                <w:rFonts w:ascii="Times New Roman" w:hAnsi="Times New Roman" w:cs="Times New Roman"/>
                <w:szCs w:val="24"/>
              </w:rPr>
            </w:pPr>
          </w:p>
        </w:tc>
        <w:tc>
          <w:tcPr>
            <w:tcW w:w="3260" w:type="dxa"/>
            <w:vAlign w:val="center"/>
          </w:tcPr>
          <w:p w14:paraId="1497FAF4"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Коэффициент стабильности кадров</w:t>
            </w:r>
          </w:p>
        </w:tc>
        <w:tc>
          <w:tcPr>
            <w:tcW w:w="3538" w:type="dxa"/>
            <w:vAlign w:val="center"/>
          </w:tcPr>
          <w:p w14:paraId="25832421"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Оценка текучести кадров и их влияния на производительность</w:t>
            </w:r>
          </w:p>
        </w:tc>
      </w:tr>
      <w:tr w:rsidR="00910F4C" w14:paraId="650C5648" w14:textId="77777777">
        <w:tc>
          <w:tcPr>
            <w:tcW w:w="2547" w:type="dxa"/>
            <w:vMerge/>
          </w:tcPr>
          <w:p w14:paraId="34E669FC" w14:textId="77777777" w:rsidR="00910F4C" w:rsidRDefault="00910F4C">
            <w:pPr>
              <w:pStyle w:val="ad"/>
              <w:spacing w:after="0" w:line="276" w:lineRule="auto"/>
              <w:ind w:left="0"/>
              <w:jc w:val="both"/>
              <w:rPr>
                <w:rFonts w:ascii="Times New Roman" w:hAnsi="Times New Roman" w:cs="Times New Roman"/>
                <w:szCs w:val="24"/>
              </w:rPr>
            </w:pPr>
          </w:p>
        </w:tc>
        <w:tc>
          <w:tcPr>
            <w:tcW w:w="3260" w:type="dxa"/>
            <w:vAlign w:val="center"/>
          </w:tcPr>
          <w:p w14:paraId="067CB01B"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Коэффициент выработки продукции на одного человека</w:t>
            </w:r>
          </w:p>
        </w:tc>
        <w:tc>
          <w:tcPr>
            <w:tcW w:w="3538" w:type="dxa"/>
            <w:vAlign w:val="center"/>
          </w:tcPr>
          <w:p w14:paraId="787CC130" w14:textId="77777777" w:rsidR="00910F4C" w:rsidRDefault="009D47C4">
            <w:pPr>
              <w:pStyle w:val="ad"/>
              <w:spacing w:after="0" w:line="276" w:lineRule="auto"/>
              <w:ind w:left="0"/>
              <w:jc w:val="center"/>
              <w:rPr>
                <w:rFonts w:ascii="Times New Roman" w:hAnsi="Times New Roman" w:cs="Times New Roman"/>
                <w:szCs w:val="24"/>
              </w:rPr>
            </w:pPr>
            <w:r>
              <w:rPr>
                <w:rFonts w:ascii="Times New Roman" w:hAnsi="Times New Roman" w:cs="Times New Roman"/>
                <w:szCs w:val="24"/>
              </w:rPr>
              <w:t>Позволяет анализировать производительность труда</w:t>
            </w:r>
          </w:p>
        </w:tc>
      </w:tr>
    </w:tbl>
    <w:p w14:paraId="2556EE23"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Определение расчетных значений финансовых показателей предприятия осуществляется на основании критериев, установленных для каждого из них. Каждый показатель оценивается в баллах в зависимости от его соответствия заранее установленным стандартам или нормам. Общая сумма баллов по всем </w:t>
      </w:r>
      <w:r>
        <w:rPr>
          <w:rFonts w:ascii="Times New Roman" w:hAnsi="Times New Roman" w:cs="Times New Roman"/>
          <w:sz w:val="28"/>
          <w:szCs w:val="28"/>
        </w:rPr>
        <w:lastRenderedPageBreak/>
        <w:t>показателям формирует комплексную оценку финансового состояния компании. Это позволяет сделать выводы о текущем финансовом положении организации и ее способности выполнять обязательства. Процесс оценки в баллах способствует количественному анализу финансовых данных и упрощает сравнение как между различными организациями, так и в рамках одной компании за разные временные промежутки.</w:t>
      </w:r>
    </w:p>
    <w:p w14:paraId="12FA705C" w14:textId="77777777" w:rsidR="00910F4C" w:rsidRDefault="00910F4C">
      <w:pPr>
        <w:pStyle w:val="ad"/>
        <w:spacing w:line="360" w:lineRule="auto"/>
        <w:ind w:left="0" w:firstLine="567"/>
        <w:jc w:val="both"/>
        <w:rPr>
          <w:rFonts w:ascii="Times New Roman" w:hAnsi="Times New Roman" w:cs="Times New Roman"/>
          <w:sz w:val="28"/>
          <w:szCs w:val="28"/>
        </w:rPr>
      </w:pPr>
    </w:p>
    <w:p w14:paraId="2CB54361" w14:textId="77777777" w:rsidR="00910F4C" w:rsidRDefault="00910F4C">
      <w:pPr>
        <w:pStyle w:val="ad"/>
        <w:spacing w:line="360" w:lineRule="auto"/>
        <w:ind w:left="0" w:firstLine="567"/>
        <w:jc w:val="both"/>
        <w:rPr>
          <w:rFonts w:ascii="Times New Roman" w:hAnsi="Times New Roman" w:cs="Times New Roman"/>
          <w:sz w:val="28"/>
          <w:szCs w:val="28"/>
        </w:rPr>
      </w:pPr>
    </w:p>
    <w:p w14:paraId="40E69E6E" w14:textId="77777777" w:rsidR="00910F4C" w:rsidRDefault="00910F4C">
      <w:pPr>
        <w:pStyle w:val="ad"/>
        <w:spacing w:line="360" w:lineRule="auto"/>
        <w:ind w:left="0" w:firstLine="567"/>
        <w:jc w:val="both"/>
        <w:rPr>
          <w:rFonts w:ascii="Times New Roman" w:hAnsi="Times New Roman" w:cs="Times New Roman"/>
          <w:sz w:val="28"/>
          <w:szCs w:val="28"/>
        </w:rPr>
      </w:pPr>
    </w:p>
    <w:p w14:paraId="6A58B2A8" w14:textId="77777777" w:rsidR="00910F4C" w:rsidRDefault="00910F4C">
      <w:pPr>
        <w:pStyle w:val="ad"/>
        <w:spacing w:line="360" w:lineRule="auto"/>
        <w:ind w:left="0" w:firstLine="567"/>
        <w:jc w:val="both"/>
        <w:rPr>
          <w:rFonts w:ascii="Times New Roman" w:hAnsi="Times New Roman" w:cs="Times New Roman"/>
          <w:sz w:val="28"/>
          <w:szCs w:val="28"/>
        </w:rPr>
      </w:pPr>
    </w:p>
    <w:p w14:paraId="67CAC8EC" w14:textId="77777777" w:rsidR="00910F4C" w:rsidRDefault="00910F4C">
      <w:pPr>
        <w:pStyle w:val="ad"/>
        <w:spacing w:line="360" w:lineRule="auto"/>
        <w:ind w:left="0" w:firstLine="567"/>
        <w:jc w:val="both"/>
        <w:rPr>
          <w:rFonts w:ascii="Times New Roman" w:hAnsi="Times New Roman" w:cs="Times New Roman"/>
          <w:sz w:val="28"/>
          <w:szCs w:val="28"/>
        </w:rPr>
      </w:pPr>
    </w:p>
    <w:p w14:paraId="698AE32B" w14:textId="77777777" w:rsidR="00910F4C" w:rsidRDefault="00910F4C">
      <w:pPr>
        <w:pStyle w:val="ad"/>
        <w:spacing w:line="360" w:lineRule="auto"/>
        <w:ind w:left="0" w:firstLine="567"/>
        <w:jc w:val="both"/>
        <w:rPr>
          <w:rFonts w:ascii="Times New Roman" w:hAnsi="Times New Roman" w:cs="Times New Roman"/>
          <w:sz w:val="28"/>
          <w:szCs w:val="28"/>
        </w:rPr>
      </w:pPr>
    </w:p>
    <w:p w14:paraId="1039D5DF" w14:textId="77777777" w:rsidR="00910F4C" w:rsidRDefault="00910F4C">
      <w:pPr>
        <w:pStyle w:val="ad"/>
        <w:spacing w:line="360" w:lineRule="auto"/>
        <w:ind w:left="0" w:firstLine="567"/>
        <w:jc w:val="both"/>
        <w:rPr>
          <w:rFonts w:ascii="Times New Roman" w:hAnsi="Times New Roman" w:cs="Times New Roman"/>
          <w:sz w:val="28"/>
          <w:szCs w:val="28"/>
        </w:rPr>
      </w:pPr>
    </w:p>
    <w:p w14:paraId="15CE790C" w14:textId="77777777" w:rsidR="00910F4C" w:rsidRDefault="00910F4C">
      <w:pPr>
        <w:pStyle w:val="ad"/>
        <w:spacing w:line="360" w:lineRule="auto"/>
        <w:ind w:left="0" w:firstLine="567"/>
        <w:jc w:val="both"/>
        <w:rPr>
          <w:rFonts w:ascii="Times New Roman" w:hAnsi="Times New Roman" w:cs="Times New Roman"/>
          <w:sz w:val="28"/>
          <w:szCs w:val="28"/>
        </w:rPr>
      </w:pPr>
    </w:p>
    <w:p w14:paraId="2D067B35" w14:textId="77777777" w:rsidR="00910F4C" w:rsidRDefault="00910F4C">
      <w:pPr>
        <w:pStyle w:val="ad"/>
        <w:spacing w:line="360" w:lineRule="auto"/>
        <w:ind w:left="0" w:firstLine="567"/>
        <w:jc w:val="both"/>
        <w:rPr>
          <w:rFonts w:ascii="Times New Roman" w:hAnsi="Times New Roman" w:cs="Times New Roman"/>
          <w:sz w:val="28"/>
          <w:szCs w:val="28"/>
        </w:rPr>
      </w:pPr>
    </w:p>
    <w:p w14:paraId="6CB15C6B" w14:textId="77777777" w:rsidR="00910F4C" w:rsidRDefault="00910F4C">
      <w:pPr>
        <w:pStyle w:val="ad"/>
        <w:spacing w:line="360" w:lineRule="auto"/>
        <w:ind w:left="0" w:firstLine="567"/>
        <w:jc w:val="both"/>
        <w:rPr>
          <w:rFonts w:ascii="Times New Roman" w:hAnsi="Times New Roman" w:cs="Times New Roman"/>
          <w:sz w:val="28"/>
          <w:szCs w:val="28"/>
        </w:rPr>
      </w:pPr>
    </w:p>
    <w:p w14:paraId="6B336F9A" w14:textId="77777777" w:rsidR="00910F4C" w:rsidRDefault="00910F4C">
      <w:pPr>
        <w:pStyle w:val="ad"/>
        <w:spacing w:line="360" w:lineRule="auto"/>
        <w:ind w:left="0" w:firstLine="567"/>
        <w:jc w:val="both"/>
        <w:rPr>
          <w:rFonts w:ascii="Times New Roman" w:hAnsi="Times New Roman" w:cs="Times New Roman"/>
          <w:sz w:val="28"/>
          <w:szCs w:val="28"/>
        </w:rPr>
      </w:pPr>
    </w:p>
    <w:p w14:paraId="2F4D552B" w14:textId="77777777" w:rsidR="00910F4C" w:rsidRDefault="00910F4C">
      <w:pPr>
        <w:pStyle w:val="ad"/>
        <w:spacing w:line="360" w:lineRule="auto"/>
        <w:ind w:left="0" w:firstLine="567"/>
        <w:jc w:val="both"/>
        <w:rPr>
          <w:rFonts w:ascii="Times New Roman" w:hAnsi="Times New Roman" w:cs="Times New Roman"/>
          <w:sz w:val="28"/>
          <w:szCs w:val="28"/>
        </w:rPr>
      </w:pPr>
    </w:p>
    <w:p w14:paraId="44C90D97" w14:textId="77777777" w:rsidR="00910F4C" w:rsidRDefault="00910F4C">
      <w:pPr>
        <w:pStyle w:val="ad"/>
        <w:spacing w:line="360" w:lineRule="auto"/>
        <w:ind w:left="0" w:firstLine="567"/>
        <w:jc w:val="both"/>
        <w:rPr>
          <w:rFonts w:ascii="Times New Roman" w:hAnsi="Times New Roman" w:cs="Times New Roman"/>
          <w:sz w:val="28"/>
          <w:szCs w:val="28"/>
        </w:rPr>
      </w:pPr>
    </w:p>
    <w:p w14:paraId="701B31D2" w14:textId="77777777" w:rsidR="00910F4C" w:rsidRDefault="00910F4C">
      <w:pPr>
        <w:pStyle w:val="ad"/>
        <w:spacing w:line="360" w:lineRule="auto"/>
        <w:ind w:left="0" w:firstLine="567"/>
        <w:jc w:val="both"/>
        <w:rPr>
          <w:rFonts w:ascii="Times New Roman" w:hAnsi="Times New Roman" w:cs="Times New Roman"/>
          <w:sz w:val="28"/>
          <w:szCs w:val="28"/>
        </w:rPr>
      </w:pPr>
    </w:p>
    <w:p w14:paraId="5E532891" w14:textId="77777777" w:rsidR="00910F4C" w:rsidRDefault="00910F4C">
      <w:pPr>
        <w:pStyle w:val="ad"/>
        <w:spacing w:line="360" w:lineRule="auto"/>
        <w:ind w:left="0" w:firstLine="567"/>
        <w:jc w:val="both"/>
        <w:rPr>
          <w:rFonts w:ascii="Times New Roman" w:hAnsi="Times New Roman" w:cs="Times New Roman"/>
          <w:sz w:val="28"/>
          <w:szCs w:val="28"/>
        </w:rPr>
      </w:pPr>
    </w:p>
    <w:p w14:paraId="37483671" w14:textId="77777777" w:rsidR="00910F4C" w:rsidRDefault="00910F4C">
      <w:pPr>
        <w:pStyle w:val="ad"/>
        <w:spacing w:line="360" w:lineRule="auto"/>
        <w:ind w:left="0" w:firstLine="567"/>
        <w:jc w:val="both"/>
        <w:rPr>
          <w:rFonts w:ascii="Times New Roman" w:hAnsi="Times New Roman" w:cs="Times New Roman"/>
          <w:sz w:val="28"/>
          <w:szCs w:val="28"/>
        </w:rPr>
      </w:pPr>
    </w:p>
    <w:p w14:paraId="685D58E0" w14:textId="77777777" w:rsidR="00910F4C" w:rsidRDefault="00910F4C">
      <w:pPr>
        <w:pStyle w:val="ad"/>
        <w:spacing w:line="360" w:lineRule="auto"/>
        <w:ind w:left="0" w:firstLine="567"/>
        <w:jc w:val="both"/>
        <w:rPr>
          <w:rFonts w:ascii="Times New Roman" w:hAnsi="Times New Roman" w:cs="Times New Roman"/>
          <w:sz w:val="28"/>
          <w:szCs w:val="28"/>
        </w:rPr>
      </w:pPr>
    </w:p>
    <w:p w14:paraId="602782AF" w14:textId="421A724E" w:rsidR="00910F4C" w:rsidRDefault="00910F4C">
      <w:pPr>
        <w:pStyle w:val="ad"/>
        <w:spacing w:line="360" w:lineRule="auto"/>
        <w:ind w:left="0" w:firstLine="567"/>
        <w:jc w:val="both"/>
        <w:rPr>
          <w:rFonts w:ascii="Times New Roman" w:hAnsi="Times New Roman" w:cs="Times New Roman"/>
          <w:sz w:val="28"/>
          <w:szCs w:val="28"/>
        </w:rPr>
      </w:pPr>
    </w:p>
    <w:p w14:paraId="0B9FF60D" w14:textId="12AF10CA" w:rsidR="009D47C4" w:rsidRDefault="009D47C4">
      <w:pPr>
        <w:pStyle w:val="ad"/>
        <w:spacing w:line="360" w:lineRule="auto"/>
        <w:ind w:left="0" w:firstLine="567"/>
        <w:jc w:val="both"/>
        <w:rPr>
          <w:rFonts w:ascii="Times New Roman" w:hAnsi="Times New Roman" w:cs="Times New Roman"/>
          <w:sz w:val="28"/>
          <w:szCs w:val="28"/>
        </w:rPr>
      </w:pPr>
    </w:p>
    <w:p w14:paraId="6123D479" w14:textId="369AFD8D" w:rsidR="009D47C4" w:rsidRDefault="009D47C4">
      <w:pPr>
        <w:pStyle w:val="ad"/>
        <w:spacing w:line="360" w:lineRule="auto"/>
        <w:ind w:left="0" w:firstLine="567"/>
        <w:jc w:val="both"/>
        <w:rPr>
          <w:rFonts w:ascii="Times New Roman" w:hAnsi="Times New Roman" w:cs="Times New Roman"/>
          <w:sz w:val="28"/>
          <w:szCs w:val="28"/>
        </w:rPr>
      </w:pPr>
    </w:p>
    <w:p w14:paraId="72FDCAA9" w14:textId="0D549754" w:rsidR="009D47C4" w:rsidRDefault="009D47C4">
      <w:pPr>
        <w:pStyle w:val="ad"/>
        <w:spacing w:line="360" w:lineRule="auto"/>
        <w:ind w:left="0" w:firstLine="567"/>
        <w:jc w:val="both"/>
        <w:rPr>
          <w:rFonts w:ascii="Times New Roman" w:hAnsi="Times New Roman" w:cs="Times New Roman"/>
          <w:sz w:val="28"/>
          <w:szCs w:val="28"/>
        </w:rPr>
      </w:pPr>
    </w:p>
    <w:p w14:paraId="013E3495" w14:textId="77777777" w:rsidR="009D47C4" w:rsidRDefault="009D47C4">
      <w:pPr>
        <w:pStyle w:val="ad"/>
        <w:spacing w:line="360" w:lineRule="auto"/>
        <w:ind w:left="0" w:firstLine="567"/>
        <w:jc w:val="both"/>
        <w:rPr>
          <w:rFonts w:ascii="Times New Roman" w:hAnsi="Times New Roman" w:cs="Times New Roman"/>
          <w:sz w:val="28"/>
          <w:szCs w:val="28"/>
        </w:rPr>
      </w:pPr>
    </w:p>
    <w:p w14:paraId="66CD5055" w14:textId="77777777" w:rsidR="00910F4C" w:rsidRDefault="00910F4C">
      <w:pPr>
        <w:pStyle w:val="ad"/>
        <w:spacing w:line="360" w:lineRule="auto"/>
        <w:ind w:left="0" w:firstLine="567"/>
        <w:jc w:val="both"/>
        <w:rPr>
          <w:rFonts w:ascii="Times New Roman" w:hAnsi="Times New Roman" w:cs="Times New Roman"/>
          <w:sz w:val="28"/>
          <w:szCs w:val="28"/>
        </w:rPr>
      </w:pPr>
    </w:p>
    <w:p w14:paraId="6D8FC822" w14:textId="04DE61F8" w:rsidR="00910F4C" w:rsidRPr="00DD0CEE" w:rsidRDefault="009D47C4" w:rsidP="009D47C4">
      <w:pPr>
        <w:pStyle w:val="ad"/>
        <w:spacing w:before="240" w:after="240" w:line="360" w:lineRule="auto"/>
        <w:ind w:left="0" w:firstLine="709"/>
        <w:jc w:val="both"/>
        <w:rPr>
          <w:rFonts w:ascii="Times New Roman" w:hAnsi="Times New Roman" w:cs="Times New Roman"/>
          <w:b/>
          <w:bCs/>
          <w:sz w:val="28"/>
          <w:szCs w:val="28"/>
        </w:rPr>
      </w:pPr>
      <w:r w:rsidRPr="00DD0CEE">
        <w:rPr>
          <w:rFonts w:ascii="Times New Roman" w:hAnsi="Times New Roman" w:cs="Times New Roman"/>
          <w:b/>
          <w:bCs/>
          <w:sz w:val="28"/>
          <w:szCs w:val="28"/>
        </w:rPr>
        <w:lastRenderedPageBreak/>
        <w:t>2</w:t>
      </w:r>
      <w:r w:rsidRPr="00DD0CEE">
        <w:rPr>
          <w:rFonts w:ascii="Times New Roman" w:hAnsi="Times New Roman" w:cs="Times New Roman"/>
          <w:sz w:val="28"/>
          <w:szCs w:val="28"/>
        </w:rPr>
        <w:tab/>
      </w:r>
      <w:r w:rsidRPr="00DD0CEE">
        <w:rPr>
          <w:rFonts w:ascii="Times New Roman" w:hAnsi="Times New Roman" w:cs="Times New Roman"/>
          <w:b/>
          <w:bCs/>
          <w:sz w:val="28"/>
          <w:szCs w:val="28"/>
        </w:rPr>
        <w:t>Анализ и оценка уровня экономической безопасности российских винодельческих компаний: проблемы и противоречия</w:t>
      </w:r>
    </w:p>
    <w:p w14:paraId="62611446" w14:textId="77777777" w:rsidR="009D47C4" w:rsidRPr="00DD0CEE" w:rsidRDefault="009D47C4" w:rsidP="009D47C4">
      <w:pPr>
        <w:pStyle w:val="ad"/>
        <w:spacing w:before="240" w:after="240" w:line="360" w:lineRule="auto"/>
        <w:ind w:left="0" w:firstLine="709"/>
        <w:jc w:val="both"/>
        <w:rPr>
          <w:rFonts w:ascii="Times New Roman" w:hAnsi="Times New Roman" w:cs="Times New Roman"/>
          <w:b/>
          <w:bCs/>
          <w:sz w:val="28"/>
          <w:szCs w:val="28"/>
        </w:rPr>
      </w:pPr>
    </w:p>
    <w:p w14:paraId="3FFDB8D6" w14:textId="77777777" w:rsidR="00910F4C" w:rsidRDefault="009D47C4" w:rsidP="009D47C4">
      <w:pPr>
        <w:pStyle w:val="ad"/>
        <w:spacing w:before="240" w:after="240" w:line="360" w:lineRule="auto"/>
        <w:ind w:left="0" w:firstLine="709"/>
        <w:jc w:val="both"/>
        <w:rPr>
          <w:rFonts w:ascii="Times New Roman" w:hAnsi="Times New Roman" w:cs="Times New Roman"/>
          <w:b/>
          <w:bCs/>
          <w:sz w:val="28"/>
          <w:szCs w:val="28"/>
        </w:rPr>
      </w:pPr>
      <w:r w:rsidRPr="00DD0CEE">
        <w:rPr>
          <w:rFonts w:ascii="Times New Roman" w:hAnsi="Times New Roman" w:cs="Times New Roman"/>
          <w:b/>
          <w:bCs/>
          <w:sz w:val="28"/>
          <w:szCs w:val="28"/>
        </w:rPr>
        <w:t>2.1</w:t>
      </w:r>
      <w:r w:rsidRPr="00DD0CEE">
        <w:rPr>
          <w:rFonts w:ascii="Times New Roman" w:hAnsi="Times New Roman" w:cs="Times New Roman"/>
          <w:b/>
          <w:bCs/>
          <w:sz w:val="28"/>
          <w:szCs w:val="28"/>
        </w:rPr>
        <w:tab/>
        <w:t>Оценка современного состояния российских винодельческих компаний в условиях внешних вызовов и угроз</w:t>
      </w:r>
    </w:p>
    <w:p w14:paraId="03A8C695" w14:textId="77777777" w:rsidR="00910F4C" w:rsidRDefault="009D47C4">
      <w:pPr>
        <w:spacing w:after="0" w:line="36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В ходе анализа макроэкономической среды, в которой функционирует предприятие, был проведен анализ 5 основных показателей отрасли. </w:t>
      </w:r>
    </w:p>
    <w:p w14:paraId="7CD6F7A0" w14:textId="77777777" w:rsidR="00910F4C" w:rsidRDefault="009D47C4">
      <w:pPr>
        <w:pStyle w:val="ad"/>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657DB5" wp14:editId="59943C14">
            <wp:extent cx="5901055" cy="3496310"/>
            <wp:effectExtent l="0" t="0" r="4445" b="8890"/>
            <wp:docPr id="384253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207F6B" w14:textId="27CE433B" w:rsidR="009D47C4" w:rsidRPr="00DD0CEE" w:rsidRDefault="009D47C4" w:rsidP="009D47C4">
      <w:pPr>
        <w:pStyle w:val="ad"/>
        <w:spacing w:line="240" w:lineRule="auto"/>
        <w:ind w:left="0" w:firstLine="567"/>
        <w:jc w:val="center"/>
        <w:rPr>
          <w:rFonts w:ascii="Times New Roman" w:hAnsi="Times New Roman" w:cs="Times New Roman"/>
          <w:sz w:val="28"/>
          <w:szCs w:val="28"/>
        </w:rPr>
      </w:pPr>
      <w:r w:rsidRPr="00DD0CEE">
        <w:rPr>
          <w:rFonts w:ascii="Times New Roman" w:hAnsi="Times New Roman" w:cs="Times New Roman"/>
          <w:sz w:val="28"/>
          <w:szCs w:val="28"/>
        </w:rPr>
        <w:t>Рисунок 3 – Степень износа основных фондов в разрезе ОКФЭД2</w:t>
      </w:r>
    </w:p>
    <w:p w14:paraId="5DE6A97D" w14:textId="428374B1" w:rsidR="00910F4C" w:rsidRDefault="009D47C4" w:rsidP="009D47C4">
      <w:pPr>
        <w:pStyle w:val="ad"/>
        <w:spacing w:line="240" w:lineRule="auto"/>
        <w:ind w:left="0" w:firstLine="567"/>
        <w:jc w:val="center"/>
        <w:rPr>
          <w:rFonts w:ascii="Times New Roman" w:hAnsi="Times New Roman" w:cs="Times New Roman"/>
          <w:sz w:val="28"/>
          <w:szCs w:val="28"/>
        </w:rPr>
      </w:pPr>
      <w:r w:rsidRPr="00DD0CEE">
        <w:rPr>
          <w:rFonts w:ascii="Times New Roman" w:hAnsi="Times New Roman" w:cs="Times New Roman"/>
          <w:sz w:val="28"/>
          <w:szCs w:val="28"/>
        </w:rPr>
        <w:t>по сельскому хозяйству [17]</w:t>
      </w:r>
    </w:p>
    <w:p w14:paraId="7500FDB1" w14:textId="77777777" w:rsidR="00910F4C" w:rsidRDefault="009D47C4">
      <w:pPr>
        <w:pStyle w:val="ad"/>
        <w:spacing w:after="0" w:line="360" w:lineRule="auto"/>
        <w:ind w:left="0" w:firstLine="567"/>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Степень износа основных фондов, по отраслям экономики, в т.ч. относящимся к высокой, средней, и низкой степени технологичности, рассчитывается как отношение накопленного к определенной дате износа имеющихся основных фондов (разницы их полной учетной и остаточной балансовой стоимости) к полной учетной стоимости основных фондов на ту же дату. Показатель позволяет оценить состояние материально-технической базы отраслей. В 2018 году показатель износа ОС составил 42,4 %, что является наименьшим значением за исследуемый период, однако показатель начал активно расти вплоть до 2022 года, когда показатель достиг максимума и был равен 44,6%. Данная негативная тенденция может быть связана с </w:t>
      </w:r>
      <w:r>
        <w:rPr>
          <w:rFonts w:ascii="Times New Roman" w:eastAsia="Calibri" w:hAnsi="Times New Roman" w:cs="Times New Roman"/>
          <w:kern w:val="2"/>
          <w:sz w:val="28"/>
          <w:szCs w:val="28"/>
          <w14:ligatures w14:val="standardContextual"/>
        </w:rPr>
        <w:lastRenderedPageBreak/>
        <w:t xml:space="preserve">пандемией </w:t>
      </w:r>
      <w:r>
        <w:rPr>
          <w:rFonts w:ascii="Times New Roman" w:eastAsia="Calibri" w:hAnsi="Times New Roman" w:cs="Times New Roman"/>
          <w:kern w:val="2"/>
          <w:sz w:val="28"/>
          <w:szCs w:val="28"/>
          <w:lang w:val="en-US"/>
          <w14:ligatures w14:val="standardContextual"/>
        </w:rPr>
        <w:t>COVID</w:t>
      </w:r>
      <w:r>
        <w:rPr>
          <w:rFonts w:ascii="Times New Roman" w:eastAsia="Calibri" w:hAnsi="Times New Roman" w:cs="Times New Roman"/>
          <w:kern w:val="2"/>
          <w:sz w:val="28"/>
          <w:szCs w:val="28"/>
          <w14:ligatures w14:val="standardContextual"/>
        </w:rPr>
        <w:t>-19. Ограничения могли привести к недоступности запасных частей, что и могло привести к увеличению износа техники. Однако в 2023 году степень износа снизилась и составила 42,6%, почти приблизившись к минимальному показателю исследуемого периода, данная положительная тенденция могла быть вызвана устойчивостью к пандемии, что способствовала более стабильному обслуживанию оборудования. Следует учесть тот факт, что за 2023 год объем производства составил 250,6 млрд рублей, что на 15,1 % больше чем в 2022 году, следовательно и увеличилось время эксплуатации оборудования, что привело к росту износа на 2,5 % в 2024.</w:t>
      </w:r>
    </w:p>
    <w:p w14:paraId="421174F9" w14:textId="77777777" w:rsidR="00910F4C" w:rsidRDefault="009D47C4">
      <w:pPr>
        <w:pStyle w:val="ad"/>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D1B55E" wp14:editId="5627926A">
            <wp:extent cx="5901055" cy="3216910"/>
            <wp:effectExtent l="0" t="0" r="4445" b="2540"/>
            <wp:docPr id="106834249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C15018" w14:textId="2EF5E61B"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Рисунок 4 – Индексы изменения фондоотдачи в сельском хозяйстве [18]</w:t>
      </w:r>
    </w:p>
    <w:p w14:paraId="3D2A882E" w14:textId="77777777" w:rsidR="00910F4C" w:rsidRDefault="009D47C4">
      <w:pPr>
        <w:pStyle w:val="ad"/>
        <w:spacing w:after="0" w:line="360" w:lineRule="auto"/>
        <w:ind w:left="0" w:firstLine="567"/>
        <w:jc w:val="both"/>
        <w:rPr>
          <w:rFonts w:ascii="Times New Roman" w:hAnsi="Times New Roman" w:cs="Times New Roman"/>
          <w:sz w:val="28"/>
          <w:szCs w:val="28"/>
        </w:rPr>
      </w:pPr>
      <w:r>
        <w:rPr>
          <w:rFonts w:ascii="Times New Roman" w:eastAsia="Calibri" w:hAnsi="Times New Roman" w:cs="Times New Roman"/>
          <w:kern w:val="2"/>
          <w:sz w:val="28"/>
          <w:szCs w:val="28"/>
          <w14:ligatures w14:val="standardContextual"/>
        </w:rPr>
        <w:t xml:space="preserve">Показатель изменения фондоотдачи рассчитывается как частное от деления индекса физического объема добавленной стоимости года t к году (t-1) на индекс физического объема основных фондов года t к году (t-1) в сопоставимых ценах. В 2022 году индекс изменения фондоотдачи составил 102,1%, эффективное использование основных средств вероятно связано с выполнением планов по всем четырем целям госпрограммы развития сельского хозяйства РФ. В 2023 году наблюдается менее выраженный рост фондоотдачи равный 100,1%, вероятно к 2024 году показатель вырастет, поскольку поддержку в 2023 году планировали усилить в рамках 3-х аграрных </w:t>
      </w:r>
      <w:r>
        <w:rPr>
          <w:rFonts w:ascii="Times New Roman" w:eastAsia="Calibri" w:hAnsi="Times New Roman" w:cs="Times New Roman"/>
          <w:kern w:val="2"/>
          <w:sz w:val="28"/>
          <w:szCs w:val="28"/>
          <w14:ligatures w14:val="standardContextual"/>
        </w:rPr>
        <w:lastRenderedPageBreak/>
        <w:t>госпрограмм. При этом до 2021 года за счет санкционного давления рост был мало выражен и нестабилен.</w:t>
      </w:r>
    </w:p>
    <w:p w14:paraId="23B70FEC" w14:textId="77777777" w:rsidR="00910F4C" w:rsidRDefault="009D47C4">
      <w:pPr>
        <w:spacing w:after="0" w:line="360" w:lineRule="auto"/>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Показатель доли инвестиций, направленных на реконструкцию и модернизацию, в общем объеме инвестиций в основной капитал рассчитывается ка отношение инвестиций, направленных на реконструкцию и модернизацию основного капитала к общему объему инвестиций в производство.</w:t>
      </w:r>
    </w:p>
    <w:p w14:paraId="40EAA7F4" w14:textId="77777777" w:rsidR="00910F4C" w:rsidRDefault="009D47C4">
      <w:pPr>
        <w:pStyle w:val="ad"/>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28E059" wp14:editId="06338922">
            <wp:extent cx="5901055" cy="3302000"/>
            <wp:effectExtent l="0" t="0" r="4445" b="12700"/>
            <wp:docPr id="10605796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B427D4" w14:textId="77777777" w:rsidR="009D47C4" w:rsidRPr="00DD0CEE" w:rsidRDefault="009D47C4" w:rsidP="009D47C4">
      <w:pPr>
        <w:pStyle w:val="ad"/>
        <w:spacing w:line="240" w:lineRule="auto"/>
        <w:ind w:left="0"/>
        <w:jc w:val="center"/>
        <w:rPr>
          <w:rFonts w:ascii="Times New Roman" w:eastAsia="Times New Roman" w:hAnsi="Times New Roman" w:cs="Times New Roman"/>
          <w:sz w:val="28"/>
          <w:szCs w:val="28"/>
          <w:lang w:eastAsia="ru-RU"/>
        </w:rPr>
      </w:pPr>
      <w:r w:rsidRPr="00DD0CEE">
        <w:rPr>
          <w:rFonts w:ascii="Times New Roman" w:hAnsi="Times New Roman" w:cs="Times New Roman"/>
          <w:sz w:val="28"/>
          <w:szCs w:val="28"/>
        </w:rPr>
        <w:t xml:space="preserve">Рисунок 5 – </w:t>
      </w:r>
      <w:r w:rsidRPr="00DD0CEE">
        <w:rPr>
          <w:rFonts w:ascii="Times New Roman" w:eastAsia="Times New Roman" w:hAnsi="Times New Roman" w:cs="Times New Roman"/>
          <w:sz w:val="28"/>
          <w:szCs w:val="28"/>
          <w:lang w:eastAsia="ru-RU"/>
        </w:rPr>
        <w:t xml:space="preserve">Доля инвестиций, направленных на реконструкцию </w:t>
      </w:r>
    </w:p>
    <w:p w14:paraId="0539FF9B" w14:textId="39814801" w:rsidR="00910F4C" w:rsidRDefault="009D47C4" w:rsidP="009D47C4">
      <w:pPr>
        <w:pStyle w:val="ad"/>
        <w:spacing w:line="240" w:lineRule="auto"/>
        <w:ind w:left="0"/>
        <w:jc w:val="center"/>
        <w:rPr>
          <w:rFonts w:ascii="Times New Roman" w:eastAsia="Times New Roman" w:hAnsi="Times New Roman" w:cs="Times New Roman"/>
          <w:sz w:val="28"/>
          <w:szCs w:val="28"/>
          <w:lang w:eastAsia="ru-RU"/>
        </w:rPr>
      </w:pPr>
      <w:r w:rsidRPr="00DD0CEE">
        <w:rPr>
          <w:rFonts w:ascii="Times New Roman" w:eastAsia="Times New Roman" w:hAnsi="Times New Roman" w:cs="Times New Roman"/>
          <w:sz w:val="28"/>
          <w:szCs w:val="28"/>
          <w:lang w:eastAsia="ru-RU"/>
        </w:rPr>
        <w:t>и модернизацию, в общем объеме инвестиций в основной капитал (производство напитков) [19]</w:t>
      </w:r>
    </w:p>
    <w:p w14:paraId="1D0F871F" w14:textId="77777777" w:rsidR="00910F4C" w:rsidRDefault="009D47C4">
      <w:pPr>
        <w:pStyle w:val="ad"/>
        <w:spacing w:after="0" w:line="360" w:lineRule="auto"/>
        <w:ind w:left="0" w:firstLine="567"/>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В целом показатели находятся в пределах от 13 до 18 %, наибольший показатель приходится на 2018 год, вероятнее всего этот год стал последним годом когда санкционное давление позволяла уделить внимание модернизации и реконструкции, так как при анализе показателя с 2019 года видно , что показатель достиг минимума в 10,6%, вероятнее всего инвестиции были направлены в другие сегменты производства, однако уже с 2019 года показатель начал выравниваться и почти достиг значения 2018 года, однако в 2023 году когда санкционное давление вновь ударило по отрасли мы видим снижение до 13,5%, что больше чем в 2019 году, и уже в 2024 мы видим рост </w:t>
      </w:r>
      <w:r>
        <w:rPr>
          <w:rFonts w:ascii="Times New Roman" w:eastAsia="Calibri" w:hAnsi="Times New Roman" w:cs="Times New Roman"/>
          <w:kern w:val="2"/>
          <w:sz w:val="28"/>
          <w:szCs w:val="28"/>
          <w14:ligatures w14:val="standardContextual"/>
        </w:rPr>
        <w:lastRenderedPageBreak/>
        <w:t>до 16,2%. Данная динамика может говорит об адаптации российской экономики к новым экономическим условиям.</w:t>
      </w:r>
    </w:p>
    <w:p w14:paraId="77BF715F" w14:textId="77777777" w:rsidR="00910F4C" w:rsidRDefault="009D47C4">
      <w:pPr>
        <w:spacing w:after="0" w:line="360" w:lineRule="auto"/>
        <w:ind w:firstLine="708"/>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Показатель изменения фондовооруженности рассчитывается как частное от деления индекса физического объема основных фондов года t к году (t-1) на индекс физического объема совокупных затрат труда года t к году (t-1) в сопоставимых ценах.</w:t>
      </w:r>
    </w:p>
    <w:p w14:paraId="066D43CC" w14:textId="77777777" w:rsidR="00910F4C" w:rsidRDefault="009D47C4">
      <w:pPr>
        <w:pStyle w:val="ad"/>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2085D1" wp14:editId="34BA59B3">
            <wp:extent cx="5901055" cy="2946400"/>
            <wp:effectExtent l="0" t="0" r="4445" b="6350"/>
            <wp:docPr id="4177065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CEAD5F" w14:textId="20B174A1" w:rsidR="00910F4C" w:rsidRDefault="009D47C4" w:rsidP="009D47C4">
      <w:pPr>
        <w:pStyle w:val="ad"/>
        <w:spacing w:after="0" w:line="240" w:lineRule="auto"/>
        <w:ind w:left="0" w:firstLine="567"/>
        <w:jc w:val="center"/>
        <w:rPr>
          <w:rFonts w:ascii="Times New Roman" w:eastAsia="Times New Roman" w:hAnsi="Times New Roman" w:cs="Times New Roman"/>
          <w:sz w:val="28"/>
          <w:szCs w:val="28"/>
          <w:lang w:eastAsia="ru-RU"/>
        </w:rPr>
      </w:pPr>
      <w:r w:rsidRPr="00DD0CEE">
        <w:rPr>
          <w:rFonts w:ascii="Times New Roman" w:hAnsi="Times New Roman" w:cs="Times New Roman"/>
          <w:sz w:val="28"/>
          <w:szCs w:val="28"/>
        </w:rPr>
        <w:t xml:space="preserve">Рисунок 6 – </w:t>
      </w:r>
      <w:r w:rsidRPr="00DD0CEE">
        <w:rPr>
          <w:rFonts w:ascii="Times New Roman" w:eastAsia="Times New Roman" w:hAnsi="Times New Roman" w:cs="Times New Roman"/>
          <w:sz w:val="28"/>
          <w:szCs w:val="28"/>
          <w:lang w:eastAsia="ru-RU"/>
        </w:rPr>
        <w:t>Индексы изменения фондовооруженности по сельскому хозяйству [</w:t>
      </w:r>
      <w:r w:rsidRPr="00DD0CEE">
        <w:rPr>
          <w:rFonts w:ascii="Times New Roman" w:hAnsi="Times New Roman" w:cs="Times New Roman"/>
          <w:sz w:val="28"/>
          <w:szCs w:val="28"/>
        </w:rPr>
        <w:t>18</w:t>
      </w:r>
      <w:r w:rsidRPr="00DD0CEE">
        <w:rPr>
          <w:rFonts w:ascii="Times New Roman" w:eastAsia="Times New Roman" w:hAnsi="Times New Roman" w:cs="Times New Roman"/>
          <w:sz w:val="28"/>
          <w:szCs w:val="28"/>
          <w:lang w:eastAsia="ru-RU"/>
        </w:rPr>
        <w:t>]</w:t>
      </w:r>
    </w:p>
    <w:p w14:paraId="52D40500" w14:textId="77777777" w:rsidR="009D47C4" w:rsidRDefault="009D47C4" w:rsidP="009D47C4">
      <w:pPr>
        <w:pStyle w:val="ad"/>
        <w:spacing w:after="0" w:line="240" w:lineRule="auto"/>
        <w:ind w:left="0" w:firstLine="567"/>
        <w:jc w:val="center"/>
        <w:rPr>
          <w:rFonts w:ascii="Times New Roman" w:eastAsia="Times New Roman" w:hAnsi="Times New Roman" w:cs="Times New Roman"/>
          <w:sz w:val="28"/>
          <w:szCs w:val="28"/>
          <w:lang w:eastAsia="ru-RU"/>
        </w:rPr>
      </w:pPr>
    </w:p>
    <w:p w14:paraId="1BDDDB33" w14:textId="77777777" w:rsidR="00910F4C" w:rsidRDefault="009D47C4">
      <w:pPr>
        <w:pStyle w:val="ad"/>
        <w:spacing w:line="360" w:lineRule="auto"/>
        <w:ind w:left="0" w:firstLine="567"/>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В целом за анализируемый период можно сделать вывод о нестабильности данного показателя и его падении в перспективе, данная негативная тенденция может быть связана с более быстрым ростом количество персонала, по сравнению с ростом основных средств. В 2021 году из-за ограничений пандемии могли нарушиться поставки оборудования из-за чего основных средств просто не хватало для повышения производительности, в целом неопределенность экономической ситуации в 2023 году могло привести к снижению фондовооруженности, однако наблюдается рост в 106,1%, но уже в 2024 году показатель достиг своего минимума в 102,6%.</w:t>
      </w:r>
    </w:p>
    <w:p w14:paraId="292EE428" w14:textId="2AD0B9E7" w:rsidR="00910F4C" w:rsidRDefault="00910F4C">
      <w:pPr>
        <w:pStyle w:val="ad"/>
        <w:spacing w:line="360" w:lineRule="auto"/>
        <w:ind w:left="0" w:firstLine="567"/>
        <w:jc w:val="both"/>
        <w:rPr>
          <w:rFonts w:ascii="Times New Roman" w:eastAsia="Calibri" w:hAnsi="Times New Roman" w:cs="Times New Roman"/>
          <w:kern w:val="2"/>
          <w:sz w:val="28"/>
          <w:szCs w:val="28"/>
          <w14:ligatures w14:val="standardContextual"/>
        </w:rPr>
      </w:pPr>
    </w:p>
    <w:p w14:paraId="247891C9" w14:textId="77777777" w:rsidR="009D47C4" w:rsidRDefault="009D47C4">
      <w:pPr>
        <w:pStyle w:val="ad"/>
        <w:spacing w:line="360" w:lineRule="auto"/>
        <w:ind w:left="0" w:firstLine="567"/>
        <w:jc w:val="both"/>
        <w:rPr>
          <w:rFonts w:ascii="Times New Roman" w:eastAsia="Calibri" w:hAnsi="Times New Roman" w:cs="Times New Roman"/>
          <w:kern w:val="2"/>
          <w:sz w:val="28"/>
          <w:szCs w:val="28"/>
          <w14:ligatures w14:val="standardContextual"/>
        </w:rPr>
      </w:pPr>
    </w:p>
    <w:p w14:paraId="06F3A7F4" w14:textId="77777777" w:rsidR="00910F4C" w:rsidRDefault="009D47C4" w:rsidP="009D47C4">
      <w:pPr>
        <w:pStyle w:val="ad"/>
        <w:spacing w:before="240" w:after="240" w:line="360" w:lineRule="auto"/>
        <w:ind w:left="0" w:firstLine="709"/>
        <w:jc w:val="both"/>
        <w:rPr>
          <w:rFonts w:ascii="Times New Roman" w:hAnsi="Times New Roman" w:cs="Times New Roman"/>
          <w:b/>
          <w:bCs/>
          <w:sz w:val="28"/>
          <w:szCs w:val="28"/>
        </w:rPr>
      </w:pPr>
      <w:r w:rsidRPr="00DD0CEE">
        <w:rPr>
          <w:rFonts w:ascii="Times New Roman" w:hAnsi="Times New Roman" w:cs="Times New Roman"/>
          <w:b/>
          <w:bCs/>
          <w:sz w:val="28"/>
          <w:szCs w:val="28"/>
        </w:rPr>
        <w:lastRenderedPageBreak/>
        <w:t>2.2</w:t>
      </w:r>
      <w:r w:rsidRPr="00DD0CEE">
        <w:rPr>
          <w:rFonts w:ascii="Times New Roman" w:hAnsi="Times New Roman" w:cs="Times New Roman"/>
          <w:b/>
          <w:bCs/>
          <w:sz w:val="28"/>
          <w:szCs w:val="28"/>
        </w:rPr>
        <w:tab/>
        <w:t>Анализ основных показателей экономической безопасности ООО «Кубань вино»</w:t>
      </w:r>
    </w:p>
    <w:p w14:paraId="4C7EF1D0" w14:textId="77777777" w:rsidR="00910F4C" w:rsidRDefault="009D47C4">
      <w:pPr>
        <w:pStyle w:val="ad"/>
        <w:spacing w:before="24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рамках изучения системы экономической безопасности ООО «Кубань вино» будут рассмотрены следующие группы показателей: </w:t>
      </w:r>
    </w:p>
    <w:p w14:paraId="3D0F9EEA" w14:textId="77777777" w:rsidR="00910F4C" w:rsidRDefault="009D47C4">
      <w:pPr>
        <w:pStyle w:val="ad"/>
        <w:numPr>
          <w:ilvl w:val="0"/>
          <w:numId w:val="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Оборачиваемость дебиторской и кредиторской задолженности;</w:t>
      </w:r>
    </w:p>
    <w:p w14:paraId="1B50557F" w14:textId="77777777" w:rsidR="00910F4C" w:rsidRDefault="009D47C4">
      <w:pPr>
        <w:pStyle w:val="ad"/>
        <w:numPr>
          <w:ilvl w:val="0"/>
          <w:numId w:val="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Динамика коэффициентов платежеспособности;</w:t>
      </w:r>
    </w:p>
    <w:p w14:paraId="73EC9E7C" w14:textId="77777777" w:rsidR="00910F4C" w:rsidRDefault="009D47C4">
      <w:pPr>
        <w:pStyle w:val="ad"/>
        <w:numPr>
          <w:ilvl w:val="0"/>
          <w:numId w:val="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Финансовая устойчивость в части формирования запасов и затрат;</w:t>
      </w:r>
    </w:p>
    <w:p w14:paraId="5788E179" w14:textId="77777777" w:rsidR="00910F4C" w:rsidRDefault="009D47C4">
      <w:pPr>
        <w:pStyle w:val="ad"/>
        <w:numPr>
          <w:ilvl w:val="0"/>
          <w:numId w:val="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Финансовый результат.</w:t>
      </w:r>
    </w:p>
    <w:p w14:paraId="393EC47C" w14:textId="1E00464A" w:rsidR="00910F4C" w:rsidRDefault="009D47C4" w:rsidP="009D47C4">
      <w:pPr>
        <w:pStyle w:val="ad"/>
        <w:spacing w:after="0" w:line="240" w:lineRule="auto"/>
        <w:ind w:left="0"/>
        <w:jc w:val="both"/>
        <w:rPr>
          <w:rFonts w:ascii="Times New Roman" w:hAnsi="Times New Roman" w:cs="Times New Roman"/>
          <w:sz w:val="28"/>
          <w:szCs w:val="28"/>
        </w:rPr>
      </w:pPr>
      <w:r w:rsidRPr="00DD0CEE">
        <w:rPr>
          <w:rFonts w:ascii="Times New Roman" w:hAnsi="Times New Roman" w:cs="Times New Roman"/>
          <w:sz w:val="28"/>
          <w:szCs w:val="28"/>
        </w:rPr>
        <w:t>Таблица 5 – Сравнительный анализ оборачиваемости дебиторской и кредиторской задолженности ООО «Кубань вино» (составлено автором на основе [5])</w:t>
      </w:r>
    </w:p>
    <w:tbl>
      <w:tblPr>
        <w:tblW w:w="9346" w:type="dxa"/>
        <w:tblLook w:val="04A0" w:firstRow="1" w:lastRow="0" w:firstColumn="1" w:lastColumn="0" w:noHBand="0" w:noVBand="1"/>
      </w:tblPr>
      <w:tblGrid>
        <w:gridCol w:w="3818"/>
        <w:gridCol w:w="1984"/>
        <w:gridCol w:w="1843"/>
        <w:gridCol w:w="1701"/>
      </w:tblGrid>
      <w:tr w:rsidR="00910F4C" w14:paraId="711B9F44" w14:textId="77777777">
        <w:trPr>
          <w:trHeight w:val="288"/>
        </w:trPr>
        <w:tc>
          <w:tcPr>
            <w:tcW w:w="381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804A79B" w14:textId="77777777" w:rsidR="00910F4C" w:rsidRDefault="009D47C4">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Показатели</w:t>
            </w:r>
          </w:p>
        </w:tc>
        <w:tc>
          <w:tcPr>
            <w:tcW w:w="1984" w:type="dxa"/>
            <w:tcBorders>
              <w:top w:val="single" w:sz="8" w:space="0" w:color="auto"/>
              <w:left w:val="nil"/>
              <w:bottom w:val="single" w:sz="8" w:space="0" w:color="auto"/>
              <w:right w:val="single" w:sz="4" w:space="0" w:color="auto"/>
            </w:tcBorders>
            <w:shd w:val="clear" w:color="auto" w:fill="auto"/>
            <w:noWrap/>
            <w:vAlign w:val="bottom"/>
          </w:tcPr>
          <w:p w14:paraId="259EC7FE" w14:textId="77777777" w:rsidR="00910F4C" w:rsidRDefault="009D47C4">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2023</w:t>
            </w:r>
          </w:p>
        </w:tc>
        <w:tc>
          <w:tcPr>
            <w:tcW w:w="1843" w:type="dxa"/>
            <w:tcBorders>
              <w:top w:val="single" w:sz="8" w:space="0" w:color="auto"/>
              <w:left w:val="nil"/>
              <w:bottom w:val="single" w:sz="8" w:space="0" w:color="auto"/>
              <w:right w:val="single" w:sz="4" w:space="0" w:color="auto"/>
            </w:tcBorders>
            <w:shd w:val="clear" w:color="auto" w:fill="auto"/>
            <w:noWrap/>
            <w:vAlign w:val="bottom"/>
          </w:tcPr>
          <w:p w14:paraId="576B1737" w14:textId="77777777" w:rsidR="00910F4C" w:rsidRDefault="009D47C4">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2024</w:t>
            </w:r>
          </w:p>
        </w:tc>
        <w:tc>
          <w:tcPr>
            <w:tcW w:w="1701" w:type="dxa"/>
            <w:tcBorders>
              <w:top w:val="single" w:sz="8" w:space="0" w:color="auto"/>
              <w:left w:val="nil"/>
              <w:bottom w:val="single" w:sz="8" w:space="0" w:color="auto"/>
              <w:right w:val="single" w:sz="8" w:space="0" w:color="auto"/>
            </w:tcBorders>
            <w:shd w:val="clear" w:color="auto" w:fill="auto"/>
            <w:noWrap/>
            <w:vAlign w:val="bottom"/>
          </w:tcPr>
          <w:p w14:paraId="42667ECF" w14:textId="77777777" w:rsidR="00910F4C" w:rsidRDefault="009D47C4">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2024/2023</w:t>
            </w:r>
          </w:p>
        </w:tc>
      </w:tr>
      <w:tr w:rsidR="00910F4C" w14:paraId="547D47AB" w14:textId="77777777">
        <w:trPr>
          <w:trHeight w:val="318"/>
        </w:trPr>
        <w:tc>
          <w:tcPr>
            <w:tcW w:w="3818" w:type="dxa"/>
            <w:tcBorders>
              <w:top w:val="nil"/>
              <w:left w:val="single" w:sz="8" w:space="0" w:color="auto"/>
              <w:bottom w:val="single" w:sz="4" w:space="0" w:color="auto"/>
              <w:right w:val="single" w:sz="8" w:space="0" w:color="auto"/>
            </w:tcBorders>
            <w:shd w:val="clear" w:color="auto" w:fill="auto"/>
            <w:vAlign w:val="bottom"/>
          </w:tcPr>
          <w:p w14:paraId="4BB9EC43" w14:textId="77777777" w:rsidR="00910F4C" w:rsidRDefault="009D47C4">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Темп роста, %                  </w:t>
            </w:r>
          </w:p>
        </w:tc>
        <w:tc>
          <w:tcPr>
            <w:tcW w:w="1984" w:type="dxa"/>
            <w:tcBorders>
              <w:top w:val="nil"/>
              <w:left w:val="nil"/>
              <w:bottom w:val="single" w:sz="4" w:space="0" w:color="auto"/>
              <w:right w:val="single" w:sz="4" w:space="0" w:color="auto"/>
            </w:tcBorders>
            <w:shd w:val="clear" w:color="auto" w:fill="auto"/>
            <w:vAlign w:val="center"/>
          </w:tcPr>
          <w:p w14:paraId="36A9AA38" w14:textId="77777777" w:rsidR="00910F4C" w:rsidRDefault="00910F4C">
            <w:pPr>
              <w:spacing w:after="0" w:line="240" w:lineRule="auto"/>
              <w:jc w:val="center"/>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tcPr>
          <w:p w14:paraId="25F4050E" w14:textId="77777777" w:rsidR="00910F4C" w:rsidRDefault="00910F4C">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8" w:space="0" w:color="auto"/>
            </w:tcBorders>
            <w:shd w:val="clear" w:color="auto" w:fill="auto"/>
            <w:vAlign w:val="center"/>
          </w:tcPr>
          <w:p w14:paraId="1D72B458" w14:textId="77777777" w:rsidR="00910F4C" w:rsidRDefault="00910F4C">
            <w:pPr>
              <w:spacing w:after="0" w:line="240" w:lineRule="auto"/>
              <w:jc w:val="center"/>
              <w:rPr>
                <w:rFonts w:ascii="Times New Roman" w:eastAsia="Times New Roman" w:hAnsi="Times New Roman" w:cs="Times New Roman"/>
                <w:color w:val="000000"/>
                <w:lang w:eastAsia="ru-RU"/>
              </w:rPr>
            </w:pPr>
          </w:p>
        </w:tc>
      </w:tr>
      <w:tr w:rsidR="00910F4C" w14:paraId="70807A22" w14:textId="77777777">
        <w:trPr>
          <w:trHeight w:val="288"/>
        </w:trPr>
        <w:tc>
          <w:tcPr>
            <w:tcW w:w="3818" w:type="dxa"/>
            <w:tcBorders>
              <w:top w:val="nil"/>
              <w:left w:val="single" w:sz="8" w:space="0" w:color="auto"/>
              <w:bottom w:val="single" w:sz="4" w:space="0" w:color="auto"/>
              <w:right w:val="single" w:sz="8" w:space="0" w:color="auto"/>
            </w:tcBorders>
            <w:shd w:val="clear" w:color="auto" w:fill="auto"/>
            <w:vAlign w:val="bottom"/>
          </w:tcPr>
          <w:p w14:paraId="653351B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ДЗ</w:t>
            </w:r>
          </w:p>
        </w:tc>
        <w:tc>
          <w:tcPr>
            <w:tcW w:w="1984" w:type="dxa"/>
            <w:tcBorders>
              <w:top w:val="nil"/>
              <w:left w:val="nil"/>
              <w:bottom w:val="single" w:sz="4" w:space="0" w:color="auto"/>
              <w:right w:val="single" w:sz="4" w:space="0" w:color="auto"/>
            </w:tcBorders>
            <w:shd w:val="clear" w:color="auto" w:fill="auto"/>
            <w:vAlign w:val="center"/>
          </w:tcPr>
          <w:p w14:paraId="7CD20D0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3171211</w:t>
            </w:r>
          </w:p>
        </w:tc>
        <w:tc>
          <w:tcPr>
            <w:tcW w:w="1843" w:type="dxa"/>
            <w:tcBorders>
              <w:top w:val="nil"/>
              <w:left w:val="nil"/>
              <w:bottom w:val="single" w:sz="4" w:space="0" w:color="auto"/>
              <w:right w:val="single" w:sz="4" w:space="0" w:color="auto"/>
            </w:tcBorders>
            <w:shd w:val="clear" w:color="auto" w:fill="auto"/>
            <w:vAlign w:val="center"/>
          </w:tcPr>
          <w:p w14:paraId="214BA17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4516544</w:t>
            </w:r>
          </w:p>
        </w:tc>
        <w:tc>
          <w:tcPr>
            <w:tcW w:w="1701" w:type="dxa"/>
            <w:tcBorders>
              <w:top w:val="nil"/>
              <w:left w:val="nil"/>
              <w:bottom w:val="single" w:sz="4" w:space="0" w:color="auto"/>
              <w:right w:val="single" w:sz="8" w:space="0" w:color="auto"/>
            </w:tcBorders>
            <w:shd w:val="clear" w:color="auto" w:fill="auto"/>
            <w:vAlign w:val="center"/>
          </w:tcPr>
          <w:p w14:paraId="6D7D06F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1,424</w:t>
            </w:r>
          </w:p>
        </w:tc>
      </w:tr>
      <w:tr w:rsidR="00910F4C" w14:paraId="59C398B5" w14:textId="77777777">
        <w:trPr>
          <w:trHeight w:val="288"/>
        </w:trPr>
        <w:tc>
          <w:tcPr>
            <w:tcW w:w="3818" w:type="dxa"/>
            <w:tcBorders>
              <w:top w:val="nil"/>
              <w:left w:val="single" w:sz="8" w:space="0" w:color="auto"/>
              <w:bottom w:val="single" w:sz="4" w:space="0" w:color="auto"/>
              <w:right w:val="single" w:sz="8" w:space="0" w:color="auto"/>
            </w:tcBorders>
            <w:shd w:val="clear" w:color="auto" w:fill="auto"/>
            <w:vAlign w:val="bottom"/>
          </w:tcPr>
          <w:p w14:paraId="0BDA4CE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КЗ</w:t>
            </w:r>
          </w:p>
        </w:tc>
        <w:tc>
          <w:tcPr>
            <w:tcW w:w="1984" w:type="dxa"/>
            <w:tcBorders>
              <w:top w:val="nil"/>
              <w:left w:val="nil"/>
              <w:bottom w:val="single" w:sz="4" w:space="0" w:color="auto"/>
              <w:right w:val="single" w:sz="4" w:space="0" w:color="auto"/>
            </w:tcBorders>
            <w:shd w:val="clear" w:color="auto" w:fill="auto"/>
            <w:vAlign w:val="center"/>
          </w:tcPr>
          <w:p w14:paraId="50C44E8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6547779</w:t>
            </w:r>
          </w:p>
        </w:tc>
        <w:tc>
          <w:tcPr>
            <w:tcW w:w="1843" w:type="dxa"/>
            <w:tcBorders>
              <w:top w:val="nil"/>
              <w:left w:val="nil"/>
              <w:bottom w:val="single" w:sz="4" w:space="0" w:color="auto"/>
              <w:right w:val="single" w:sz="4" w:space="0" w:color="auto"/>
            </w:tcBorders>
            <w:shd w:val="clear" w:color="auto" w:fill="auto"/>
            <w:vAlign w:val="center"/>
          </w:tcPr>
          <w:p w14:paraId="16061F89"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8849780</w:t>
            </w:r>
          </w:p>
        </w:tc>
        <w:tc>
          <w:tcPr>
            <w:tcW w:w="1701" w:type="dxa"/>
            <w:tcBorders>
              <w:top w:val="nil"/>
              <w:left w:val="nil"/>
              <w:bottom w:val="single" w:sz="4" w:space="0" w:color="auto"/>
              <w:right w:val="single" w:sz="8" w:space="0" w:color="auto"/>
            </w:tcBorders>
            <w:shd w:val="clear" w:color="auto" w:fill="auto"/>
            <w:vAlign w:val="center"/>
          </w:tcPr>
          <w:p w14:paraId="03F499F9"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1,352</w:t>
            </w:r>
          </w:p>
        </w:tc>
      </w:tr>
      <w:tr w:rsidR="00910F4C" w14:paraId="63FF458C" w14:textId="77777777">
        <w:trPr>
          <w:trHeight w:val="420"/>
        </w:trPr>
        <w:tc>
          <w:tcPr>
            <w:tcW w:w="3818" w:type="dxa"/>
            <w:tcBorders>
              <w:top w:val="nil"/>
              <w:left w:val="single" w:sz="8" w:space="0" w:color="auto"/>
              <w:bottom w:val="single" w:sz="4" w:space="0" w:color="auto"/>
              <w:right w:val="single" w:sz="8" w:space="0" w:color="auto"/>
            </w:tcBorders>
            <w:shd w:val="clear" w:color="auto" w:fill="auto"/>
            <w:vAlign w:val="bottom"/>
          </w:tcPr>
          <w:p w14:paraId="3FC63AE2" w14:textId="77777777" w:rsidR="00910F4C" w:rsidRDefault="009D47C4">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Оборачиваемость в оборотах</w:t>
            </w:r>
          </w:p>
        </w:tc>
        <w:tc>
          <w:tcPr>
            <w:tcW w:w="1984" w:type="dxa"/>
            <w:tcBorders>
              <w:top w:val="nil"/>
              <w:left w:val="nil"/>
              <w:bottom w:val="single" w:sz="4" w:space="0" w:color="auto"/>
              <w:right w:val="single" w:sz="4" w:space="0" w:color="auto"/>
            </w:tcBorders>
            <w:shd w:val="clear" w:color="auto" w:fill="auto"/>
            <w:vAlign w:val="center"/>
          </w:tcPr>
          <w:p w14:paraId="32CDD5DB" w14:textId="77777777" w:rsidR="00910F4C" w:rsidRDefault="00910F4C">
            <w:pPr>
              <w:spacing w:after="0" w:line="240" w:lineRule="auto"/>
              <w:jc w:val="center"/>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tcPr>
          <w:p w14:paraId="1D91FFAA" w14:textId="77777777" w:rsidR="00910F4C" w:rsidRDefault="00910F4C">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8" w:space="0" w:color="auto"/>
            </w:tcBorders>
            <w:shd w:val="clear" w:color="auto" w:fill="auto"/>
            <w:vAlign w:val="center"/>
          </w:tcPr>
          <w:p w14:paraId="0509CCB7" w14:textId="77777777" w:rsidR="00910F4C" w:rsidRDefault="00910F4C">
            <w:pPr>
              <w:spacing w:after="0" w:line="240" w:lineRule="auto"/>
              <w:jc w:val="center"/>
              <w:rPr>
                <w:rFonts w:ascii="Times New Roman" w:eastAsia="Times New Roman" w:hAnsi="Times New Roman" w:cs="Times New Roman"/>
                <w:color w:val="000000"/>
                <w:lang w:eastAsia="ru-RU"/>
              </w:rPr>
            </w:pPr>
          </w:p>
        </w:tc>
      </w:tr>
      <w:tr w:rsidR="00910F4C" w14:paraId="0955D6D9" w14:textId="77777777">
        <w:trPr>
          <w:trHeight w:val="438"/>
        </w:trPr>
        <w:tc>
          <w:tcPr>
            <w:tcW w:w="3818" w:type="dxa"/>
            <w:tcBorders>
              <w:top w:val="nil"/>
              <w:left w:val="single" w:sz="8" w:space="0" w:color="auto"/>
              <w:bottom w:val="single" w:sz="4" w:space="0" w:color="auto"/>
              <w:right w:val="single" w:sz="8" w:space="0" w:color="auto"/>
            </w:tcBorders>
            <w:shd w:val="clear" w:color="auto" w:fill="auto"/>
            <w:vAlign w:val="bottom"/>
          </w:tcPr>
          <w:p w14:paraId="531BE71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ДЗ (</w:t>
            </w:r>
            <w:proofErr w:type="spellStart"/>
            <w:r>
              <w:rPr>
                <w:rFonts w:ascii="Times New Roman" w:eastAsia="Times New Roman" w:hAnsi="Times New Roman" w:cs="Times New Roman"/>
                <w:color w:val="000000"/>
                <w:lang w:eastAsia="ru-RU"/>
              </w:rPr>
              <w:t>коб</w:t>
            </w:r>
            <w:proofErr w:type="spellEnd"/>
            <w:r>
              <w:rPr>
                <w:rFonts w:ascii="Times New Roman" w:eastAsia="Times New Roman" w:hAnsi="Times New Roman" w:cs="Times New Roman"/>
                <w:color w:val="000000"/>
                <w:lang w:eastAsia="ru-RU"/>
              </w:rPr>
              <w:t>=выручка/средняя ДЗ)</w:t>
            </w:r>
          </w:p>
        </w:tc>
        <w:tc>
          <w:tcPr>
            <w:tcW w:w="1984" w:type="dxa"/>
            <w:tcBorders>
              <w:top w:val="nil"/>
              <w:left w:val="nil"/>
              <w:bottom w:val="single" w:sz="4" w:space="0" w:color="auto"/>
              <w:right w:val="single" w:sz="4" w:space="0" w:color="auto"/>
            </w:tcBorders>
            <w:shd w:val="clear" w:color="auto" w:fill="auto"/>
            <w:vAlign w:val="center"/>
          </w:tcPr>
          <w:p w14:paraId="707E733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4,61</w:t>
            </w:r>
          </w:p>
        </w:tc>
        <w:tc>
          <w:tcPr>
            <w:tcW w:w="1843" w:type="dxa"/>
            <w:tcBorders>
              <w:top w:val="nil"/>
              <w:left w:val="nil"/>
              <w:bottom w:val="single" w:sz="4" w:space="0" w:color="auto"/>
              <w:right w:val="single" w:sz="4" w:space="0" w:color="auto"/>
            </w:tcBorders>
            <w:shd w:val="clear" w:color="auto" w:fill="auto"/>
            <w:vAlign w:val="center"/>
          </w:tcPr>
          <w:p w14:paraId="3E17E957"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3,49</w:t>
            </w:r>
          </w:p>
        </w:tc>
        <w:tc>
          <w:tcPr>
            <w:tcW w:w="1701" w:type="dxa"/>
            <w:tcBorders>
              <w:top w:val="nil"/>
              <w:left w:val="nil"/>
              <w:bottom w:val="single" w:sz="4" w:space="0" w:color="auto"/>
              <w:right w:val="single" w:sz="8" w:space="0" w:color="auto"/>
            </w:tcBorders>
            <w:shd w:val="clear" w:color="auto" w:fill="auto"/>
            <w:vAlign w:val="center"/>
          </w:tcPr>
          <w:p w14:paraId="365F83F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0,759</w:t>
            </w:r>
          </w:p>
        </w:tc>
      </w:tr>
      <w:tr w:rsidR="00910F4C" w14:paraId="7C60F21C" w14:textId="77777777">
        <w:trPr>
          <w:trHeight w:val="402"/>
        </w:trPr>
        <w:tc>
          <w:tcPr>
            <w:tcW w:w="3818" w:type="dxa"/>
            <w:tcBorders>
              <w:top w:val="nil"/>
              <w:left w:val="single" w:sz="8" w:space="0" w:color="auto"/>
              <w:bottom w:val="single" w:sz="4" w:space="0" w:color="auto"/>
              <w:right w:val="single" w:sz="8" w:space="0" w:color="auto"/>
            </w:tcBorders>
            <w:shd w:val="clear" w:color="auto" w:fill="auto"/>
            <w:vAlign w:val="bottom"/>
          </w:tcPr>
          <w:p w14:paraId="3D2006F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КЗ (</w:t>
            </w:r>
            <w:proofErr w:type="spellStart"/>
            <w:r>
              <w:rPr>
                <w:rFonts w:ascii="Times New Roman" w:eastAsia="Times New Roman" w:hAnsi="Times New Roman" w:cs="Times New Roman"/>
                <w:color w:val="000000"/>
                <w:lang w:eastAsia="ru-RU"/>
              </w:rPr>
              <w:t>коб</w:t>
            </w:r>
            <w:proofErr w:type="spellEnd"/>
            <w:r>
              <w:rPr>
                <w:rFonts w:ascii="Times New Roman" w:eastAsia="Times New Roman" w:hAnsi="Times New Roman" w:cs="Times New Roman"/>
                <w:color w:val="000000"/>
                <w:lang w:eastAsia="ru-RU"/>
              </w:rPr>
              <w:t>=</w:t>
            </w:r>
            <w:proofErr w:type="spellStart"/>
            <w:r>
              <w:rPr>
                <w:rFonts w:ascii="Times New Roman" w:eastAsia="Times New Roman" w:hAnsi="Times New Roman" w:cs="Times New Roman"/>
                <w:color w:val="000000"/>
                <w:lang w:eastAsia="ru-RU"/>
              </w:rPr>
              <w:t>себестоим</w:t>
            </w:r>
            <w:proofErr w:type="spellEnd"/>
            <w:r>
              <w:rPr>
                <w:rFonts w:ascii="Times New Roman" w:eastAsia="Times New Roman" w:hAnsi="Times New Roman" w:cs="Times New Roman"/>
                <w:color w:val="000000"/>
                <w:lang w:eastAsia="ru-RU"/>
              </w:rPr>
              <w:t>/средняя КЗ)</w:t>
            </w:r>
          </w:p>
        </w:tc>
        <w:tc>
          <w:tcPr>
            <w:tcW w:w="1984" w:type="dxa"/>
            <w:tcBorders>
              <w:top w:val="nil"/>
              <w:left w:val="nil"/>
              <w:bottom w:val="single" w:sz="4" w:space="0" w:color="auto"/>
              <w:right w:val="single" w:sz="4" w:space="0" w:color="auto"/>
            </w:tcBorders>
            <w:shd w:val="clear" w:color="auto" w:fill="auto"/>
            <w:vAlign w:val="center"/>
          </w:tcPr>
          <w:p w14:paraId="10B729A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1,86</w:t>
            </w:r>
          </w:p>
        </w:tc>
        <w:tc>
          <w:tcPr>
            <w:tcW w:w="1843" w:type="dxa"/>
            <w:tcBorders>
              <w:top w:val="nil"/>
              <w:left w:val="nil"/>
              <w:bottom w:val="single" w:sz="4" w:space="0" w:color="auto"/>
              <w:right w:val="single" w:sz="4" w:space="0" w:color="auto"/>
            </w:tcBorders>
            <w:shd w:val="clear" w:color="auto" w:fill="auto"/>
            <w:vAlign w:val="center"/>
          </w:tcPr>
          <w:p w14:paraId="5DC617A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1,74</w:t>
            </w:r>
          </w:p>
        </w:tc>
        <w:tc>
          <w:tcPr>
            <w:tcW w:w="1701" w:type="dxa"/>
            <w:tcBorders>
              <w:top w:val="nil"/>
              <w:left w:val="nil"/>
              <w:bottom w:val="single" w:sz="4" w:space="0" w:color="auto"/>
              <w:right w:val="single" w:sz="8" w:space="0" w:color="auto"/>
            </w:tcBorders>
            <w:shd w:val="clear" w:color="auto" w:fill="auto"/>
            <w:vAlign w:val="center"/>
          </w:tcPr>
          <w:p w14:paraId="13855029"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0,940</w:t>
            </w:r>
          </w:p>
        </w:tc>
      </w:tr>
      <w:tr w:rsidR="00910F4C" w14:paraId="0138D2CC" w14:textId="77777777">
        <w:trPr>
          <w:trHeight w:val="282"/>
        </w:trPr>
        <w:tc>
          <w:tcPr>
            <w:tcW w:w="3818" w:type="dxa"/>
            <w:tcBorders>
              <w:top w:val="nil"/>
              <w:left w:val="single" w:sz="8" w:space="0" w:color="auto"/>
              <w:bottom w:val="single" w:sz="4" w:space="0" w:color="auto"/>
              <w:right w:val="single" w:sz="8" w:space="0" w:color="auto"/>
            </w:tcBorders>
            <w:shd w:val="clear" w:color="auto" w:fill="auto"/>
            <w:vAlign w:val="bottom"/>
          </w:tcPr>
          <w:p w14:paraId="2E35055F" w14:textId="77777777" w:rsidR="00910F4C" w:rsidRDefault="009D47C4">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Оборачиваемость в днях    </w:t>
            </w:r>
          </w:p>
        </w:tc>
        <w:tc>
          <w:tcPr>
            <w:tcW w:w="1984" w:type="dxa"/>
            <w:tcBorders>
              <w:top w:val="nil"/>
              <w:left w:val="nil"/>
              <w:bottom w:val="single" w:sz="4" w:space="0" w:color="auto"/>
              <w:right w:val="single" w:sz="4" w:space="0" w:color="auto"/>
            </w:tcBorders>
            <w:shd w:val="clear" w:color="auto" w:fill="auto"/>
            <w:vAlign w:val="center"/>
          </w:tcPr>
          <w:p w14:paraId="431BE840" w14:textId="77777777" w:rsidR="00910F4C" w:rsidRDefault="00910F4C">
            <w:pPr>
              <w:spacing w:after="0" w:line="240" w:lineRule="auto"/>
              <w:jc w:val="center"/>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tcPr>
          <w:p w14:paraId="20A9B7D1" w14:textId="77777777" w:rsidR="00910F4C" w:rsidRDefault="00910F4C">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8" w:space="0" w:color="auto"/>
            </w:tcBorders>
            <w:shd w:val="clear" w:color="auto" w:fill="auto"/>
            <w:vAlign w:val="center"/>
          </w:tcPr>
          <w:p w14:paraId="29FD9B3A" w14:textId="77777777" w:rsidR="00910F4C" w:rsidRDefault="00910F4C">
            <w:pPr>
              <w:spacing w:after="0" w:line="240" w:lineRule="auto"/>
              <w:jc w:val="center"/>
              <w:rPr>
                <w:rFonts w:ascii="Times New Roman" w:eastAsia="Times New Roman" w:hAnsi="Times New Roman" w:cs="Times New Roman"/>
                <w:color w:val="000000"/>
                <w:lang w:eastAsia="ru-RU"/>
              </w:rPr>
            </w:pPr>
          </w:p>
        </w:tc>
      </w:tr>
      <w:tr w:rsidR="00910F4C" w14:paraId="7CCE8CA1" w14:textId="77777777">
        <w:trPr>
          <w:trHeight w:val="288"/>
        </w:trPr>
        <w:tc>
          <w:tcPr>
            <w:tcW w:w="3818" w:type="dxa"/>
            <w:tcBorders>
              <w:top w:val="nil"/>
              <w:left w:val="single" w:sz="8" w:space="0" w:color="auto"/>
              <w:bottom w:val="single" w:sz="4" w:space="0" w:color="auto"/>
              <w:right w:val="single" w:sz="8" w:space="0" w:color="auto"/>
            </w:tcBorders>
            <w:shd w:val="clear" w:color="auto" w:fill="auto"/>
            <w:vAlign w:val="bottom"/>
          </w:tcPr>
          <w:p w14:paraId="7BFB7D99"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ДЗ</w:t>
            </w:r>
          </w:p>
        </w:tc>
        <w:tc>
          <w:tcPr>
            <w:tcW w:w="1984" w:type="dxa"/>
            <w:tcBorders>
              <w:top w:val="nil"/>
              <w:left w:val="nil"/>
              <w:bottom w:val="single" w:sz="4" w:space="0" w:color="auto"/>
              <w:right w:val="single" w:sz="4" w:space="0" w:color="auto"/>
            </w:tcBorders>
            <w:shd w:val="clear" w:color="auto" w:fill="auto"/>
            <w:vAlign w:val="center"/>
          </w:tcPr>
          <w:p w14:paraId="7A0E5E3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79,25</w:t>
            </w:r>
          </w:p>
        </w:tc>
        <w:tc>
          <w:tcPr>
            <w:tcW w:w="1843" w:type="dxa"/>
            <w:tcBorders>
              <w:top w:val="nil"/>
              <w:left w:val="nil"/>
              <w:bottom w:val="single" w:sz="4" w:space="0" w:color="auto"/>
              <w:right w:val="single" w:sz="4" w:space="0" w:color="auto"/>
            </w:tcBorders>
            <w:shd w:val="clear" w:color="auto" w:fill="auto"/>
            <w:vAlign w:val="center"/>
          </w:tcPr>
          <w:p w14:paraId="1440CD6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104,47</w:t>
            </w:r>
          </w:p>
        </w:tc>
        <w:tc>
          <w:tcPr>
            <w:tcW w:w="1701" w:type="dxa"/>
            <w:tcBorders>
              <w:top w:val="nil"/>
              <w:left w:val="nil"/>
              <w:bottom w:val="single" w:sz="4" w:space="0" w:color="auto"/>
              <w:right w:val="single" w:sz="8" w:space="0" w:color="auto"/>
            </w:tcBorders>
            <w:shd w:val="clear" w:color="auto" w:fill="auto"/>
            <w:vAlign w:val="center"/>
          </w:tcPr>
          <w:p w14:paraId="1515B507"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1,318</w:t>
            </w:r>
          </w:p>
        </w:tc>
      </w:tr>
      <w:tr w:rsidR="00910F4C" w14:paraId="5EE5E555" w14:textId="77777777">
        <w:trPr>
          <w:trHeight w:val="288"/>
        </w:trPr>
        <w:tc>
          <w:tcPr>
            <w:tcW w:w="3818" w:type="dxa"/>
            <w:tcBorders>
              <w:top w:val="nil"/>
              <w:left w:val="single" w:sz="8" w:space="0" w:color="auto"/>
              <w:bottom w:val="single" w:sz="4" w:space="0" w:color="auto"/>
              <w:right w:val="single" w:sz="8" w:space="0" w:color="auto"/>
            </w:tcBorders>
            <w:shd w:val="clear" w:color="auto" w:fill="auto"/>
            <w:vAlign w:val="bottom"/>
          </w:tcPr>
          <w:p w14:paraId="1AF5FA7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КЗ</w:t>
            </w:r>
          </w:p>
        </w:tc>
        <w:tc>
          <w:tcPr>
            <w:tcW w:w="1984" w:type="dxa"/>
            <w:tcBorders>
              <w:top w:val="nil"/>
              <w:left w:val="nil"/>
              <w:bottom w:val="single" w:sz="4" w:space="0" w:color="auto"/>
              <w:right w:val="single" w:sz="4" w:space="0" w:color="auto"/>
            </w:tcBorders>
            <w:shd w:val="clear" w:color="auto" w:fill="auto"/>
            <w:vAlign w:val="center"/>
          </w:tcPr>
          <w:p w14:paraId="6995A7E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196,70</w:t>
            </w:r>
          </w:p>
        </w:tc>
        <w:tc>
          <w:tcPr>
            <w:tcW w:w="1843" w:type="dxa"/>
            <w:tcBorders>
              <w:top w:val="nil"/>
              <w:left w:val="nil"/>
              <w:bottom w:val="single" w:sz="4" w:space="0" w:color="auto"/>
              <w:right w:val="single" w:sz="4" w:space="0" w:color="auto"/>
            </w:tcBorders>
            <w:shd w:val="clear" w:color="auto" w:fill="auto"/>
            <w:vAlign w:val="center"/>
          </w:tcPr>
          <w:p w14:paraId="2D58180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209,25</w:t>
            </w:r>
          </w:p>
        </w:tc>
        <w:tc>
          <w:tcPr>
            <w:tcW w:w="1701" w:type="dxa"/>
            <w:tcBorders>
              <w:top w:val="nil"/>
              <w:left w:val="nil"/>
              <w:bottom w:val="single" w:sz="4" w:space="0" w:color="auto"/>
              <w:right w:val="single" w:sz="8" w:space="0" w:color="auto"/>
            </w:tcBorders>
            <w:shd w:val="clear" w:color="auto" w:fill="auto"/>
            <w:vAlign w:val="center"/>
          </w:tcPr>
          <w:p w14:paraId="279D76D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1,064</w:t>
            </w:r>
          </w:p>
        </w:tc>
      </w:tr>
      <w:tr w:rsidR="00910F4C" w14:paraId="1439BEA4" w14:textId="77777777">
        <w:trPr>
          <w:trHeight w:val="540"/>
        </w:trPr>
        <w:tc>
          <w:tcPr>
            <w:tcW w:w="3818" w:type="dxa"/>
            <w:tcBorders>
              <w:top w:val="nil"/>
              <w:left w:val="single" w:sz="8" w:space="0" w:color="auto"/>
              <w:bottom w:val="single" w:sz="8" w:space="0" w:color="auto"/>
              <w:right w:val="nil"/>
            </w:tcBorders>
            <w:shd w:val="clear" w:color="auto" w:fill="auto"/>
            <w:vAlign w:val="bottom"/>
          </w:tcPr>
          <w:p w14:paraId="349BE10B" w14:textId="77777777" w:rsidR="00910F4C" w:rsidRDefault="009D47C4">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Превышение (снижение) краткосрочной ДЗ над КЗ, </w:t>
            </w:r>
            <w:proofErr w:type="spellStart"/>
            <w:r>
              <w:rPr>
                <w:rFonts w:ascii="Times New Roman" w:eastAsia="Times New Roman" w:hAnsi="Times New Roman" w:cs="Times New Roman"/>
                <w:b/>
                <w:bCs/>
                <w:color w:val="000000"/>
                <w:lang w:eastAsia="ru-RU"/>
              </w:rPr>
              <w:t>тыс,р</w:t>
            </w:r>
            <w:proofErr w:type="spellEnd"/>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5B1543C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-7156475</w:t>
            </w:r>
          </w:p>
        </w:tc>
        <w:tc>
          <w:tcPr>
            <w:tcW w:w="1843" w:type="dxa"/>
            <w:tcBorders>
              <w:top w:val="nil"/>
              <w:left w:val="nil"/>
              <w:bottom w:val="single" w:sz="4" w:space="0" w:color="auto"/>
              <w:right w:val="single" w:sz="4" w:space="0" w:color="auto"/>
            </w:tcBorders>
            <w:shd w:val="clear" w:color="auto" w:fill="auto"/>
            <w:vAlign w:val="center"/>
          </w:tcPr>
          <w:p w14:paraId="59D7036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-10781603</w:t>
            </w:r>
          </w:p>
        </w:tc>
        <w:tc>
          <w:tcPr>
            <w:tcW w:w="1701" w:type="dxa"/>
            <w:tcBorders>
              <w:top w:val="nil"/>
              <w:left w:val="nil"/>
              <w:bottom w:val="single" w:sz="4" w:space="0" w:color="auto"/>
              <w:right w:val="single" w:sz="8" w:space="0" w:color="auto"/>
            </w:tcBorders>
            <w:shd w:val="clear" w:color="auto" w:fill="auto"/>
            <w:vAlign w:val="center"/>
          </w:tcPr>
          <w:p w14:paraId="28A9C6B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1,507</w:t>
            </w:r>
          </w:p>
        </w:tc>
      </w:tr>
    </w:tbl>
    <w:p w14:paraId="065350BB"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 анализируемый период ДЗ растет более быстрыми темпами чем КЗ, а именно 142% роста ДЗ и 135% роста КЗ, однако если смотреть на абсолютные значения, то видно, что кредиторская задолженность в 2 раза превышает дебиторскую. Кроме того, оборачиваемость ДЗ уменьшилась на 0,759, что говорит о том, что ДЗ растет более быстрыми темпами, чем выручка. </w:t>
      </w:r>
    </w:p>
    <w:p w14:paraId="454CBD6C"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Соответственно, с уменьшением оборачиваемости ДЗ увеличилась оборачиваемость в днях на 24 дня, и на 15 дней-оборачиваемость КЗ. Значит, оплату от покупателей мы получаем позднее, а значит, выплачиваем свои долги тоже позднее, в дальнейшем такая динамика может привезти к неплатежеспособности предприятия и образованию серьезных кассовых разрывов, особенно с учетом стремительно роста КЗ. Так как КЗ превышает </w:t>
      </w:r>
      <w:r>
        <w:rPr>
          <w:rFonts w:ascii="Times New Roman" w:hAnsi="Times New Roman" w:cs="Times New Roman"/>
          <w:sz w:val="28"/>
          <w:szCs w:val="28"/>
        </w:rPr>
        <w:lastRenderedPageBreak/>
        <w:t>краткосрочную ДЗ, следовательно, в течении года есть риск того, что предприятие будет не в состоянии рассчитаться со срочными долгами.</w:t>
      </w:r>
    </w:p>
    <w:p w14:paraId="2C0BA783" w14:textId="7F1C0223" w:rsidR="00910F4C" w:rsidRDefault="009D47C4" w:rsidP="009D47C4">
      <w:pPr>
        <w:pStyle w:val="ad"/>
        <w:spacing w:after="0" w:line="240" w:lineRule="auto"/>
        <w:ind w:left="0"/>
        <w:jc w:val="both"/>
        <w:rPr>
          <w:rFonts w:ascii="Times New Roman" w:hAnsi="Times New Roman" w:cs="Times New Roman"/>
          <w:sz w:val="28"/>
          <w:szCs w:val="28"/>
        </w:rPr>
      </w:pPr>
      <w:r w:rsidRPr="00DD0CEE">
        <w:rPr>
          <w:rFonts w:ascii="Times New Roman" w:hAnsi="Times New Roman" w:cs="Times New Roman"/>
          <w:sz w:val="28"/>
          <w:szCs w:val="28"/>
        </w:rPr>
        <w:t>Таблица 6 – Анализ динамики коэффициентов платежеспособности ООО «Кубань вино» (составлено автором на основе [5])</w:t>
      </w:r>
    </w:p>
    <w:tbl>
      <w:tblPr>
        <w:tblW w:w="9771" w:type="dxa"/>
        <w:tblLook w:val="04A0" w:firstRow="1" w:lastRow="0" w:firstColumn="1" w:lastColumn="0" w:noHBand="0" w:noVBand="1"/>
      </w:tblPr>
      <w:tblGrid>
        <w:gridCol w:w="4385"/>
        <w:gridCol w:w="1275"/>
        <w:gridCol w:w="1276"/>
        <w:gridCol w:w="1276"/>
        <w:gridCol w:w="1559"/>
      </w:tblGrid>
      <w:tr w:rsidR="00910F4C" w14:paraId="57180652" w14:textId="77777777">
        <w:trPr>
          <w:trHeight w:val="828"/>
        </w:trPr>
        <w:tc>
          <w:tcPr>
            <w:tcW w:w="4385" w:type="dxa"/>
            <w:tcBorders>
              <w:top w:val="single" w:sz="8" w:space="0" w:color="auto"/>
              <w:left w:val="single" w:sz="8" w:space="0" w:color="auto"/>
              <w:bottom w:val="nil"/>
              <w:right w:val="single" w:sz="8" w:space="0" w:color="auto"/>
            </w:tcBorders>
            <w:shd w:val="clear" w:color="auto" w:fill="auto"/>
            <w:noWrap/>
            <w:vAlign w:val="center"/>
          </w:tcPr>
          <w:p w14:paraId="562606C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Показатели</w:t>
            </w:r>
          </w:p>
        </w:tc>
        <w:tc>
          <w:tcPr>
            <w:tcW w:w="1275" w:type="dxa"/>
            <w:tcBorders>
              <w:top w:val="single" w:sz="8" w:space="0" w:color="auto"/>
              <w:left w:val="nil"/>
              <w:bottom w:val="nil"/>
              <w:right w:val="single" w:sz="4" w:space="0" w:color="auto"/>
            </w:tcBorders>
            <w:shd w:val="clear" w:color="auto" w:fill="auto"/>
            <w:vAlign w:val="center"/>
          </w:tcPr>
          <w:p w14:paraId="0BE0123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31.12.2022</w:t>
            </w:r>
          </w:p>
        </w:tc>
        <w:tc>
          <w:tcPr>
            <w:tcW w:w="1276" w:type="dxa"/>
            <w:tcBorders>
              <w:top w:val="single" w:sz="8" w:space="0" w:color="auto"/>
              <w:left w:val="nil"/>
              <w:bottom w:val="nil"/>
              <w:right w:val="single" w:sz="4" w:space="0" w:color="auto"/>
            </w:tcBorders>
            <w:shd w:val="clear" w:color="auto" w:fill="auto"/>
            <w:vAlign w:val="center"/>
          </w:tcPr>
          <w:p w14:paraId="2E27616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31.12.2023</w:t>
            </w:r>
          </w:p>
        </w:tc>
        <w:tc>
          <w:tcPr>
            <w:tcW w:w="1276" w:type="dxa"/>
            <w:tcBorders>
              <w:top w:val="single" w:sz="8" w:space="0" w:color="auto"/>
              <w:left w:val="nil"/>
              <w:bottom w:val="nil"/>
              <w:right w:val="single" w:sz="8" w:space="0" w:color="auto"/>
            </w:tcBorders>
            <w:shd w:val="clear" w:color="auto" w:fill="auto"/>
            <w:vAlign w:val="center"/>
          </w:tcPr>
          <w:p w14:paraId="37CFB62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31.12.2024</w:t>
            </w:r>
          </w:p>
        </w:tc>
        <w:tc>
          <w:tcPr>
            <w:tcW w:w="1559" w:type="dxa"/>
            <w:tcBorders>
              <w:top w:val="single" w:sz="8" w:space="0" w:color="auto"/>
              <w:left w:val="nil"/>
              <w:bottom w:val="nil"/>
              <w:right w:val="single" w:sz="8" w:space="0" w:color="auto"/>
            </w:tcBorders>
            <w:shd w:val="clear" w:color="auto" w:fill="auto"/>
            <w:vAlign w:val="center"/>
          </w:tcPr>
          <w:p w14:paraId="368CEAC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Изменение за отчетный период (+/-)</w:t>
            </w:r>
          </w:p>
        </w:tc>
      </w:tr>
      <w:tr w:rsidR="00910F4C" w14:paraId="5CB01F5C" w14:textId="77777777">
        <w:trPr>
          <w:trHeight w:val="600"/>
        </w:trPr>
        <w:tc>
          <w:tcPr>
            <w:tcW w:w="4385" w:type="dxa"/>
            <w:tcBorders>
              <w:top w:val="single" w:sz="8" w:space="0" w:color="auto"/>
              <w:left w:val="single" w:sz="8" w:space="0" w:color="auto"/>
              <w:bottom w:val="single" w:sz="4" w:space="0" w:color="auto"/>
              <w:right w:val="single" w:sz="8" w:space="0" w:color="auto"/>
            </w:tcBorders>
            <w:shd w:val="clear" w:color="auto" w:fill="auto"/>
            <w:noWrap/>
            <w:vAlign w:val="center"/>
          </w:tcPr>
          <w:p w14:paraId="4FB767CE"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1. Оборотные активы, </w:t>
            </w:r>
            <w:proofErr w:type="spellStart"/>
            <w:r>
              <w:rPr>
                <w:rFonts w:ascii="Times New Roman" w:eastAsia="Times New Roman" w:hAnsi="Times New Roman" w:cs="Times New Roman"/>
                <w:color w:val="000000"/>
                <w:lang w:eastAsia="ru-RU"/>
              </w:rPr>
              <w:t>тыс.руб</w:t>
            </w:r>
            <w:proofErr w:type="spellEnd"/>
            <w:r>
              <w:rPr>
                <w:rFonts w:ascii="Times New Roman" w:eastAsia="Times New Roman" w:hAnsi="Times New Roman" w:cs="Times New Roman"/>
                <w:color w:val="000000"/>
                <w:lang w:eastAsia="ru-RU"/>
              </w:rPr>
              <w:t>.</w:t>
            </w:r>
          </w:p>
        </w:tc>
        <w:tc>
          <w:tcPr>
            <w:tcW w:w="1275" w:type="dxa"/>
            <w:tcBorders>
              <w:top w:val="single" w:sz="8" w:space="0" w:color="auto"/>
              <w:left w:val="nil"/>
              <w:bottom w:val="single" w:sz="4" w:space="0" w:color="auto"/>
              <w:right w:val="single" w:sz="4" w:space="0" w:color="auto"/>
            </w:tcBorders>
            <w:shd w:val="clear" w:color="auto" w:fill="auto"/>
            <w:noWrap/>
            <w:vAlign w:val="center"/>
          </w:tcPr>
          <w:p w14:paraId="4A1638E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6 843 799</w:t>
            </w:r>
          </w:p>
        </w:tc>
        <w:tc>
          <w:tcPr>
            <w:tcW w:w="1276" w:type="dxa"/>
            <w:tcBorders>
              <w:top w:val="single" w:sz="8" w:space="0" w:color="auto"/>
              <w:left w:val="nil"/>
              <w:bottom w:val="single" w:sz="4" w:space="0" w:color="auto"/>
              <w:right w:val="single" w:sz="4" w:space="0" w:color="auto"/>
            </w:tcBorders>
            <w:shd w:val="clear" w:color="auto" w:fill="auto"/>
            <w:noWrap/>
            <w:vAlign w:val="center"/>
          </w:tcPr>
          <w:p w14:paraId="5190F0E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11 285 866</w:t>
            </w:r>
          </w:p>
        </w:tc>
        <w:tc>
          <w:tcPr>
            <w:tcW w:w="1276" w:type="dxa"/>
            <w:tcBorders>
              <w:top w:val="single" w:sz="8" w:space="0" w:color="auto"/>
              <w:left w:val="nil"/>
              <w:bottom w:val="single" w:sz="4" w:space="0" w:color="auto"/>
              <w:right w:val="single" w:sz="4" w:space="0" w:color="auto"/>
            </w:tcBorders>
            <w:shd w:val="clear" w:color="auto" w:fill="auto"/>
            <w:noWrap/>
            <w:vAlign w:val="center"/>
          </w:tcPr>
          <w:p w14:paraId="407757C4"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16 271 069</w:t>
            </w:r>
          </w:p>
        </w:tc>
        <w:tc>
          <w:tcPr>
            <w:tcW w:w="1559" w:type="dxa"/>
            <w:tcBorders>
              <w:top w:val="single" w:sz="8" w:space="0" w:color="auto"/>
              <w:left w:val="nil"/>
              <w:bottom w:val="single" w:sz="4" w:space="0" w:color="auto"/>
              <w:right w:val="single" w:sz="8" w:space="0" w:color="auto"/>
            </w:tcBorders>
            <w:shd w:val="clear" w:color="auto" w:fill="auto"/>
            <w:noWrap/>
            <w:vAlign w:val="center"/>
          </w:tcPr>
          <w:p w14:paraId="3D6EBF5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4985 203</w:t>
            </w:r>
          </w:p>
        </w:tc>
      </w:tr>
      <w:tr w:rsidR="00910F4C" w14:paraId="7310889B" w14:textId="77777777">
        <w:trPr>
          <w:trHeight w:val="600"/>
        </w:trPr>
        <w:tc>
          <w:tcPr>
            <w:tcW w:w="4385" w:type="dxa"/>
            <w:tcBorders>
              <w:top w:val="nil"/>
              <w:left w:val="single" w:sz="8" w:space="0" w:color="auto"/>
              <w:bottom w:val="single" w:sz="4" w:space="0" w:color="auto"/>
              <w:right w:val="single" w:sz="8" w:space="0" w:color="auto"/>
            </w:tcBorders>
            <w:shd w:val="clear" w:color="auto" w:fill="auto"/>
            <w:noWrap/>
            <w:vAlign w:val="center"/>
          </w:tcPr>
          <w:p w14:paraId="6BAFFEAF"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Внеоборотные активы, тыс. руб.</w:t>
            </w:r>
          </w:p>
        </w:tc>
        <w:tc>
          <w:tcPr>
            <w:tcW w:w="1275" w:type="dxa"/>
            <w:tcBorders>
              <w:top w:val="nil"/>
              <w:left w:val="nil"/>
              <w:bottom w:val="single" w:sz="4" w:space="0" w:color="auto"/>
              <w:right w:val="single" w:sz="4" w:space="0" w:color="auto"/>
            </w:tcBorders>
            <w:shd w:val="clear" w:color="auto" w:fill="auto"/>
            <w:noWrap/>
            <w:vAlign w:val="center"/>
          </w:tcPr>
          <w:p w14:paraId="59CA7FD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4 513 390</w:t>
            </w:r>
          </w:p>
        </w:tc>
        <w:tc>
          <w:tcPr>
            <w:tcW w:w="1276" w:type="dxa"/>
            <w:tcBorders>
              <w:top w:val="nil"/>
              <w:left w:val="nil"/>
              <w:bottom w:val="single" w:sz="4" w:space="0" w:color="auto"/>
              <w:right w:val="single" w:sz="4" w:space="0" w:color="auto"/>
            </w:tcBorders>
            <w:shd w:val="clear" w:color="auto" w:fill="auto"/>
            <w:noWrap/>
            <w:vAlign w:val="center"/>
          </w:tcPr>
          <w:p w14:paraId="4897A6D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4 808 147</w:t>
            </w:r>
          </w:p>
        </w:tc>
        <w:tc>
          <w:tcPr>
            <w:tcW w:w="1276" w:type="dxa"/>
            <w:tcBorders>
              <w:top w:val="nil"/>
              <w:left w:val="nil"/>
              <w:bottom w:val="single" w:sz="4" w:space="0" w:color="auto"/>
              <w:right w:val="single" w:sz="4" w:space="0" w:color="auto"/>
            </w:tcBorders>
            <w:shd w:val="clear" w:color="auto" w:fill="auto"/>
            <w:noWrap/>
            <w:vAlign w:val="center"/>
          </w:tcPr>
          <w:p w14:paraId="7CE8350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5 397 367</w:t>
            </w:r>
          </w:p>
        </w:tc>
        <w:tc>
          <w:tcPr>
            <w:tcW w:w="1559" w:type="dxa"/>
            <w:tcBorders>
              <w:top w:val="nil"/>
              <w:left w:val="nil"/>
              <w:bottom w:val="single" w:sz="4" w:space="0" w:color="auto"/>
              <w:right w:val="single" w:sz="8" w:space="0" w:color="auto"/>
            </w:tcBorders>
            <w:shd w:val="clear" w:color="auto" w:fill="auto"/>
            <w:noWrap/>
            <w:vAlign w:val="center"/>
          </w:tcPr>
          <w:p w14:paraId="734682B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589 220,00</w:t>
            </w:r>
          </w:p>
        </w:tc>
      </w:tr>
      <w:tr w:rsidR="00910F4C" w14:paraId="7872CBE4" w14:textId="77777777">
        <w:trPr>
          <w:trHeight w:val="600"/>
        </w:trPr>
        <w:tc>
          <w:tcPr>
            <w:tcW w:w="4385" w:type="dxa"/>
            <w:tcBorders>
              <w:top w:val="nil"/>
              <w:left w:val="single" w:sz="8" w:space="0" w:color="auto"/>
              <w:bottom w:val="single" w:sz="4" w:space="0" w:color="auto"/>
              <w:right w:val="single" w:sz="8" w:space="0" w:color="auto"/>
            </w:tcBorders>
            <w:shd w:val="clear" w:color="auto" w:fill="auto"/>
            <w:vAlign w:val="center"/>
          </w:tcPr>
          <w:p w14:paraId="5C558716"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3. </w:t>
            </w:r>
            <w:proofErr w:type="spellStart"/>
            <w:r>
              <w:rPr>
                <w:rFonts w:ascii="Times New Roman" w:eastAsia="Times New Roman" w:hAnsi="Times New Roman" w:cs="Times New Roman"/>
                <w:color w:val="000000"/>
                <w:lang w:eastAsia="ru-RU"/>
              </w:rPr>
              <w:t>Красткосрочная</w:t>
            </w:r>
            <w:proofErr w:type="spellEnd"/>
            <w:r>
              <w:rPr>
                <w:rFonts w:ascii="Times New Roman" w:eastAsia="Times New Roman" w:hAnsi="Times New Roman" w:cs="Times New Roman"/>
                <w:color w:val="000000"/>
                <w:lang w:eastAsia="ru-RU"/>
              </w:rPr>
              <w:t xml:space="preserve"> дебиторская задолженность, тыс. руб.</w:t>
            </w:r>
          </w:p>
        </w:tc>
        <w:tc>
          <w:tcPr>
            <w:tcW w:w="1275" w:type="dxa"/>
            <w:tcBorders>
              <w:top w:val="nil"/>
              <w:left w:val="nil"/>
              <w:bottom w:val="single" w:sz="4" w:space="0" w:color="auto"/>
              <w:right w:val="single" w:sz="4" w:space="0" w:color="auto"/>
            </w:tcBorders>
            <w:shd w:val="clear" w:color="auto" w:fill="auto"/>
            <w:noWrap/>
            <w:vAlign w:val="center"/>
          </w:tcPr>
          <w:p w14:paraId="582C3CA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1 823 592</w:t>
            </w:r>
          </w:p>
        </w:tc>
        <w:tc>
          <w:tcPr>
            <w:tcW w:w="1276" w:type="dxa"/>
            <w:tcBorders>
              <w:top w:val="nil"/>
              <w:left w:val="nil"/>
              <w:bottom w:val="single" w:sz="4" w:space="0" w:color="auto"/>
              <w:right w:val="single" w:sz="4" w:space="0" w:color="auto"/>
            </w:tcBorders>
            <w:shd w:val="clear" w:color="auto" w:fill="auto"/>
            <w:noWrap/>
            <w:vAlign w:val="center"/>
          </w:tcPr>
          <w:p w14:paraId="3420589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3 194 963</w:t>
            </w:r>
          </w:p>
        </w:tc>
        <w:tc>
          <w:tcPr>
            <w:tcW w:w="1276" w:type="dxa"/>
            <w:tcBorders>
              <w:top w:val="nil"/>
              <w:left w:val="nil"/>
              <w:bottom w:val="single" w:sz="4" w:space="0" w:color="auto"/>
              <w:right w:val="single" w:sz="4" w:space="0" w:color="auto"/>
            </w:tcBorders>
            <w:shd w:val="clear" w:color="auto" w:fill="auto"/>
            <w:noWrap/>
            <w:vAlign w:val="center"/>
          </w:tcPr>
          <w:p w14:paraId="57F47FD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4 551 893</w:t>
            </w:r>
          </w:p>
        </w:tc>
        <w:tc>
          <w:tcPr>
            <w:tcW w:w="1559" w:type="dxa"/>
            <w:tcBorders>
              <w:top w:val="nil"/>
              <w:left w:val="nil"/>
              <w:bottom w:val="single" w:sz="4" w:space="0" w:color="auto"/>
              <w:right w:val="single" w:sz="8" w:space="0" w:color="auto"/>
            </w:tcBorders>
            <w:shd w:val="clear" w:color="auto" w:fill="auto"/>
            <w:noWrap/>
            <w:vAlign w:val="center"/>
          </w:tcPr>
          <w:p w14:paraId="59D917C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1356 930,00</w:t>
            </w:r>
          </w:p>
        </w:tc>
      </w:tr>
      <w:tr w:rsidR="00910F4C" w14:paraId="6C46702B" w14:textId="77777777">
        <w:trPr>
          <w:trHeight w:val="600"/>
        </w:trPr>
        <w:tc>
          <w:tcPr>
            <w:tcW w:w="4385" w:type="dxa"/>
            <w:tcBorders>
              <w:top w:val="nil"/>
              <w:left w:val="single" w:sz="8" w:space="0" w:color="auto"/>
              <w:bottom w:val="single" w:sz="4" w:space="0" w:color="auto"/>
              <w:right w:val="single" w:sz="8" w:space="0" w:color="auto"/>
            </w:tcBorders>
            <w:shd w:val="clear" w:color="auto" w:fill="auto"/>
            <w:vAlign w:val="center"/>
          </w:tcPr>
          <w:p w14:paraId="6704E169"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Денежные средства и краткосрочные финансовые вложения, тыс. руб.</w:t>
            </w:r>
          </w:p>
        </w:tc>
        <w:tc>
          <w:tcPr>
            <w:tcW w:w="1275" w:type="dxa"/>
            <w:tcBorders>
              <w:top w:val="nil"/>
              <w:left w:val="nil"/>
              <w:bottom w:val="single" w:sz="4" w:space="0" w:color="auto"/>
              <w:right w:val="single" w:sz="4" w:space="0" w:color="auto"/>
            </w:tcBorders>
            <w:shd w:val="clear" w:color="auto" w:fill="auto"/>
            <w:noWrap/>
            <w:vAlign w:val="center"/>
          </w:tcPr>
          <w:p w14:paraId="4148757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164 161</w:t>
            </w:r>
          </w:p>
        </w:tc>
        <w:tc>
          <w:tcPr>
            <w:tcW w:w="1276" w:type="dxa"/>
            <w:tcBorders>
              <w:top w:val="nil"/>
              <w:left w:val="nil"/>
              <w:bottom w:val="single" w:sz="4" w:space="0" w:color="auto"/>
              <w:right w:val="single" w:sz="4" w:space="0" w:color="auto"/>
            </w:tcBorders>
            <w:shd w:val="clear" w:color="auto" w:fill="auto"/>
            <w:noWrap/>
            <w:vAlign w:val="center"/>
          </w:tcPr>
          <w:p w14:paraId="13CEA3B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905 482</w:t>
            </w:r>
          </w:p>
        </w:tc>
        <w:tc>
          <w:tcPr>
            <w:tcW w:w="1276" w:type="dxa"/>
            <w:tcBorders>
              <w:top w:val="nil"/>
              <w:left w:val="nil"/>
              <w:bottom w:val="single" w:sz="4" w:space="0" w:color="auto"/>
              <w:right w:val="single" w:sz="4" w:space="0" w:color="auto"/>
            </w:tcBorders>
            <w:shd w:val="clear" w:color="auto" w:fill="auto"/>
            <w:noWrap/>
            <w:vAlign w:val="center"/>
          </w:tcPr>
          <w:p w14:paraId="796C066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3 290 498</w:t>
            </w:r>
          </w:p>
        </w:tc>
        <w:tc>
          <w:tcPr>
            <w:tcW w:w="1559" w:type="dxa"/>
            <w:tcBorders>
              <w:top w:val="nil"/>
              <w:left w:val="nil"/>
              <w:bottom w:val="single" w:sz="4" w:space="0" w:color="auto"/>
              <w:right w:val="single" w:sz="8" w:space="0" w:color="auto"/>
            </w:tcBorders>
            <w:shd w:val="clear" w:color="auto" w:fill="auto"/>
            <w:noWrap/>
            <w:vAlign w:val="center"/>
          </w:tcPr>
          <w:p w14:paraId="403FD7C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2385 016,00</w:t>
            </w:r>
          </w:p>
        </w:tc>
      </w:tr>
      <w:tr w:rsidR="00910F4C" w14:paraId="313825C3" w14:textId="77777777">
        <w:trPr>
          <w:trHeight w:val="600"/>
        </w:trPr>
        <w:tc>
          <w:tcPr>
            <w:tcW w:w="4385" w:type="dxa"/>
            <w:tcBorders>
              <w:top w:val="nil"/>
              <w:left w:val="single" w:sz="8" w:space="0" w:color="auto"/>
              <w:bottom w:val="single" w:sz="4" w:space="0" w:color="auto"/>
              <w:right w:val="single" w:sz="8" w:space="0" w:color="auto"/>
            </w:tcBorders>
            <w:shd w:val="clear" w:color="auto" w:fill="auto"/>
            <w:noWrap/>
            <w:vAlign w:val="center"/>
          </w:tcPr>
          <w:p w14:paraId="654A1143"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 Собственный капитал, тыс. руб.</w:t>
            </w:r>
          </w:p>
        </w:tc>
        <w:tc>
          <w:tcPr>
            <w:tcW w:w="1275" w:type="dxa"/>
            <w:tcBorders>
              <w:top w:val="nil"/>
              <w:left w:val="nil"/>
              <w:bottom w:val="single" w:sz="4" w:space="0" w:color="auto"/>
              <w:right w:val="single" w:sz="4" w:space="0" w:color="auto"/>
            </w:tcBorders>
            <w:shd w:val="clear" w:color="auto" w:fill="auto"/>
            <w:noWrap/>
            <w:vAlign w:val="center"/>
          </w:tcPr>
          <w:p w14:paraId="65852A0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2 134 219</w:t>
            </w:r>
          </w:p>
        </w:tc>
        <w:tc>
          <w:tcPr>
            <w:tcW w:w="1276" w:type="dxa"/>
            <w:tcBorders>
              <w:top w:val="nil"/>
              <w:left w:val="nil"/>
              <w:bottom w:val="single" w:sz="4" w:space="0" w:color="auto"/>
              <w:right w:val="single" w:sz="4" w:space="0" w:color="auto"/>
            </w:tcBorders>
            <w:shd w:val="clear" w:color="auto" w:fill="auto"/>
            <w:noWrap/>
            <w:vAlign w:val="center"/>
          </w:tcPr>
          <w:p w14:paraId="40AB387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3 084 550</w:t>
            </w:r>
          </w:p>
        </w:tc>
        <w:tc>
          <w:tcPr>
            <w:tcW w:w="1276" w:type="dxa"/>
            <w:tcBorders>
              <w:top w:val="nil"/>
              <w:left w:val="nil"/>
              <w:bottom w:val="single" w:sz="4" w:space="0" w:color="auto"/>
              <w:right w:val="single" w:sz="4" w:space="0" w:color="auto"/>
            </w:tcBorders>
            <w:shd w:val="clear" w:color="auto" w:fill="auto"/>
            <w:noWrap/>
            <w:vAlign w:val="center"/>
          </w:tcPr>
          <w:p w14:paraId="03A153B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3 097 816</w:t>
            </w:r>
          </w:p>
        </w:tc>
        <w:tc>
          <w:tcPr>
            <w:tcW w:w="1559" w:type="dxa"/>
            <w:tcBorders>
              <w:top w:val="nil"/>
              <w:left w:val="nil"/>
              <w:bottom w:val="single" w:sz="4" w:space="0" w:color="auto"/>
              <w:right w:val="single" w:sz="8" w:space="0" w:color="auto"/>
            </w:tcBorders>
            <w:shd w:val="clear" w:color="auto" w:fill="auto"/>
            <w:noWrap/>
            <w:vAlign w:val="center"/>
          </w:tcPr>
          <w:p w14:paraId="5F1484D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13 266,00</w:t>
            </w:r>
          </w:p>
        </w:tc>
      </w:tr>
      <w:tr w:rsidR="00910F4C" w14:paraId="3B6D6EBE" w14:textId="77777777">
        <w:trPr>
          <w:trHeight w:val="600"/>
        </w:trPr>
        <w:tc>
          <w:tcPr>
            <w:tcW w:w="4385" w:type="dxa"/>
            <w:tcBorders>
              <w:top w:val="nil"/>
              <w:left w:val="single" w:sz="8" w:space="0" w:color="auto"/>
              <w:bottom w:val="single" w:sz="4" w:space="0" w:color="auto"/>
              <w:right w:val="single" w:sz="8" w:space="0" w:color="auto"/>
            </w:tcBorders>
            <w:shd w:val="clear" w:color="auto" w:fill="auto"/>
            <w:vAlign w:val="center"/>
          </w:tcPr>
          <w:p w14:paraId="520D6987"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Краткосрочные (текущие) обязательства, тыс. руб.</w:t>
            </w:r>
          </w:p>
        </w:tc>
        <w:tc>
          <w:tcPr>
            <w:tcW w:w="1275" w:type="dxa"/>
            <w:tcBorders>
              <w:top w:val="nil"/>
              <w:left w:val="nil"/>
              <w:bottom w:val="single" w:sz="4" w:space="0" w:color="auto"/>
              <w:right w:val="single" w:sz="4" w:space="0" w:color="auto"/>
            </w:tcBorders>
            <w:shd w:val="clear" w:color="auto" w:fill="auto"/>
            <w:noWrap/>
            <w:vAlign w:val="center"/>
          </w:tcPr>
          <w:p w14:paraId="67964904"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6 900 710</w:t>
            </w:r>
          </w:p>
        </w:tc>
        <w:tc>
          <w:tcPr>
            <w:tcW w:w="1276" w:type="dxa"/>
            <w:tcBorders>
              <w:top w:val="nil"/>
              <w:left w:val="nil"/>
              <w:bottom w:val="single" w:sz="4" w:space="0" w:color="auto"/>
              <w:right w:val="single" w:sz="4" w:space="0" w:color="auto"/>
            </w:tcBorders>
            <w:shd w:val="clear" w:color="auto" w:fill="auto"/>
            <w:noWrap/>
            <w:vAlign w:val="center"/>
          </w:tcPr>
          <w:p w14:paraId="0B7C0AA7"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10 439 302</w:t>
            </w:r>
          </w:p>
        </w:tc>
        <w:tc>
          <w:tcPr>
            <w:tcW w:w="1276" w:type="dxa"/>
            <w:tcBorders>
              <w:top w:val="nil"/>
              <w:left w:val="nil"/>
              <w:bottom w:val="single" w:sz="4" w:space="0" w:color="auto"/>
              <w:right w:val="single" w:sz="4" w:space="0" w:color="auto"/>
            </w:tcBorders>
            <w:shd w:val="clear" w:color="auto" w:fill="auto"/>
            <w:noWrap/>
            <w:vAlign w:val="center"/>
          </w:tcPr>
          <w:p w14:paraId="30B1673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15 480 088</w:t>
            </w:r>
          </w:p>
        </w:tc>
        <w:tc>
          <w:tcPr>
            <w:tcW w:w="1559" w:type="dxa"/>
            <w:tcBorders>
              <w:top w:val="nil"/>
              <w:left w:val="nil"/>
              <w:bottom w:val="single" w:sz="4" w:space="0" w:color="auto"/>
              <w:right w:val="single" w:sz="8" w:space="0" w:color="auto"/>
            </w:tcBorders>
            <w:shd w:val="clear" w:color="auto" w:fill="auto"/>
            <w:noWrap/>
            <w:vAlign w:val="center"/>
          </w:tcPr>
          <w:p w14:paraId="20D235F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5040 786,00</w:t>
            </w:r>
          </w:p>
        </w:tc>
      </w:tr>
      <w:tr w:rsidR="00910F4C" w14:paraId="503319F9" w14:textId="77777777">
        <w:trPr>
          <w:trHeight w:val="600"/>
        </w:trPr>
        <w:tc>
          <w:tcPr>
            <w:tcW w:w="4385" w:type="dxa"/>
            <w:tcBorders>
              <w:top w:val="nil"/>
              <w:left w:val="single" w:sz="8" w:space="0" w:color="auto"/>
              <w:bottom w:val="single" w:sz="4" w:space="0" w:color="auto"/>
              <w:right w:val="single" w:sz="8" w:space="0" w:color="auto"/>
            </w:tcBorders>
            <w:shd w:val="clear" w:color="auto" w:fill="auto"/>
            <w:vAlign w:val="bottom"/>
          </w:tcPr>
          <w:p w14:paraId="703E4E54"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7. Краткосрочные займы и кредиторская задолженность, </w:t>
            </w:r>
            <w:proofErr w:type="spellStart"/>
            <w:r>
              <w:rPr>
                <w:rFonts w:ascii="Times New Roman" w:eastAsia="Times New Roman" w:hAnsi="Times New Roman" w:cs="Times New Roman"/>
                <w:color w:val="000000"/>
                <w:lang w:eastAsia="ru-RU"/>
              </w:rPr>
              <w:t>тыс.руб</w:t>
            </w:r>
            <w:proofErr w:type="spellEnd"/>
            <w:r>
              <w:rPr>
                <w:rFonts w:ascii="Times New Roman" w:eastAsia="Times New Roman" w:hAnsi="Times New Roman" w:cs="Times New Roman"/>
                <w:color w:val="000000"/>
                <w:lang w:eastAsia="ru-RU"/>
              </w:rPr>
              <w:t>.</w:t>
            </w:r>
          </w:p>
        </w:tc>
        <w:tc>
          <w:tcPr>
            <w:tcW w:w="1275" w:type="dxa"/>
            <w:tcBorders>
              <w:top w:val="nil"/>
              <w:left w:val="nil"/>
              <w:bottom w:val="single" w:sz="4" w:space="0" w:color="auto"/>
              <w:right w:val="single" w:sz="4" w:space="0" w:color="auto"/>
            </w:tcBorders>
            <w:shd w:val="clear" w:color="auto" w:fill="auto"/>
            <w:noWrap/>
            <w:vAlign w:val="center"/>
          </w:tcPr>
          <w:p w14:paraId="214FEE85"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6 829 460</w:t>
            </w:r>
          </w:p>
        </w:tc>
        <w:tc>
          <w:tcPr>
            <w:tcW w:w="1276" w:type="dxa"/>
            <w:tcBorders>
              <w:top w:val="nil"/>
              <w:left w:val="nil"/>
              <w:bottom w:val="single" w:sz="4" w:space="0" w:color="auto"/>
              <w:right w:val="single" w:sz="4" w:space="0" w:color="auto"/>
            </w:tcBorders>
            <w:shd w:val="clear" w:color="auto" w:fill="auto"/>
            <w:noWrap/>
            <w:vAlign w:val="center"/>
          </w:tcPr>
          <w:p w14:paraId="127E1D7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10 351 438</w:t>
            </w:r>
          </w:p>
        </w:tc>
        <w:tc>
          <w:tcPr>
            <w:tcW w:w="1276" w:type="dxa"/>
            <w:tcBorders>
              <w:top w:val="nil"/>
              <w:left w:val="nil"/>
              <w:bottom w:val="single" w:sz="4" w:space="0" w:color="auto"/>
              <w:right w:val="single" w:sz="4" w:space="0" w:color="auto"/>
            </w:tcBorders>
            <w:shd w:val="clear" w:color="auto" w:fill="auto"/>
            <w:noWrap/>
            <w:vAlign w:val="center"/>
          </w:tcPr>
          <w:p w14:paraId="0B3E0E98"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15 333 496</w:t>
            </w:r>
          </w:p>
        </w:tc>
        <w:tc>
          <w:tcPr>
            <w:tcW w:w="1559" w:type="dxa"/>
            <w:tcBorders>
              <w:top w:val="nil"/>
              <w:left w:val="nil"/>
              <w:bottom w:val="single" w:sz="4" w:space="0" w:color="auto"/>
              <w:right w:val="single" w:sz="8" w:space="0" w:color="auto"/>
            </w:tcBorders>
            <w:shd w:val="clear" w:color="auto" w:fill="auto"/>
            <w:noWrap/>
            <w:vAlign w:val="center"/>
          </w:tcPr>
          <w:p w14:paraId="66C289F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4982 058,00</w:t>
            </w:r>
          </w:p>
        </w:tc>
      </w:tr>
      <w:tr w:rsidR="00910F4C" w14:paraId="4A0A2F01" w14:textId="77777777">
        <w:trPr>
          <w:trHeight w:val="600"/>
        </w:trPr>
        <w:tc>
          <w:tcPr>
            <w:tcW w:w="4385" w:type="dxa"/>
            <w:tcBorders>
              <w:top w:val="nil"/>
              <w:left w:val="single" w:sz="8" w:space="0" w:color="auto"/>
              <w:bottom w:val="single" w:sz="4" w:space="0" w:color="auto"/>
              <w:right w:val="single" w:sz="8" w:space="0" w:color="auto"/>
            </w:tcBorders>
            <w:shd w:val="clear" w:color="auto" w:fill="auto"/>
            <w:noWrap/>
            <w:vAlign w:val="center"/>
          </w:tcPr>
          <w:p w14:paraId="53785879"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 Коэффициент абсолютной ликвидности</w:t>
            </w:r>
          </w:p>
        </w:tc>
        <w:tc>
          <w:tcPr>
            <w:tcW w:w="1275" w:type="dxa"/>
            <w:tcBorders>
              <w:top w:val="nil"/>
              <w:left w:val="nil"/>
              <w:bottom w:val="single" w:sz="4" w:space="0" w:color="auto"/>
              <w:right w:val="single" w:sz="4" w:space="0" w:color="auto"/>
            </w:tcBorders>
            <w:shd w:val="clear" w:color="auto" w:fill="auto"/>
            <w:noWrap/>
            <w:vAlign w:val="center"/>
          </w:tcPr>
          <w:p w14:paraId="4AE6ECD4"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0,02</w:t>
            </w:r>
          </w:p>
        </w:tc>
        <w:tc>
          <w:tcPr>
            <w:tcW w:w="1276" w:type="dxa"/>
            <w:tcBorders>
              <w:top w:val="nil"/>
              <w:left w:val="nil"/>
              <w:bottom w:val="single" w:sz="4" w:space="0" w:color="auto"/>
              <w:right w:val="single" w:sz="4" w:space="0" w:color="auto"/>
            </w:tcBorders>
            <w:shd w:val="clear" w:color="auto" w:fill="auto"/>
            <w:noWrap/>
            <w:vAlign w:val="center"/>
          </w:tcPr>
          <w:p w14:paraId="181856D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0,09</w:t>
            </w:r>
          </w:p>
        </w:tc>
        <w:tc>
          <w:tcPr>
            <w:tcW w:w="1276" w:type="dxa"/>
            <w:tcBorders>
              <w:top w:val="nil"/>
              <w:left w:val="nil"/>
              <w:bottom w:val="single" w:sz="4" w:space="0" w:color="auto"/>
              <w:right w:val="single" w:sz="4" w:space="0" w:color="auto"/>
            </w:tcBorders>
            <w:shd w:val="clear" w:color="auto" w:fill="auto"/>
            <w:noWrap/>
            <w:vAlign w:val="center"/>
          </w:tcPr>
          <w:p w14:paraId="78C71C3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0,21</w:t>
            </w:r>
          </w:p>
        </w:tc>
        <w:tc>
          <w:tcPr>
            <w:tcW w:w="1559" w:type="dxa"/>
            <w:tcBorders>
              <w:top w:val="nil"/>
              <w:left w:val="nil"/>
              <w:bottom w:val="single" w:sz="4" w:space="0" w:color="auto"/>
              <w:right w:val="single" w:sz="8" w:space="0" w:color="auto"/>
            </w:tcBorders>
            <w:shd w:val="clear" w:color="auto" w:fill="auto"/>
            <w:noWrap/>
            <w:vAlign w:val="center"/>
          </w:tcPr>
          <w:p w14:paraId="09923BB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0,13</w:t>
            </w:r>
          </w:p>
        </w:tc>
      </w:tr>
      <w:tr w:rsidR="00910F4C" w14:paraId="21555818" w14:textId="77777777">
        <w:trPr>
          <w:trHeight w:val="600"/>
        </w:trPr>
        <w:tc>
          <w:tcPr>
            <w:tcW w:w="4385" w:type="dxa"/>
            <w:tcBorders>
              <w:top w:val="nil"/>
              <w:left w:val="single" w:sz="8" w:space="0" w:color="auto"/>
              <w:bottom w:val="single" w:sz="4" w:space="0" w:color="auto"/>
              <w:right w:val="single" w:sz="8" w:space="0" w:color="auto"/>
            </w:tcBorders>
            <w:shd w:val="clear" w:color="auto" w:fill="auto"/>
            <w:noWrap/>
            <w:vAlign w:val="center"/>
          </w:tcPr>
          <w:p w14:paraId="03BA0A71"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 Промежуточный коэффициент покрытия</w:t>
            </w:r>
          </w:p>
        </w:tc>
        <w:tc>
          <w:tcPr>
            <w:tcW w:w="1275" w:type="dxa"/>
            <w:tcBorders>
              <w:top w:val="nil"/>
              <w:left w:val="nil"/>
              <w:bottom w:val="single" w:sz="4" w:space="0" w:color="auto"/>
              <w:right w:val="single" w:sz="4" w:space="0" w:color="auto"/>
            </w:tcBorders>
            <w:shd w:val="clear" w:color="auto" w:fill="auto"/>
            <w:noWrap/>
            <w:vAlign w:val="center"/>
          </w:tcPr>
          <w:p w14:paraId="132F32B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0,29</w:t>
            </w:r>
          </w:p>
        </w:tc>
        <w:tc>
          <w:tcPr>
            <w:tcW w:w="1276" w:type="dxa"/>
            <w:tcBorders>
              <w:top w:val="nil"/>
              <w:left w:val="nil"/>
              <w:bottom w:val="single" w:sz="4" w:space="0" w:color="auto"/>
              <w:right w:val="single" w:sz="4" w:space="0" w:color="auto"/>
            </w:tcBorders>
            <w:shd w:val="clear" w:color="auto" w:fill="auto"/>
            <w:noWrap/>
            <w:vAlign w:val="center"/>
          </w:tcPr>
          <w:p w14:paraId="14B89F7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0,40</w:t>
            </w:r>
          </w:p>
        </w:tc>
        <w:tc>
          <w:tcPr>
            <w:tcW w:w="1276" w:type="dxa"/>
            <w:tcBorders>
              <w:top w:val="nil"/>
              <w:left w:val="nil"/>
              <w:bottom w:val="single" w:sz="4" w:space="0" w:color="auto"/>
              <w:right w:val="single" w:sz="4" w:space="0" w:color="auto"/>
            </w:tcBorders>
            <w:shd w:val="clear" w:color="auto" w:fill="auto"/>
            <w:noWrap/>
            <w:vAlign w:val="center"/>
          </w:tcPr>
          <w:p w14:paraId="09CB93E5"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0,51</w:t>
            </w:r>
          </w:p>
        </w:tc>
        <w:tc>
          <w:tcPr>
            <w:tcW w:w="1559" w:type="dxa"/>
            <w:tcBorders>
              <w:top w:val="nil"/>
              <w:left w:val="nil"/>
              <w:bottom w:val="single" w:sz="4" w:space="0" w:color="auto"/>
              <w:right w:val="single" w:sz="8" w:space="0" w:color="auto"/>
            </w:tcBorders>
            <w:shd w:val="clear" w:color="auto" w:fill="auto"/>
            <w:noWrap/>
            <w:vAlign w:val="center"/>
          </w:tcPr>
          <w:p w14:paraId="61F579F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0,12</w:t>
            </w:r>
          </w:p>
        </w:tc>
      </w:tr>
      <w:tr w:rsidR="00910F4C" w14:paraId="587DCBBF" w14:textId="77777777">
        <w:trPr>
          <w:trHeight w:val="600"/>
        </w:trPr>
        <w:tc>
          <w:tcPr>
            <w:tcW w:w="4385" w:type="dxa"/>
            <w:tcBorders>
              <w:top w:val="nil"/>
              <w:left w:val="single" w:sz="8" w:space="0" w:color="auto"/>
              <w:bottom w:val="single" w:sz="4" w:space="0" w:color="auto"/>
              <w:right w:val="single" w:sz="8" w:space="0" w:color="auto"/>
            </w:tcBorders>
            <w:shd w:val="clear" w:color="auto" w:fill="auto"/>
            <w:noWrap/>
            <w:vAlign w:val="center"/>
          </w:tcPr>
          <w:p w14:paraId="62215640"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 Коэффициент текущей ликвидности</w:t>
            </w:r>
          </w:p>
        </w:tc>
        <w:tc>
          <w:tcPr>
            <w:tcW w:w="1275" w:type="dxa"/>
            <w:tcBorders>
              <w:top w:val="nil"/>
              <w:left w:val="nil"/>
              <w:bottom w:val="single" w:sz="4" w:space="0" w:color="auto"/>
              <w:right w:val="single" w:sz="4" w:space="0" w:color="auto"/>
            </w:tcBorders>
            <w:shd w:val="clear" w:color="auto" w:fill="auto"/>
            <w:noWrap/>
            <w:vAlign w:val="center"/>
          </w:tcPr>
          <w:p w14:paraId="33F6C4A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c>
          <w:tcPr>
            <w:tcW w:w="1276" w:type="dxa"/>
            <w:tcBorders>
              <w:top w:val="nil"/>
              <w:left w:val="nil"/>
              <w:bottom w:val="single" w:sz="4" w:space="0" w:color="auto"/>
              <w:right w:val="single" w:sz="4" w:space="0" w:color="auto"/>
            </w:tcBorders>
            <w:shd w:val="clear" w:color="auto" w:fill="auto"/>
            <w:noWrap/>
            <w:vAlign w:val="center"/>
          </w:tcPr>
          <w:p w14:paraId="1CE3B1C9"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w:t>
            </w:r>
          </w:p>
        </w:tc>
        <w:tc>
          <w:tcPr>
            <w:tcW w:w="1276" w:type="dxa"/>
            <w:tcBorders>
              <w:top w:val="nil"/>
              <w:left w:val="nil"/>
              <w:bottom w:val="single" w:sz="4" w:space="0" w:color="auto"/>
              <w:right w:val="single" w:sz="4" w:space="0" w:color="auto"/>
            </w:tcBorders>
            <w:shd w:val="clear" w:color="auto" w:fill="auto"/>
            <w:noWrap/>
            <w:vAlign w:val="center"/>
          </w:tcPr>
          <w:p w14:paraId="6628217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w:t>
            </w:r>
          </w:p>
        </w:tc>
        <w:tc>
          <w:tcPr>
            <w:tcW w:w="1559" w:type="dxa"/>
            <w:tcBorders>
              <w:top w:val="nil"/>
              <w:left w:val="nil"/>
              <w:bottom w:val="single" w:sz="4" w:space="0" w:color="auto"/>
              <w:right w:val="single" w:sz="8" w:space="0" w:color="auto"/>
            </w:tcBorders>
            <w:shd w:val="clear" w:color="auto" w:fill="auto"/>
            <w:noWrap/>
            <w:vAlign w:val="center"/>
          </w:tcPr>
          <w:p w14:paraId="2C97D97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- 0,03</w:t>
            </w:r>
          </w:p>
        </w:tc>
      </w:tr>
      <w:tr w:rsidR="00910F4C" w14:paraId="4702CC22" w14:textId="77777777">
        <w:trPr>
          <w:trHeight w:val="600"/>
        </w:trPr>
        <w:tc>
          <w:tcPr>
            <w:tcW w:w="4385" w:type="dxa"/>
            <w:tcBorders>
              <w:top w:val="nil"/>
              <w:left w:val="single" w:sz="8" w:space="0" w:color="auto"/>
              <w:bottom w:val="single" w:sz="4" w:space="0" w:color="auto"/>
              <w:right w:val="single" w:sz="8" w:space="0" w:color="auto"/>
            </w:tcBorders>
            <w:shd w:val="clear" w:color="auto" w:fill="auto"/>
            <w:vAlign w:val="center"/>
          </w:tcPr>
          <w:p w14:paraId="6CFE365A"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 Коэффициент обеспеченности ОА собственными оборотными средствами</w:t>
            </w:r>
          </w:p>
        </w:tc>
        <w:tc>
          <w:tcPr>
            <w:tcW w:w="1275" w:type="dxa"/>
            <w:tcBorders>
              <w:top w:val="nil"/>
              <w:left w:val="nil"/>
              <w:bottom w:val="single" w:sz="4" w:space="0" w:color="auto"/>
              <w:right w:val="single" w:sz="4" w:space="0" w:color="auto"/>
            </w:tcBorders>
            <w:shd w:val="clear" w:color="auto" w:fill="auto"/>
            <w:noWrap/>
            <w:vAlign w:val="center"/>
          </w:tcPr>
          <w:p w14:paraId="6F77FDF9" w14:textId="77777777" w:rsidR="00910F4C" w:rsidRDefault="009D47C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- 0,08</w:t>
            </w:r>
          </w:p>
        </w:tc>
        <w:tc>
          <w:tcPr>
            <w:tcW w:w="1276" w:type="dxa"/>
            <w:tcBorders>
              <w:top w:val="nil"/>
              <w:left w:val="nil"/>
              <w:bottom w:val="single" w:sz="4" w:space="0" w:color="auto"/>
              <w:right w:val="single" w:sz="4" w:space="0" w:color="auto"/>
            </w:tcBorders>
            <w:shd w:val="clear" w:color="auto" w:fill="auto"/>
            <w:noWrap/>
            <w:vAlign w:val="center"/>
          </w:tcPr>
          <w:p w14:paraId="69572D38"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0,13</w:t>
            </w:r>
          </w:p>
        </w:tc>
        <w:tc>
          <w:tcPr>
            <w:tcW w:w="1276" w:type="dxa"/>
            <w:tcBorders>
              <w:top w:val="nil"/>
              <w:left w:val="nil"/>
              <w:bottom w:val="single" w:sz="4" w:space="0" w:color="auto"/>
              <w:right w:val="single" w:sz="4" w:space="0" w:color="auto"/>
            </w:tcBorders>
            <w:shd w:val="clear" w:color="auto" w:fill="auto"/>
            <w:noWrap/>
            <w:vAlign w:val="center"/>
          </w:tcPr>
          <w:p w14:paraId="506EAF9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0,14</w:t>
            </w:r>
          </w:p>
        </w:tc>
        <w:tc>
          <w:tcPr>
            <w:tcW w:w="1559" w:type="dxa"/>
            <w:tcBorders>
              <w:top w:val="nil"/>
              <w:left w:val="nil"/>
              <w:bottom w:val="single" w:sz="4" w:space="0" w:color="auto"/>
              <w:right w:val="single" w:sz="8" w:space="0" w:color="auto"/>
            </w:tcBorders>
            <w:shd w:val="clear" w:color="auto" w:fill="auto"/>
            <w:noWrap/>
            <w:vAlign w:val="center"/>
          </w:tcPr>
          <w:p w14:paraId="4153CD9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0,01</w:t>
            </w:r>
          </w:p>
        </w:tc>
      </w:tr>
      <w:tr w:rsidR="00910F4C" w14:paraId="19CE02F3" w14:textId="77777777">
        <w:trPr>
          <w:trHeight w:val="600"/>
        </w:trPr>
        <w:tc>
          <w:tcPr>
            <w:tcW w:w="4385" w:type="dxa"/>
            <w:tcBorders>
              <w:top w:val="nil"/>
              <w:left w:val="single" w:sz="8" w:space="0" w:color="auto"/>
              <w:bottom w:val="single" w:sz="4" w:space="0" w:color="auto"/>
              <w:right w:val="single" w:sz="8" w:space="0" w:color="auto"/>
            </w:tcBorders>
            <w:shd w:val="clear" w:color="auto" w:fill="auto"/>
            <w:noWrap/>
            <w:vAlign w:val="center"/>
          </w:tcPr>
          <w:p w14:paraId="515E099F"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 Чистые ОА, тыс. руб.</w:t>
            </w:r>
          </w:p>
        </w:tc>
        <w:tc>
          <w:tcPr>
            <w:tcW w:w="1275" w:type="dxa"/>
            <w:tcBorders>
              <w:top w:val="nil"/>
              <w:left w:val="nil"/>
              <w:bottom w:val="single" w:sz="4" w:space="0" w:color="auto"/>
              <w:right w:val="single" w:sz="4" w:space="0" w:color="auto"/>
            </w:tcBorders>
            <w:shd w:val="clear" w:color="auto" w:fill="auto"/>
            <w:noWrap/>
            <w:vAlign w:val="center"/>
          </w:tcPr>
          <w:p w14:paraId="1FA3E75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14 339</w:t>
            </w:r>
          </w:p>
        </w:tc>
        <w:tc>
          <w:tcPr>
            <w:tcW w:w="1276" w:type="dxa"/>
            <w:tcBorders>
              <w:top w:val="nil"/>
              <w:left w:val="nil"/>
              <w:bottom w:val="single" w:sz="4" w:space="0" w:color="auto"/>
              <w:right w:val="single" w:sz="4" w:space="0" w:color="auto"/>
            </w:tcBorders>
            <w:shd w:val="clear" w:color="auto" w:fill="auto"/>
            <w:noWrap/>
            <w:vAlign w:val="center"/>
          </w:tcPr>
          <w:p w14:paraId="6DEFA30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934 428</w:t>
            </w:r>
          </w:p>
        </w:tc>
        <w:tc>
          <w:tcPr>
            <w:tcW w:w="1276" w:type="dxa"/>
            <w:tcBorders>
              <w:top w:val="nil"/>
              <w:left w:val="nil"/>
              <w:bottom w:val="single" w:sz="4" w:space="0" w:color="auto"/>
              <w:right w:val="single" w:sz="4" w:space="0" w:color="auto"/>
            </w:tcBorders>
            <w:shd w:val="clear" w:color="auto" w:fill="auto"/>
            <w:noWrap/>
            <w:vAlign w:val="center"/>
          </w:tcPr>
          <w:p w14:paraId="1D4DAE3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937 573</w:t>
            </w:r>
          </w:p>
        </w:tc>
        <w:tc>
          <w:tcPr>
            <w:tcW w:w="1559" w:type="dxa"/>
            <w:tcBorders>
              <w:top w:val="nil"/>
              <w:left w:val="nil"/>
              <w:bottom w:val="single" w:sz="4" w:space="0" w:color="auto"/>
              <w:right w:val="single" w:sz="8" w:space="0" w:color="auto"/>
            </w:tcBorders>
            <w:shd w:val="clear" w:color="auto" w:fill="auto"/>
            <w:noWrap/>
            <w:vAlign w:val="center"/>
          </w:tcPr>
          <w:p w14:paraId="48204A45"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3 145,00</w:t>
            </w:r>
          </w:p>
        </w:tc>
      </w:tr>
      <w:tr w:rsidR="00910F4C" w14:paraId="6A938000" w14:textId="77777777">
        <w:trPr>
          <w:trHeight w:val="840"/>
        </w:trPr>
        <w:tc>
          <w:tcPr>
            <w:tcW w:w="4385" w:type="dxa"/>
            <w:tcBorders>
              <w:top w:val="nil"/>
              <w:left w:val="single" w:sz="8" w:space="0" w:color="auto"/>
              <w:bottom w:val="single" w:sz="4" w:space="0" w:color="auto"/>
              <w:right w:val="single" w:sz="8" w:space="0" w:color="auto"/>
            </w:tcBorders>
            <w:shd w:val="clear" w:color="auto" w:fill="auto"/>
            <w:vAlign w:val="bottom"/>
          </w:tcPr>
          <w:p w14:paraId="0F53DB81"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 Коэффициент платежеспособности по данным отчета о движении денежных средств</w:t>
            </w:r>
          </w:p>
        </w:tc>
        <w:tc>
          <w:tcPr>
            <w:tcW w:w="1275" w:type="dxa"/>
            <w:tcBorders>
              <w:top w:val="nil"/>
              <w:left w:val="nil"/>
              <w:bottom w:val="single" w:sz="4" w:space="0" w:color="auto"/>
              <w:right w:val="single" w:sz="4" w:space="0" w:color="auto"/>
            </w:tcBorders>
            <w:shd w:val="clear" w:color="auto" w:fill="auto"/>
            <w:noWrap/>
            <w:vAlign w:val="center"/>
          </w:tcPr>
          <w:p w14:paraId="1F18925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1,003</w:t>
            </w:r>
          </w:p>
        </w:tc>
        <w:tc>
          <w:tcPr>
            <w:tcW w:w="1276" w:type="dxa"/>
            <w:tcBorders>
              <w:top w:val="nil"/>
              <w:left w:val="nil"/>
              <w:bottom w:val="single" w:sz="4" w:space="0" w:color="auto"/>
              <w:right w:val="single" w:sz="4" w:space="0" w:color="auto"/>
            </w:tcBorders>
            <w:shd w:val="clear" w:color="auto" w:fill="auto"/>
            <w:noWrap/>
            <w:vAlign w:val="center"/>
          </w:tcPr>
          <w:p w14:paraId="0CB21EF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1,043</w:t>
            </w:r>
          </w:p>
        </w:tc>
        <w:tc>
          <w:tcPr>
            <w:tcW w:w="1276" w:type="dxa"/>
            <w:tcBorders>
              <w:top w:val="nil"/>
              <w:left w:val="nil"/>
              <w:bottom w:val="single" w:sz="4" w:space="0" w:color="auto"/>
              <w:right w:val="single" w:sz="4" w:space="0" w:color="auto"/>
            </w:tcBorders>
            <w:shd w:val="clear" w:color="auto" w:fill="auto"/>
            <w:noWrap/>
            <w:vAlign w:val="center"/>
          </w:tcPr>
          <w:p w14:paraId="2859E48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1, 193</w:t>
            </w:r>
          </w:p>
        </w:tc>
        <w:tc>
          <w:tcPr>
            <w:tcW w:w="1559" w:type="dxa"/>
            <w:tcBorders>
              <w:top w:val="nil"/>
              <w:left w:val="nil"/>
              <w:bottom w:val="single" w:sz="4" w:space="0" w:color="auto"/>
              <w:right w:val="single" w:sz="8" w:space="0" w:color="auto"/>
            </w:tcBorders>
            <w:shd w:val="clear" w:color="auto" w:fill="auto"/>
            <w:noWrap/>
            <w:vAlign w:val="center"/>
          </w:tcPr>
          <w:p w14:paraId="1BA02AB7"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0,15</w:t>
            </w:r>
          </w:p>
        </w:tc>
      </w:tr>
      <w:tr w:rsidR="00910F4C" w14:paraId="2DE1F0E0" w14:textId="77777777">
        <w:trPr>
          <w:trHeight w:val="564"/>
        </w:trPr>
        <w:tc>
          <w:tcPr>
            <w:tcW w:w="4385" w:type="dxa"/>
            <w:tcBorders>
              <w:top w:val="nil"/>
              <w:left w:val="single" w:sz="8" w:space="0" w:color="auto"/>
              <w:bottom w:val="single" w:sz="8" w:space="0" w:color="auto"/>
              <w:right w:val="single" w:sz="8" w:space="0" w:color="auto"/>
            </w:tcBorders>
            <w:shd w:val="clear" w:color="auto" w:fill="auto"/>
            <w:vAlign w:val="bottom"/>
          </w:tcPr>
          <w:p w14:paraId="37A271D1"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 Уточненный коэффициент текущей ликвидности</w:t>
            </w:r>
          </w:p>
        </w:tc>
        <w:tc>
          <w:tcPr>
            <w:tcW w:w="1275" w:type="dxa"/>
            <w:tcBorders>
              <w:top w:val="nil"/>
              <w:left w:val="nil"/>
              <w:bottom w:val="single" w:sz="8" w:space="0" w:color="auto"/>
              <w:right w:val="single" w:sz="4" w:space="0" w:color="auto"/>
            </w:tcBorders>
            <w:shd w:val="clear" w:color="auto" w:fill="auto"/>
            <w:noWrap/>
            <w:vAlign w:val="center"/>
          </w:tcPr>
          <w:p w14:paraId="6DF53564"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0,934</w:t>
            </w:r>
          </w:p>
        </w:tc>
        <w:tc>
          <w:tcPr>
            <w:tcW w:w="1276" w:type="dxa"/>
            <w:tcBorders>
              <w:top w:val="nil"/>
              <w:left w:val="nil"/>
              <w:bottom w:val="single" w:sz="8" w:space="0" w:color="auto"/>
              <w:right w:val="single" w:sz="4" w:space="0" w:color="auto"/>
            </w:tcBorders>
            <w:shd w:val="clear" w:color="auto" w:fill="auto"/>
            <w:noWrap/>
            <w:vAlign w:val="center"/>
          </w:tcPr>
          <w:p w14:paraId="730E2EB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0,996</w:t>
            </w:r>
          </w:p>
        </w:tc>
        <w:tc>
          <w:tcPr>
            <w:tcW w:w="1276" w:type="dxa"/>
            <w:tcBorders>
              <w:top w:val="nil"/>
              <w:left w:val="nil"/>
              <w:bottom w:val="single" w:sz="8" w:space="0" w:color="auto"/>
              <w:right w:val="single" w:sz="4" w:space="0" w:color="auto"/>
            </w:tcBorders>
            <w:shd w:val="clear" w:color="auto" w:fill="auto"/>
            <w:noWrap/>
            <w:vAlign w:val="center"/>
          </w:tcPr>
          <w:p w14:paraId="022235C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0,945</w:t>
            </w:r>
          </w:p>
        </w:tc>
        <w:tc>
          <w:tcPr>
            <w:tcW w:w="1559" w:type="dxa"/>
            <w:tcBorders>
              <w:top w:val="nil"/>
              <w:left w:val="nil"/>
              <w:bottom w:val="single" w:sz="4" w:space="0" w:color="auto"/>
              <w:right w:val="single" w:sz="8" w:space="0" w:color="auto"/>
            </w:tcBorders>
            <w:shd w:val="clear" w:color="auto" w:fill="auto"/>
            <w:noWrap/>
            <w:vAlign w:val="center"/>
          </w:tcPr>
          <w:p w14:paraId="75753E3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- 0,05</w:t>
            </w:r>
          </w:p>
        </w:tc>
      </w:tr>
    </w:tbl>
    <w:p w14:paraId="4FE280D7" w14:textId="77777777" w:rsidR="00910F4C" w:rsidRDefault="009D47C4">
      <w:pPr>
        <w:pStyle w:val="ad"/>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 анализируемый период коэффициенты абсолютной и промежуточной ликвидности не достигли нормативных значений, что указывает на невозможность предприятия погасить обязательства за счет наличных. Коэффициент текущей ликвидности также ниже нормы, хотя в 2023 году он вырос до 1,09, но к отчетному году снизился на 0,03. Коэффициент обеспеченности оборотными активами собственными средствами показал отрицательное значение в 2023 году, что свидетельствует о финансировании </w:t>
      </w:r>
      <w:r>
        <w:rPr>
          <w:rFonts w:ascii="Times New Roman" w:hAnsi="Times New Roman" w:cs="Times New Roman"/>
          <w:sz w:val="28"/>
          <w:szCs w:val="28"/>
        </w:rPr>
        <w:lastRenderedPageBreak/>
        <w:t>активов за счет кредитов. В то же время, в 2023 и 2024 годах показатель превысил 0,1, что указывает на некоторое восстановление платежеспособности. Однако уточненный коэффициент текущей ликвидности оставался ниже 1, подтверждая финансовую неустойчивость предприятия и риски для производственного процесса и доверия кредиторов.</w:t>
      </w:r>
    </w:p>
    <w:p w14:paraId="3F758C2D" w14:textId="3632BE96" w:rsidR="00910F4C" w:rsidRDefault="009D47C4" w:rsidP="00D42EC3">
      <w:pPr>
        <w:pStyle w:val="ad"/>
        <w:spacing w:after="0" w:line="240" w:lineRule="auto"/>
        <w:ind w:left="0"/>
        <w:jc w:val="both"/>
        <w:rPr>
          <w:rFonts w:ascii="Times New Roman" w:hAnsi="Times New Roman" w:cs="Times New Roman"/>
          <w:sz w:val="28"/>
          <w:szCs w:val="28"/>
        </w:rPr>
      </w:pPr>
      <w:r w:rsidRPr="00DD0CEE">
        <w:rPr>
          <w:rFonts w:ascii="Times New Roman" w:hAnsi="Times New Roman" w:cs="Times New Roman"/>
          <w:sz w:val="28"/>
          <w:szCs w:val="28"/>
        </w:rPr>
        <w:t>Таблица 7 – Анализ финансовой устойчивости в части формирования запасов и затрат ООО «Кубань вино» (составлено автором на основе [5])</w:t>
      </w:r>
    </w:p>
    <w:tbl>
      <w:tblPr>
        <w:tblW w:w="9346" w:type="dxa"/>
        <w:tblLook w:val="04A0" w:firstRow="1" w:lastRow="0" w:firstColumn="1" w:lastColumn="0" w:noHBand="0" w:noVBand="1"/>
      </w:tblPr>
      <w:tblGrid>
        <w:gridCol w:w="5235"/>
        <w:gridCol w:w="1523"/>
        <w:gridCol w:w="1417"/>
        <w:gridCol w:w="1276"/>
      </w:tblGrid>
      <w:tr w:rsidR="00910F4C" w14:paraId="521BAA3F" w14:textId="77777777">
        <w:trPr>
          <w:trHeight w:val="447"/>
        </w:trPr>
        <w:tc>
          <w:tcPr>
            <w:tcW w:w="5235" w:type="dxa"/>
            <w:tcBorders>
              <w:top w:val="single" w:sz="8" w:space="0" w:color="auto"/>
              <w:left w:val="single" w:sz="8" w:space="0" w:color="auto"/>
              <w:bottom w:val="single" w:sz="4" w:space="0" w:color="auto"/>
              <w:right w:val="nil"/>
            </w:tcBorders>
            <w:shd w:val="clear" w:color="auto" w:fill="auto"/>
            <w:noWrap/>
            <w:vAlign w:val="center"/>
          </w:tcPr>
          <w:p w14:paraId="1B8F6C8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Показатели</w:t>
            </w:r>
          </w:p>
        </w:tc>
        <w:tc>
          <w:tcPr>
            <w:tcW w:w="1418"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843F44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Формулы</w:t>
            </w:r>
          </w:p>
        </w:tc>
        <w:tc>
          <w:tcPr>
            <w:tcW w:w="1417" w:type="dxa"/>
            <w:tcBorders>
              <w:top w:val="single" w:sz="8" w:space="0" w:color="auto"/>
              <w:left w:val="nil"/>
              <w:bottom w:val="single" w:sz="4" w:space="0" w:color="auto"/>
              <w:right w:val="single" w:sz="4" w:space="0" w:color="auto"/>
            </w:tcBorders>
            <w:shd w:val="clear" w:color="auto" w:fill="auto"/>
            <w:vAlign w:val="center"/>
          </w:tcPr>
          <w:p w14:paraId="120005B8"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2024</w:t>
            </w:r>
          </w:p>
        </w:tc>
        <w:tc>
          <w:tcPr>
            <w:tcW w:w="1276" w:type="dxa"/>
            <w:tcBorders>
              <w:top w:val="single" w:sz="8" w:space="0" w:color="auto"/>
              <w:left w:val="nil"/>
              <w:bottom w:val="single" w:sz="4" w:space="0" w:color="auto"/>
              <w:right w:val="single" w:sz="8" w:space="0" w:color="auto"/>
            </w:tcBorders>
            <w:shd w:val="clear" w:color="auto" w:fill="auto"/>
            <w:vAlign w:val="center"/>
          </w:tcPr>
          <w:p w14:paraId="25E80BD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2023</w:t>
            </w:r>
          </w:p>
        </w:tc>
      </w:tr>
      <w:tr w:rsidR="00910F4C" w14:paraId="58A8D75D" w14:textId="77777777">
        <w:trPr>
          <w:trHeight w:val="882"/>
        </w:trPr>
        <w:tc>
          <w:tcPr>
            <w:tcW w:w="5235" w:type="dxa"/>
            <w:tcBorders>
              <w:top w:val="nil"/>
              <w:left w:val="single" w:sz="8" w:space="0" w:color="auto"/>
              <w:bottom w:val="single" w:sz="4" w:space="0" w:color="auto"/>
              <w:right w:val="nil"/>
            </w:tcBorders>
            <w:shd w:val="clear" w:color="auto" w:fill="auto"/>
            <w:noWrap/>
            <w:vAlign w:val="center"/>
          </w:tcPr>
          <w:p w14:paraId="0A5F1CFD"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 Общая величина запасов</w:t>
            </w:r>
          </w:p>
        </w:tc>
        <w:tc>
          <w:tcPr>
            <w:tcW w:w="1418" w:type="dxa"/>
            <w:tcBorders>
              <w:top w:val="nil"/>
              <w:left w:val="single" w:sz="8" w:space="0" w:color="auto"/>
              <w:bottom w:val="single" w:sz="4" w:space="0" w:color="auto"/>
              <w:right w:val="single" w:sz="8" w:space="0" w:color="auto"/>
            </w:tcBorders>
            <w:shd w:val="clear" w:color="auto" w:fill="auto"/>
            <w:noWrap/>
            <w:vAlign w:val="center"/>
          </w:tcPr>
          <w:p w14:paraId="7DE7D12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w:t>
            </w:r>
          </w:p>
        </w:tc>
        <w:tc>
          <w:tcPr>
            <w:tcW w:w="1417" w:type="dxa"/>
            <w:tcBorders>
              <w:top w:val="nil"/>
              <w:left w:val="nil"/>
              <w:bottom w:val="single" w:sz="4" w:space="0" w:color="auto"/>
              <w:right w:val="single" w:sz="4" w:space="0" w:color="auto"/>
            </w:tcBorders>
            <w:shd w:val="clear" w:color="auto" w:fill="auto"/>
            <w:noWrap/>
            <w:vAlign w:val="center"/>
          </w:tcPr>
          <w:p w14:paraId="41509F3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7046 584</w:t>
            </w:r>
          </w:p>
        </w:tc>
        <w:tc>
          <w:tcPr>
            <w:tcW w:w="1276" w:type="dxa"/>
            <w:tcBorders>
              <w:top w:val="nil"/>
              <w:left w:val="nil"/>
              <w:bottom w:val="single" w:sz="4" w:space="0" w:color="auto"/>
              <w:right w:val="single" w:sz="8" w:space="0" w:color="auto"/>
            </w:tcBorders>
            <w:shd w:val="clear" w:color="auto" w:fill="auto"/>
            <w:noWrap/>
            <w:vAlign w:val="center"/>
          </w:tcPr>
          <w:p w14:paraId="4CF7C76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8204 566</w:t>
            </w:r>
          </w:p>
        </w:tc>
      </w:tr>
      <w:tr w:rsidR="00910F4C" w14:paraId="0B0DCEF9" w14:textId="77777777">
        <w:trPr>
          <w:trHeight w:val="882"/>
        </w:trPr>
        <w:tc>
          <w:tcPr>
            <w:tcW w:w="5235" w:type="dxa"/>
            <w:tcBorders>
              <w:top w:val="nil"/>
              <w:left w:val="single" w:sz="8" w:space="0" w:color="auto"/>
              <w:bottom w:val="single" w:sz="4" w:space="0" w:color="auto"/>
              <w:right w:val="nil"/>
            </w:tcBorders>
            <w:shd w:val="clear" w:color="auto" w:fill="auto"/>
            <w:vAlign w:val="center"/>
          </w:tcPr>
          <w:p w14:paraId="605ADFAD"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Наличие собственных оборотных средств</w:t>
            </w:r>
          </w:p>
        </w:tc>
        <w:tc>
          <w:tcPr>
            <w:tcW w:w="1418" w:type="dxa"/>
            <w:tcBorders>
              <w:top w:val="nil"/>
              <w:left w:val="single" w:sz="8" w:space="0" w:color="auto"/>
              <w:bottom w:val="single" w:sz="4" w:space="0" w:color="auto"/>
              <w:right w:val="single" w:sz="8" w:space="0" w:color="auto"/>
            </w:tcBorders>
            <w:shd w:val="clear" w:color="auto" w:fill="auto"/>
            <w:noWrap/>
            <w:vAlign w:val="center"/>
          </w:tcPr>
          <w:p w14:paraId="1943E85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СОС=СК-ВА</w:t>
            </w:r>
          </w:p>
        </w:tc>
        <w:tc>
          <w:tcPr>
            <w:tcW w:w="1417" w:type="dxa"/>
            <w:tcBorders>
              <w:top w:val="nil"/>
              <w:left w:val="nil"/>
              <w:bottom w:val="single" w:sz="4" w:space="0" w:color="auto"/>
              <w:right w:val="single" w:sz="4" w:space="0" w:color="auto"/>
            </w:tcBorders>
            <w:shd w:val="clear" w:color="auto" w:fill="auto"/>
            <w:noWrap/>
            <w:vAlign w:val="center"/>
          </w:tcPr>
          <w:p w14:paraId="5D34E1B7"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-1723 597</w:t>
            </w:r>
          </w:p>
        </w:tc>
        <w:tc>
          <w:tcPr>
            <w:tcW w:w="1276" w:type="dxa"/>
            <w:tcBorders>
              <w:top w:val="nil"/>
              <w:left w:val="single" w:sz="8" w:space="0" w:color="auto"/>
              <w:bottom w:val="single" w:sz="4" w:space="0" w:color="auto"/>
              <w:right w:val="single" w:sz="4" w:space="0" w:color="auto"/>
            </w:tcBorders>
            <w:shd w:val="clear" w:color="auto" w:fill="auto"/>
            <w:noWrap/>
            <w:vAlign w:val="center"/>
          </w:tcPr>
          <w:p w14:paraId="50C40558"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-2299 551</w:t>
            </w:r>
          </w:p>
        </w:tc>
      </w:tr>
      <w:tr w:rsidR="00910F4C" w14:paraId="5E79FF2A" w14:textId="77777777">
        <w:trPr>
          <w:trHeight w:val="882"/>
        </w:trPr>
        <w:tc>
          <w:tcPr>
            <w:tcW w:w="5235" w:type="dxa"/>
            <w:tcBorders>
              <w:top w:val="nil"/>
              <w:left w:val="single" w:sz="8" w:space="0" w:color="auto"/>
              <w:bottom w:val="single" w:sz="4" w:space="0" w:color="auto"/>
              <w:right w:val="nil"/>
            </w:tcBorders>
            <w:shd w:val="clear" w:color="auto" w:fill="auto"/>
            <w:vAlign w:val="center"/>
          </w:tcPr>
          <w:p w14:paraId="2BC9DD4E"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 Величина собственных оборотных и долгосрочных платных заемных средств</w:t>
            </w:r>
          </w:p>
        </w:tc>
        <w:tc>
          <w:tcPr>
            <w:tcW w:w="1418" w:type="dxa"/>
            <w:tcBorders>
              <w:top w:val="nil"/>
              <w:left w:val="single" w:sz="8" w:space="0" w:color="auto"/>
              <w:bottom w:val="single" w:sz="4" w:space="0" w:color="auto"/>
              <w:right w:val="single" w:sz="8" w:space="0" w:color="auto"/>
            </w:tcBorders>
            <w:shd w:val="clear" w:color="auto" w:fill="auto"/>
            <w:noWrap/>
            <w:vAlign w:val="center"/>
          </w:tcPr>
          <w:p w14:paraId="7A3BD1A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СД=СОС+ДО</w:t>
            </w:r>
          </w:p>
        </w:tc>
        <w:tc>
          <w:tcPr>
            <w:tcW w:w="1417" w:type="dxa"/>
            <w:tcBorders>
              <w:top w:val="nil"/>
              <w:left w:val="nil"/>
              <w:bottom w:val="single" w:sz="4" w:space="0" w:color="auto"/>
              <w:right w:val="single" w:sz="4" w:space="0" w:color="auto"/>
            </w:tcBorders>
            <w:shd w:val="clear" w:color="auto" w:fill="auto"/>
            <w:noWrap/>
            <w:vAlign w:val="center"/>
          </w:tcPr>
          <w:p w14:paraId="63E7B99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-1723 597</w:t>
            </w:r>
          </w:p>
        </w:tc>
        <w:tc>
          <w:tcPr>
            <w:tcW w:w="1276" w:type="dxa"/>
            <w:tcBorders>
              <w:top w:val="nil"/>
              <w:left w:val="single" w:sz="8" w:space="0" w:color="auto"/>
              <w:bottom w:val="single" w:sz="4" w:space="0" w:color="auto"/>
              <w:right w:val="single" w:sz="4" w:space="0" w:color="auto"/>
            </w:tcBorders>
            <w:shd w:val="clear" w:color="auto" w:fill="auto"/>
            <w:noWrap/>
            <w:vAlign w:val="center"/>
          </w:tcPr>
          <w:p w14:paraId="4BC84E8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-2299 551</w:t>
            </w:r>
          </w:p>
        </w:tc>
      </w:tr>
      <w:tr w:rsidR="00910F4C" w14:paraId="34651814" w14:textId="77777777">
        <w:trPr>
          <w:trHeight w:val="882"/>
        </w:trPr>
        <w:tc>
          <w:tcPr>
            <w:tcW w:w="5235" w:type="dxa"/>
            <w:tcBorders>
              <w:top w:val="nil"/>
              <w:left w:val="single" w:sz="8" w:space="0" w:color="auto"/>
              <w:bottom w:val="single" w:sz="4" w:space="0" w:color="auto"/>
              <w:right w:val="nil"/>
            </w:tcBorders>
            <w:shd w:val="clear" w:color="auto" w:fill="auto"/>
            <w:vAlign w:val="center"/>
          </w:tcPr>
          <w:p w14:paraId="093ED1D7"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Общая величина источников финансирования</w:t>
            </w:r>
          </w:p>
        </w:tc>
        <w:tc>
          <w:tcPr>
            <w:tcW w:w="1418" w:type="dxa"/>
            <w:tcBorders>
              <w:top w:val="nil"/>
              <w:left w:val="single" w:sz="8" w:space="0" w:color="auto"/>
              <w:bottom w:val="single" w:sz="4" w:space="0" w:color="auto"/>
              <w:right w:val="single" w:sz="8" w:space="0" w:color="auto"/>
            </w:tcBorders>
            <w:shd w:val="clear" w:color="auto" w:fill="auto"/>
            <w:noWrap/>
            <w:vAlign w:val="center"/>
          </w:tcPr>
          <w:p w14:paraId="4A04E7F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ОИ=СД+КЗС</w:t>
            </w:r>
          </w:p>
        </w:tc>
        <w:tc>
          <w:tcPr>
            <w:tcW w:w="1417" w:type="dxa"/>
            <w:tcBorders>
              <w:top w:val="nil"/>
              <w:left w:val="nil"/>
              <w:bottom w:val="single" w:sz="4" w:space="0" w:color="auto"/>
              <w:right w:val="single" w:sz="4" w:space="0" w:color="auto"/>
            </w:tcBorders>
            <w:shd w:val="clear" w:color="auto" w:fill="auto"/>
            <w:noWrap/>
            <w:vAlign w:val="center"/>
          </w:tcPr>
          <w:p w14:paraId="3942E34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2080 062</w:t>
            </w:r>
          </w:p>
        </w:tc>
        <w:tc>
          <w:tcPr>
            <w:tcW w:w="1276" w:type="dxa"/>
            <w:tcBorders>
              <w:top w:val="nil"/>
              <w:left w:val="nil"/>
              <w:bottom w:val="single" w:sz="4" w:space="0" w:color="auto"/>
              <w:right w:val="single" w:sz="8" w:space="0" w:color="auto"/>
            </w:tcBorders>
            <w:shd w:val="clear" w:color="auto" w:fill="auto"/>
            <w:noWrap/>
            <w:vAlign w:val="center"/>
          </w:tcPr>
          <w:p w14:paraId="5616667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4184 165</w:t>
            </w:r>
          </w:p>
        </w:tc>
      </w:tr>
      <w:tr w:rsidR="00910F4C" w14:paraId="6B0B766D" w14:textId="77777777">
        <w:trPr>
          <w:trHeight w:val="882"/>
        </w:trPr>
        <w:tc>
          <w:tcPr>
            <w:tcW w:w="5235" w:type="dxa"/>
            <w:tcBorders>
              <w:top w:val="nil"/>
              <w:left w:val="single" w:sz="8" w:space="0" w:color="auto"/>
              <w:bottom w:val="single" w:sz="4" w:space="0" w:color="auto"/>
              <w:right w:val="nil"/>
            </w:tcBorders>
            <w:shd w:val="clear" w:color="000000" w:fill="FFFFFF"/>
            <w:vAlign w:val="center"/>
          </w:tcPr>
          <w:p w14:paraId="255989FD"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 Излишек (+), недостаток (-) СОС</w:t>
            </w:r>
          </w:p>
        </w:tc>
        <w:tc>
          <w:tcPr>
            <w:tcW w:w="1418" w:type="dxa"/>
            <w:tcBorders>
              <w:top w:val="nil"/>
              <w:left w:val="single" w:sz="8" w:space="0" w:color="auto"/>
              <w:bottom w:val="single" w:sz="4" w:space="0" w:color="auto"/>
              <w:right w:val="single" w:sz="8" w:space="0" w:color="auto"/>
            </w:tcBorders>
            <w:shd w:val="clear" w:color="000000" w:fill="FFFFFF"/>
            <w:noWrap/>
            <w:vAlign w:val="center"/>
          </w:tcPr>
          <w:p w14:paraId="770F76C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DСОС=СОС-З</w:t>
            </w:r>
          </w:p>
        </w:tc>
        <w:tc>
          <w:tcPr>
            <w:tcW w:w="1417" w:type="dxa"/>
            <w:tcBorders>
              <w:top w:val="nil"/>
              <w:left w:val="nil"/>
              <w:bottom w:val="single" w:sz="4" w:space="0" w:color="auto"/>
              <w:right w:val="single" w:sz="4" w:space="0" w:color="auto"/>
            </w:tcBorders>
            <w:shd w:val="clear" w:color="000000" w:fill="FFFFFF"/>
            <w:noWrap/>
            <w:vAlign w:val="center"/>
          </w:tcPr>
          <w:p w14:paraId="274C1E7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-5598 970</w:t>
            </w:r>
          </w:p>
        </w:tc>
        <w:tc>
          <w:tcPr>
            <w:tcW w:w="1276" w:type="dxa"/>
            <w:tcBorders>
              <w:top w:val="nil"/>
              <w:left w:val="single" w:sz="8" w:space="0" w:color="auto"/>
              <w:bottom w:val="single" w:sz="4" w:space="0" w:color="auto"/>
              <w:right w:val="single" w:sz="4" w:space="0" w:color="auto"/>
            </w:tcBorders>
            <w:shd w:val="clear" w:color="000000" w:fill="FFFFFF"/>
            <w:noWrap/>
            <w:vAlign w:val="center"/>
          </w:tcPr>
          <w:p w14:paraId="2E396604"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-7775 550</w:t>
            </w:r>
          </w:p>
        </w:tc>
      </w:tr>
      <w:tr w:rsidR="00910F4C" w14:paraId="57502635" w14:textId="77777777">
        <w:trPr>
          <w:trHeight w:val="1092"/>
        </w:trPr>
        <w:tc>
          <w:tcPr>
            <w:tcW w:w="5235" w:type="dxa"/>
            <w:tcBorders>
              <w:top w:val="nil"/>
              <w:left w:val="single" w:sz="8" w:space="0" w:color="auto"/>
              <w:bottom w:val="single" w:sz="4" w:space="0" w:color="auto"/>
              <w:right w:val="nil"/>
            </w:tcBorders>
            <w:shd w:val="clear" w:color="000000" w:fill="FFFFFF"/>
            <w:vAlign w:val="center"/>
          </w:tcPr>
          <w:p w14:paraId="31CB1EAC"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 Излишек (+), недостаток (-) собственных и долгосрочных заемных источников формирования запасов</w:t>
            </w:r>
          </w:p>
        </w:tc>
        <w:tc>
          <w:tcPr>
            <w:tcW w:w="1418" w:type="dxa"/>
            <w:tcBorders>
              <w:top w:val="nil"/>
              <w:left w:val="single" w:sz="8" w:space="0" w:color="auto"/>
              <w:bottom w:val="single" w:sz="4" w:space="0" w:color="auto"/>
              <w:right w:val="single" w:sz="8" w:space="0" w:color="auto"/>
            </w:tcBorders>
            <w:shd w:val="clear" w:color="000000" w:fill="FFFFFF"/>
            <w:noWrap/>
            <w:vAlign w:val="center"/>
          </w:tcPr>
          <w:p w14:paraId="586475B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DСД=СД-З</w:t>
            </w:r>
          </w:p>
        </w:tc>
        <w:tc>
          <w:tcPr>
            <w:tcW w:w="1417" w:type="dxa"/>
            <w:tcBorders>
              <w:top w:val="nil"/>
              <w:left w:val="nil"/>
              <w:bottom w:val="single" w:sz="4" w:space="0" w:color="auto"/>
              <w:right w:val="single" w:sz="4" w:space="0" w:color="auto"/>
            </w:tcBorders>
            <w:shd w:val="clear" w:color="000000" w:fill="FFFFFF"/>
            <w:noWrap/>
            <w:vAlign w:val="center"/>
          </w:tcPr>
          <w:p w14:paraId="2103CC89"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-8770 181</w:t>
            </w:r>
          </w:p>
        </w:tc>
        <w:tc>
          <w:tcPr>
            <w:tcW w:w="1276" w:type="dxa"/>
            <w:tcBorders>
              <w:top w:val="nil"/>
              <w:left w:val="nil"/>
              <w:bottom w:val="single" w:sz="4" w:space="0" w:color="auto"/>
              <w:right w:val="single" w:sz="8" w:space="0" w:color="auto"/>
            </w:tcBorders>
            <w:shd w:val="clear" w:color="000000" w:fill="FFFFFF"/>
            <w:noWrap/>
            <w:vAlign w:val="center"/>
          </w:tcPr>
          <w:p w14:paraId="29CA775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-10504 117</w:t>
            </w:r>
          </w:p>
        </w:tc>
      </w:tr>
      <w:tr w:rsidR="00910F4C" w14:paraId="75E4FF81" w14:textId="77777777">
        <w:trPr>
          <w:trHeight w:val="882"/>
        </w:trPr>
        <w:tc>
          <w:tcPr>
            <w:tcW w:w="5235" w:type="dxa"/>
            <w:tcBorders>
              <w:top w:val="nil"/>
              <w:left w:val="single" w:sz="8" w:space="0" w:color="auto"/>
              <w:bottom w:val="single" w:sz="4" w:space="0" w:color="auto"/>
              <w:right w:val="nil"/>
            </w:tcBorders>
            <w:shd w:val="clear" w:color="000000" w:fill="FFFFFF"/>
            <w:vAlign w:val="center"/>
          </w:tcPr>
          <w:p w14:paraId="38D6998B"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 Излишек (+), недостаток (-) общей величины основных источников формирования запасов</w:t>
            </w:r>
          </w:p>
        </w:tc>
        <w:tc>
          <w:tcPr>
            <w:tcW w:w="1418" w:type="dxa"/>
            <w:tcBorders>
              <w:top w:val="nil"/>
              <w:left w:val="single" w:sz="8" w:space="0" w:color="auto"/>
              <w:bottom w:val="single" w:sz="4" w:space="0" w:color="auto"/>
              <w:right w:val="single" w:sz="8" w:space="0" w:color="auto"/>
            </w:tcBorders>
            <w:shd w:val="clear" w:color="000000" w:fill="FFFFFF"/>
            <w:noWrap/>
            <w:vAlign w:val="center"/>
          </w:tcPr>
          <w:p w14:paraId="1BCD3E9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DОИ=ОИ-З</w:t>
            </w:r>
          </w:p>
        </w:tc>
        <w:tc>
          <w:tcPr>
            <w:tcW w:w="1417" w:type="dxa"/>
            <w:tcBorders>
              <w:top w:val="nil"/>
              <w:left w:val="nil"/>
              <w:bottom w:val="single" w:sz="4" w:space="0" w:color="auto"/>
              <w:right w:val="single" w:sz="4" w:space="0" w:color="auto"/>
            </w:tcBorders>
            <w:shd w:val="clear" w:color="000000" w:fill="FFFFFF"/>
            <w:noWrap/>
            <w:vAlign w:val="center"/>
          </w:tcPr>
          <w:p w14:paraId="2BE7F41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-4966 522</w:t>
            </w:r>
          </w:p>
        </w:tc>
        <w:tc>
          <w:tcPr>
            <w:tcW w:w="1276" w:type="dxa"/>
            <w:tcBorders>
              <w:top w:val="nil"/>
              <w:left w:val="nil"/>
              <w:bottom w:val="single" w:sz="4" w:space="0" w:color="auto"/>
              <w:right w:val="single" w:sz="8" w:space="0" w:color="auto"/>
            </w:tcBorders>
            <w:shd w:val="clear" w:color="000000" w:fill="FFFFFF"/>
            <w:noWrap/>
            <w:vAlign w:val="center"/>
          </w:tcPr>
          <w:p w14:paraId="7C8ADA48"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-4020 401</w:t>
            </w:r>
          </w:p>
        </w:tc>
      </w:tr>
      <w:tr w:rsidR="00910F4C" w14:paraId="672FB1B5" w14:textId="77777777">
        <w:trPr>
          <w:trHeight w:val="882"/>
        </w:trPr>
        <w:tc>
          <w:tcPr>
            <w:tcW w:w="5235" w:type="dxa"/>
            <w:tcBorders>
              <w:top w:val="nil"/>
              <w:left w:val="single" w:sz="8" w:space="0" w:color="auto"/>
              <w:bottom w:val="single" w:sz="8" w:space="0" w:color="auto"/>
              <w:right w:val="nil"/>
            </w:tcBorders>
            <w:shd w:val="clear" w:color="000000" w:fill="FFFFFF"/>
            <w:vAlign w:val="center"/>
          </w:tcPr>
          <w:p w14:paraId="6D2AE1BC"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 Трехкомпонентный показатель типа финансовой ситуации</w:t>
            </w:r>
          </w:p>
        </w:tc>
        <w:tc>
          <w:tcPr>
            <w:tcW w:w="1418" w:type="dxa"/>
            <w:tcBorders>
              <w:top w:val="nil"/>
              <w:left w:val="single" w:sz="8" w:space="0" w:color="auto"/>
              <w:bottom w:val="single" w:sz="8" w:space="0" w:color="auto"/>
              <w:right w:val="single" w:sz="8" w:space="0" w:color="auto"/>
            </w:tcBorders>
            <w:shd w:val="clear" w:color="000000" w:fill="FFFFFF"/>
            <w:noWrap/>
            <w:vAlign w:val="center"/>
          </w:tcPr>
          <w:p w14:paraId="2122DC77"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(S,S,S)</w:t>
            </w:r>
          </w:p>
        </w:tc>
        <w:tc>
          <w:tcPr>
            <w:tcW w:w="1417" w:type="dxa"/>
            <w:tcBorders>
              <w:top w:val="nil"/>
              <w:left w:val="nil"/>
              <w:bottom w:val="single" w:sz="8" w:space="0" w:color="auto"/>
              <w:right w:val="single" w:sz="4" w:space="0" w:color="auto"/>
            </w:tcBorders>
            <w:shd w:val="clear" w:color="000000" w:fill="FFFFFF"/>
            <w:noWrap/>
            <w:vAlign w:val="center"/>
          </w:tcPr>
          <w:p w14:paraId="51707BC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w:t>
            </w:r>
          </w:p>
        </w:tc>
        <w:tc>
          <w:tcPr>
            <w:tcW w:w="1276" w:type="dxa"/>
            <w:tcBorders>
              <w:top w:val="nil"/>
              <w:left w:val="nil"/>
              <w:bottom w:val="single" w:sz="8" w:space="0" w:color="auto"/>
              <w:right w:val="single" w:sz="8" w:space="0" w:color="auto"/>
            </w:tcBorders>
            <w:shd w:val="clear" w:color="000000" w:fill="FFFFFF"/>
            <w:noWrap/>
            <w:vAlign w:val="center"/>
          </w:tcPr>
          <w:p w14:paraId="63484944"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w:t>
            </w:r>
          </w:p>
        </w:tc>
      </w:tr>
    </w:tbl>
    <w:p w14:paraId="2BC15E32"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 анализируемый период был выявлен недостаток СОС в размере 5598 970 тыс. руб. за 2023 год и 7 775 550 тыс. руб. за 2024 год, недостаток собственных и долгосрочных заемных источников финансирования в размере 8  770 181 тыс. руб. в 2023 году и 10 504 117 в 2024 году, недостаток основных источников формирования запасов в размере 4 966 522 тыс. руб. за 2023 год и 4 020 401 тыс. руб. за 2024 год. Можно сделать вывод о критической финансовой ситуации на предприятии, свидетельствующей о невозможности покрытия кредиторской задолженности и просроченных обязательств.</w:t>
      </w:r>
    </w:p>
    <w:p w14:paraId="34477E27" w14:textId="093A767F" w:rsidR="00910F4C" w:rsidRDefault="009D47C4" w:rsidP="00D42EC3">
      <w:pPr>
        <w:pStyle w:val="ad"/>
        <w:spacing w:after="0" w:line="240" w:lineRule="auto"/>
        <w:ind w:left="0"/>
        <w:jc w:val="both"/>
        <w:rPr>
          <w:rFonts w:ascii="Times New Roman" w:hAnsi="Times New Roman" w:cs="Times New Roman"/>
          <w:sz w:val="28"/>
          <w:szCs w:val="28"/>
        </w:rPr>
      </w:pPr>
      <w:r w:rsidRPr="00DD0CEE">
        <w:rPr>
          <w:rFonts w:ascii="Times New Roman" w:hAnsi="Times New Roman" w:cs="Times New Roman"/>
          <w:sz w:val="28"/>
          <w:szCs w:val="28"/>
        </w:rPr>
        <w:lastRenderedPageBreak/>
        <w:t xml:space="preserve">Таблица 8 – Анализ финансовых результатов </w:t>
      </w:r>
      <w:bookmarkStart w:id="8" w:name="_Hlk197897152"/>
      <w:r w:rsidRPr="00DD0CEE">
        <w:rPr>
          <w:rFonts w:ascii="Times New Roman" w:hAnsi="Times New Roman" w:cs="Times New Roman"/>
          <w:sz w:val="28"/>
          <w:szCs w:val="28"/>
        </w:rPr>
        <w:t>ООО «Кубань вино» (составлено автором на основе [5])</w:t>
      </w:r>
    </w:p>
    <w:tbl>
      <w:tblPr>
        <w:tblW w:w="9346" w:type="dxa"/>
        <w:tblLook w:val="04A0" w:firstRow="1" w:lastRow="0" w:firstColumn="1" w:lastColumn="0" w:noHBand="0" w:noVBand="1"/>
      </w:tblPr>
      <w:tblGrid>
        <w:gridCol w:w="2400"/>
        <w:gridCol w:w="1276"/>
        <w:gridCol w:w="1134"/>
        <w:gridCol w:w="1276"/>
        <w:gridCol w:w="1225"/>
        <w:gridCol w:w="1184"/>
        <w:gridCol w:w="1005"/>
      </w:tblGrid>
      <w:tr w:rsidR="00910F4C" w14:paraId="3A8EDDBE" w14:textId="77777777">
        <w:trPr>
          <w:trHeight w:val="288"/>
        </w:trPr>
        <w:tc>
          <w:tcPr>
            <w:tcW w:w="240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bookmarkEnd w:id="8"/>
          <w:p w14:paraId="35BF7DC7"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Показатели</w:t>
            </w:r>
          </w:p>
        </w:tc>
        <w:tc>
          <w:tcPr>
            <w:tcW w:w="2410" w:type="dxa"/>
            <w:gridSpan w:val="2"/>
            <w:tcBorders>
              <w:top w:val="single" w:sz="8" w:space="0" w:color="auto"/>
              <w:left w:val="nil"/>
              <w:bottom w:val="single" w:sz="4" w:space="0" w:color="auto"/>
              <w:right w:val="single" w:sz="8" w:space="0" w:color="000000"/>
            </w:tcBorders>
            <w:shd w:val="clear" w:color="auto" w:fill="auto"/>
            <w:noWrap/>
            <w:vAlign w:val="center"/>
          </w:tcPr>
          <w:p w14:paraId="0E490C7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Предыдущий период (2023)</w:t>
            </w:r>
          </w:p>
        </w:tc>
        <w:tc>
          <w:tcPr>
            <w:tcW w:w="2501" w:type="dxa"/>
            <w:gridSpan w:val="2"/>
            <w:tcBorders>
              <w:top w:val="single" w:sz="8" w:space="0" w:color="auto"/>
              <w:left w:val="nil"/>
              <w:bottom w:val="single" w:sz="4" w:space="0" w:color="auto"/>
              <w:right w:val="single" w:sz="8" w:space="0" w:color="000000"/>
            </w:tcBorders>
            <w:shd w:val="clear" w:color="auto" w:fill="auto"/>
            <w:noWrap/>
            <w:vAlign w:val="center"/>
          </w:tcPr>
          <w:p w14:paraId="236F1A07"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Отчетный период (2024)</w:t>
            </w:r>
          </w:p>
        </w:tc>
        <w:tc>
          <w:tcPr>
            <w:tcW w:w="2035" w:type="dxa"/>
            <w:gridSpan w:val="2"/>
            <w:tcBorders>
              <w:top w:val="single" w:sz="8" w:space="0" w:color="auto"/>
              <w:left w:val="nil"/>
              <w:bottom w:val="single" w:sz="4" w:space="0" w:color="auto"/>
              <w:right w:val="single" w:sz="8" w:space="0" w:color="000000"/>
            </w:tcBorders>
            <w:shd w:val="clear" w:color="auto" w:fill="auto"/>
            <w:noWrap/>
            <w:vAlign w:val="center"/>
          </w:tcPr>
          <w:p w14:paraId="7846434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Изменение </w:t>
            </w:r>
          </w:p>
        </w:tc>
      </w:tr>
      <w:tr w:rsidR="00910F4C" w14:paraId="1B295156" w14:textId="77777777">
        <w:trPr>
          <w:trHeight w:val="288"/>
        </w:trPr>
        <w:tc>
          <w:tcPr>
            <w:tcW w:w="2400" w:type="dxa"/>
            <w:vMerge/>
            <w:tcBorders>
              <w:top w:val="single" w:sz="8" w:space="0" w:color="auto"/>
              <w:left w:val="single" w:sz="8" w:space="0" w:color="auto"/>
              <w:bottom w:val="single" w:sz="4" w:space="0" w:color="auto"/>
              <w:right w:val="single" w:sz="8" w:space="0" w:color="auto"/>
            </w:tcBorders>
            <w:vAlign w:val="center"/>
          </w:tcPr>
          <w:p w14:paraId="15DDA6A8" w14:textId="77777777" w:rsidR="00910F4C" w:rsidRDefault="00910F4C">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shd w:val="clear" w:color="auto" w:fill="auto"/>
            <w:noWrap/>
            <w:vAlign w:val="center"/>
          </w:tcPr>
          <w:p w14:paraId="734F2C55" w14:textId="77777777" w:rsidR="00910F4C" w:rsidRDefault="009D47C4">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тыс.руб</w:t>
            </w:r>
            <w:proofErr w:type="spellEnd"/>
            <w:r>
              <w:rPr>
                <w:rFonts w:ascii="Times New Roman" w:eastAsia="Times New Roman" w:hAnsi="Times New Roman" w:cs="Times New Roman"/>
                <w:color w:val="000000"/>
                <w:lang w:eastAsia="ru-RU"/>
              </w:rPr>
              <w:t>.</w:t>
            </w:r>
          </w:p>
        </w:tc>
        <w:tc>
          <w:tcPr>
            <w:tcW w:w="1134" w:type="dxa"/>
            <w:tcBorders>
              <w:top w:val="nil"/>
              <w:left w:val="nil"/>
              <w:bottom w:val="single" w:sz="4" w:space="0" w:color="auto"/>
              <w:right w:val="single" w:sz="8" w:space="0" w:color="auto"/>
            </w:tcBorders>
            <w:shd w:val="clear" w:color="auto" w:fill="auto"/>
            <w:noWrap/>
            <w:vAlign w:val="center"/>
          </w:tcPr>
          <w:p w14:paraId="3F64A6A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276" w:type="dxa"/>
            <w:tcBorders>
              <w:top w:val="nil"/>
              <w:left w:val="nil"/>
              <w:bottom w:val="single" w:sz="4" w:space="0" w:color="auto"/>
              <w:right w:val="single" w:sz="4" w:space="0" w:color="auto"/>
            </w:tcBorders>
            <w:shd w:val="clear" w:color="auto" w:fill="auto"/>
            <w:noWrap/>
            <w:vAlign w:val="center"/>
          </w:tcPr>
          <w:p w14:paraId="135A0C31" w14:textId="77777777" w:rsidR="00910F4C" w:rsidRDefault="009D47C4">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тыс.руб</w:t>
            </w:r>
            <w:proofErr w:type="spellEnd"/>
            <w:r>
              <w:rPr>
                <w:rFonts w:ascii="Times New Roman" w:eastAsia="Times New Roman" w:hAnsi="Times New Roman" w:cs="Times New Roman"/>
                <w:color w:val="000000"/>
                <w:lang w:eastAsia="ru-RU"/>
              </w:rPr>
              <w:t>.</w:t>
            </w:r>
          </w:p>
        </w:tc>
        <w:tc>
          <w:tcPr>
            <w:tcW w:w="1225" w:type="dxa"/>
            <w:tcBorders>
              <w:top w:val="nil"/>
              <w:left w:val="nil"/>
              <w:bottom w:val="single" w:sz="4" w:space="0" w:color="auto"/>
              <w:right w:val="single" w:sz="8" w:space="0" w:color="auto"/>
            </w:tcBorders>
            <w:shd w:val="clear" w:color="auto" w:fill="auto"/>
            <w:noWrap/>
            <w:vAlign w:val="center"/>
          </w:tcPr>
          <w:p w14:paraId="00927E2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184" w:type="dxa"/>
            <w:tcBorders>
              <w:top w:val="nil"/>
              <w:left w:val="nil"/>
              <w:bottom w:val="single" w:sz="4" w:space="0" w:color="auto"/>
              <w:right w:val="single" w:sz="4" w:space="0" w:color="auto"/>
            </w:tcBorders>
            <w:shd w:val="clear" w:color="auto" w:fill="auto"/>
            <w:noWrap/>
            <w:vAlign w:val="center"/>
          </w:tcPr>
          <w:p w14:paraId="0EFD9906" w14:textId="77777777" w:rsidR="00910F4C" w:rsidRDefault="009D47C4">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тыс.руб</w:t>
            </w:r>
            <w:proofErr w:type="spellEnd"/>
            <w:r>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8" w:space="0" w:color="auto"/>
            </w:tcBorders>
            <w:shd w:val="clear" w:color="auto" w:fill="auto"/>
            <w:noWrap/>
            <w:vAlign w:val="center"/>
          </w:tcPr>
          <w:p w14:paraId="31E4374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r w:rsidR="00910F4C" w14:paraId="34505B47" w14:textId="77777777">
        <w:trPr>
          <w:trHeight w:val="283"/>
        </w:trPr>
        <w:tc>
          <w:tcPr>
            <w:tcW w:w="2400" w:type="dxa"/>
            <w:tcBorders>
              <w:top w:val="nil"/>
              <w:left w:val="single" w:sz="8" w:space="0" w:color="auto"/>
              <w:bottom w:val="single" w:sz="4" w:space="0" w:color="auto"/>
              <w:right w:val="single" w:sz="8" w:space="0" w:color="auto"/>
            </w:tcBorders>
            <w:shd w:val="clear" w:color="auto" w:fill="auto"/>
            <w:noWrap/>
            <w:vAlign w:val="center"/>
          </w:tcPr>
          <w:p w14:paraId="1B22045B"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Выручка</w:t>
            </w:r>
          </w:p>
        </w:tc>
        <w:tc>
          <w:tcPr>
            <w:tcW w:w="1276" w:type="dxa"/>
            <w:tcBorders>
              <w:top w:val="nil"/>
              <w:left w:val="nil"/>
              <w:bottom w:val="single" w:sz="4" w:space="0" w:color="auto"/>
              <w:right w:val="single" w:sz="4" w:space="0" w:color="auto"/>
            </w:tcBorders>
            <w:shd w:val="clear" w:color="auto" w:fill="auto"/>
            <w:noWrap/>
            <w:vAlign w:val="center"/>
          </w:tcPr>
          <w:p w14:paraId="030DEA6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11423 676</w:t>
            </w:r>
          </w:p>
        </w:tc>
        <w:tc>
          <w:tcPr>
            <w:tcW w:w="1134" w:type="dxa"/>
            <w:tcBorders>
              <w:top w:val="nil"/>
              <w:left w:val="nil"/>
              <w:bottom w:val="single" w:sz="4" w:space="0" w:color="auto"/>
              <w:right w:val="single" w:sz="8" w:space="0" w:color="auto"/>
            </w:tcBorders>
            <w:shd w:val="clear" w:color="auto" w:fill="auto"/>
            <w:noWrap/>
            <w:vAlign w:val="center"/>
          </w:tcPr>
          <w:p w14:paraId="47E6D46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100,00%</w:t>
            </w:r>
          </w:p>
        </w:tc>
        <w:tc>
          <w:tcPr>
            <w:tcW w:w="1276" w:type="dxa"/>
            <w:tcBorders>
              <w:top w:val="nil"/>
              <w:left w:val="nil"/>
              <w:bottom w:val="single" w:sz="4" w:space="0" w:color="auto"/>
              <w:right w:val="single" w:sz="4" w:space="0" w:color="auto"/>
            </w:tcBorders>
            <w:shd w:val="clear" w:color="auto" w:fill="auto"/>
            <w:noWrap/>
            <w:vAlign w:val="center"/>
          </w:tcPr>
          <w:p w14:paraId="7D6FB7E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13429 388</w:t>
            </w:r>
          </w:p>
        </w:tc>
        <w:tc>
          <w:tcPr>
            <w:tcW w:w="1225" w:type="dxa"/>
            <w:tcBorders>
              <w:top w:val="nil"/>
              <w:left w:val="nil"/>
              <w:bottom w:val="single" w:sz="4" w:space="0" w:color="auto"/>
              <w:right w:val="single" w:sz="8" w:space="0" w:color="auto"/>
            </w:tcBorders>
            <w:shd w:val="clear" w:color="auto" w:fill="auto"/>
            <w:noWrap/>
            <w:vAlign w:val="center"/>
          </w:tcPr>
          <w:p w14:paraId="41EF9D85"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100,00%</w:t>
            </w:r>
          </w:p>
        </w:tc>
        <w:tc>
          <w:tcPr>
            <w:tcW w:w="1184" w:type="dxa"/>
            <w:tcBorders>
              <w:top w:val="nil"/>
              <w:left w:val="nil"/>
              <w:bottom w:val="single" w:sz="4" w:space="0" w:color="auto"/>
              <w:right w:val="single" w:sz="4" w:space="0" w:color="auto"/>
            </w:tcBorders>
            <w:shd w:val="clear" w:color="auto" w:fill="auto"/>
            <w:noWrap/>
            <w:vAlign w:val="center"/>
          </w:tcPr>
          <w:p w14:paraId="207AC79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2005 712</w:t>
            </w:r>
          </w:p>
        </w:tc>
        <w:tc>
          <w:tcPr>
            <w:tcW w:w="851" w:type="dxa"/>
            <w:tcBorders>
              <w:top w:val="nil"/>
              <w:left w:val="nil"/>
              <w:bottom w:val="single" w:sz="4" w:space="0" w:color="auto"/>
              <w:right w:val="single" w:sz="8" w:space="0" w:color="auto"/>
            </w:tcBorders>
            <w:shd w:val="clear" w:color="auto" w:fill="auto"/>
            <w:noWrap/>
            <w:vAlign w:val="center"/>
          </w:tcPr>
          <w:p w14:paraId="2146CDC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117,56%</w:t>
            </w:r>
          </w:p>
        </w:tc>
      </w:tr>
      <w:tr w:rsidR="00910F4C" w14:paraId="719F8B74" w14:textId="77777777">
        <w:trPr>
          <w:trHeight w:val="283"/>
        </w:trPr>
        <w:tc>
          <w:tcPr>
            <w:tcW w:w="2400" w:type="dxa"/>
            <w:tcBorders>
              <w:top w:val="nil"/>
              <w:left w:val="single" w:sz="8" w:space="0" w:color="auto"/>
              <w:bottom w:val="single" w:sz="4" w:space="0" w:color="auto"/>
              <w:right w:val="single" w:sz="8" w:space="0" w:color="auto"/>
            </w:tcBorders>
            <w:shd w:val="clear" w:color="auto" w:fill="auto"/>
            <w:noWrap/>
            <w:vAlign w:val="center"/>
          </w:tcPr>
          <w:p w14:paraId="09CA776E"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Себестоимость продаж</w:t>
            </w:r>
          </w:p>
        </w:tc>
        <w:tc>
          <w:tcPr>
            <w:tcW w:w="1276" w:type="dxa"/>
            <w:tcBorders>
              <w:top w:val="nil"/>
              <w:left w:val="nil"/>
              <w:bottom w:val="single" w:sz="4" w:space="0" w:color="auto"/>
              <w:right w:val="single" w:sz="4" w:space="0" w:color="auto"/>
            </w:tcBorders>
            <w:shd w:val="clear" w:color="auto" w:fill="auto"/>
            <w:noWrap/>
            <w:vAlign w:val="center"/>
          </w:tcPr>
          <w:p w14:paraId="3754792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7597 611</w:t>
            </w:r>
          </w:p>
        </w:tc>
        <w:tc>
          <w:tcPr>
            <w:tcW w:w="1134" w:type="dxa"/>
            <w:tcBorders>
              <w:top w:val="nil"/>
              <w:left w:val="nil"/>
              <w:bottom w:val="single" w:sz="4" w:space="0" w:color="auto"/>
              <w:right w:val="single" w:sz="8" w:space="0" w:color="auto"/>
            </w:tcBorders>
            <w:shd w:val="clear" w:color="auto" w:fill="auto"/>
            <w:noWrap/>
            <w:vAlign w:val="center"/>
          </w:tcPr>
          <w:p w14:paraId="3EB7830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66,51%</w:t>
            </w:r>
          </w:p>
        </w:tc>
        <w:tc>
          <w:tcPr>
            <w:tcW w:w="1276" w:type="dxa"/>
            <w:tcBorders>
              <w:top w:val="nil"/>
              <w:left w:val="nil"/>
              <w:bottom w:val="single" w:sz="4" w:space="0" w:color="auto"/>
              <w:right w:val="single" w:sz="4" w:space="0" w:color="auto"/>
            </w:tcBorders>
            <w:shd w:val="clear" w:color="auto" w:fill="auto"/>
            <w:noWrap/>
            <w:vAlign w:val="center"/>
          </w:tcPr>
          <w:p w14:paraId="2129E16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9950 011</w:t>
            </w:r>
          </w:p>
        </w:tc>
        <w:tc>
          <w:tcPr>
            <w:tcW w:w="1225" w:type="dxa"/>
            <w:tcBorders>
              <w:top w:val="nil"/>
              <w:left w:val="nil"/>
              <w:bottom w:val="single" w:sz="4" w:space="0" w:color="auto"/>
              <w:right w:val="single" w:sz="8" w:space="0" w:color="auto"/>
            </w:tcBorders>
            <w:shd w:val="clear" w:color="auto" w:fill="auto"/>
            <w:noWrap/>
            <w:vAlign w:val="center"/>
          </w:tcPr>
          <w:p w14:paraId="5EB83787"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74,09%</w:t>
            </w:r>
          </w:p>
        </w:tc>
        <w:tc>
          <w:tcPr>
            <w:tcW w:w="1184" w:type="dxa"/>
            <w:tcBorders>
              <w:top w:val="nil"/>
              <w:left w:val="nil"/>
              <w:bottom w:val="single" w:sz="4" w:space="0" w:color="auto"/>
              <w:right w:val="single" w:sz="4" w:space="0" w:color="auto"/>
            </w:tcBorders>
            <w:shd w:val="clear" w:color="auto" w:fill="auto"/>
            <w:noWrap/>
            <w:vAlign w:val="center"/>
          </w:tcPr>
          <w:p w14:paraId="5C372875"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2352 400</w:t>
            </w:r>
          </w:p>
        </w:tc>
        <w:tc>
          <w:tcPr>
            <w:tcW w:w="851" w:type="dxa"/>
            <w:tcBorders>
              <w:top w:val="nil"/>
              <w:left w:val="nil"/>
              <w:bottom w:val="single" w:sz="4" w:space="0" w:color="auto"/>
              <w:right w:val="single" w:sz="8" w:space="0" w:color="auto"/>
            </w:tcBorders>
            <w:shd w:val="clear" w:color="auto" w:fill="auto"/>
            <w:noWrap/>
            <w:vAlign w:val="center"/>
          </w:tcPr>
          <w:p w14:paraId="4B17F85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130,96%</w:t>
            </w:r>
          </w:p>
        </w:tc>
      </w:tr>
      <w:tr w:rsidR="00910F4C" w14:paraId="29465EB3" w14:textId="77777777">
        <w:trPr>
          <w:trHeight w:val="283"/>
        </w:trPr>
        <w:tc>
          <w:tcPr>
            <w:tcW w:w="2400" w:type="dxa"/>
            <w:tcBorders>
              <w:top w:val="nil"/>
              <w:left w:val="single" w:sz="8" w:space="0" w:color="auto"/>
              <w:bottom w:val="single" w:sz="4" w:space="0" w:color="auto"/>
              <w:right w:val="single" w:sz="8" w:space="0" w:color="auto"/>
            </w:tcBorders>
            <w:shd w:val="clear" w:color="000000" w:fill="C9C9C9"/>
            <w:noWrap/>
            <w:vAlign w:val="center"/>
          </w:tcPr>
          <w:p w14:paraId="10B5DD86"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Валовая прибыль (убыток)</w:t>
            </w:r>
          </w:p>
        </w:tc>
        <w:tc>
          <w:tcPr>
            <w:tcW w:w="1276" w:type="dxa"/>
            <w:tcBorders>
              <w:top w:val="nil"/>
              <w:left w:val="nil"/>
              <w:bottom w:val="single" w:sz="4" w:space="0" w:color="auto"/>
              <w:right w:val="single" w:sz="4" w:space="0" w:color="auto"/>
            </w:tcBorders>
            <w:shd w:val="clear" w:color="000000" w:fill="C9C9C9"/>
            <w:noWrap/>
            <w:vAlign w:val="center"/>
          </w:tcPr>
          <w:p w14:paraId="2C00253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3826 065</w:t>
            </w:r>
          </w:p>
        </w:tc>
        <w:tc>
          <w:tcPr>
            <w:tcW w:w="1134" w:type="dxa"/>
            <w:tcBorders>
              <w:top w:val="nil"/>
              <w:left w:val="nil"/>
              <w:bottom w:val="single" w:sz="4" w:space="0" w:color="auto"/>
              <w:right w:val="single" w:sz="8" w:space="0" w:color="auto"/>
            </w:tcBorders>
            <w:shd w:val="clear" w:color="000000" w:fill="C9C9C9"/>
            <w:noWrap/>
            <w:vAlign w:val="center"/>
          </w:tcPr>
          <w:p w14:paraId="1CA15A8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33,49%</w:t>
            </w:r>
          </w:p>
        </w:tc>
        <w:tc>
          <w:tcPr>
            <w:tcW w:w="1276" w:type="dxa"/>
            <w:tcBorders>
              <w:top w:val="nil"/>
              <w:left w:val="nil"/>
              <w:bottom w:val="single" w:sz="4" w:space="0" w:color="auto"/>
              <w:right w:val="single" w:sz="4" w:space="0" w:color="auto"/>
            </w:tcBorders>
            <w:shd w:val="clear" w:color="000000" w:fill="C9C9C9"/>
            <w:noWrap/>
            <w:vAlign w:val="center"/>
          </w:tcPr>
          <w:p w14:paraId="751B67F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3479 377</w:t>
            </w:r>
          </w:p>
        </w:tc>
        <w:tc>
          <w:tcPr>
            <w:tcW w:w="1225" w:type="dxa"/>
            <w:tcBorders>
              <w:top w:val="nil"/>
              <w:left w:val="nil"/>
              <w:bottom w:val="single" w:sz="4" w:space="0" w:color="auto"/>
              <w:right w:val="single" w:sz="8" w:space="0" w:color="auto"/>
            </w:tcBorders>
            <w:shd w:val="clear" w:color="000000" w:fill="C9C9C9"/>
            <w:noWrap/>
            <w:vAlign w:val="center"/>
          </w:tcPr>
          <w:p w14:paraId="3770C7B9"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25,91%</w:t>
            </w:r>
          </w:p>
        </w:tc>
        <w:tc>
          <w:tcPr>
            <w:tcW w:w="1184" w:type="dxa"/>
            <w:tcBorders>
              <w:top w:val="nil"/>
              <w:left w:val="nil"/>
              <w:bottom w:val="single" w:sz="4" w:space="0" w:color="auto"/>
              <w:right w:val="single" w:sz="4" w:space="0" w:color="auto"/>
            </w:tcBorders>
            <w:shd w:val="clear" w:color="auto" w:fill="auto"/>
            <w:noWrap/>
            <w:vAlign w:val="center"/>
          </w:tcPr>
          <w:p w14:paraId="7CAADF3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-346 688</w:t>
            </w:r>
          </w:p>
        </w:tc>
        <w:tc>
          <w:tcPr>
            <w:tcW w:w="851" w:type="dxa"/>
            <w:tcBorders>
              <w:top w:val="nil"/>
              <w:left w:val="nil"/>
              <w:bottom w:val="single" w:sz="4" w:space="0" w:color="auto"/>
              <w:right w:val="single" w:sz="8" w:space="0" w:color="auto"/>
            </w:tcBorders>
            <w:shd w:val="clear" w:color="auto" w:fill="auto"/>
            <w:noWrap/>
            <w:vAlign w:val="center"/>
          </w:tcPr>
          <w:p w14:paraId="424341F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90,94%</w:t>
            </w:r>
          </w:p>
        </w:tc>
      </w:tr>
      <w:tr w:rsidR="00910F4C" w14:paraId="3E8D3475" w14:textId="77777777">
        <w:trPr>
          <w:trHeight w:val="283"/>
        </w:trPr>
        <w:tc>
          <w:tcPr>
            <w:tcW w:w="2400" w:type="dxa"/>
            <w:tcBorders>
              <w:top w:val="nil"/>
              <w:left w:val="single" w:sz="8" w:space="0" w:color="auto"/>
              <w:bottom w:val="single" w:sz="4" w:space="0" w:color="auto"/>
              <w:right w:val="single" w:sz="8" w:space="0" w:color="auto"/>
            </w:tcBorders>
            <w:shd w:val="clear" w:color="auto" w:fill="auto"/>
            <w:noWrap/>
            <w:vAlign w:val="center"/>
          </w:tcPr>
          <w:p w14:paraId="0BABB4D3"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Коммерческие </w:t>
            </w:r>
            <w:proofErr w:type="spellStart"/>
            <w:r>
              <w:rPr>
                <w:rFonts w:ascii="Times New Roman" w:eastAsia="Times New Roman" w:hAnsi="Times New Roman" w:cs="Times New Roman"/>
                <w:color w:val="000000"/>
                <w:lang w:eastAsia="ru-RU"/>
              </w:rPr>
              <w:t>Рх</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5544B42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1281 308</w:t>
            </w:r>
          </w:p>
        </w:tc>
        <w:tc>
          <w:tcPr>
            <w:tcW w:w="1134" w:type="dxa"/>
            <w:tcBorders>
              <w:top w:val="nil"/>
              <w:left w:val="nil"/>
              <w:bottom w:val="single" w:sz="4" w:space="0" w:color="auto"/>
              <w:right w:val="single" w:sz="8" w:space="0" w:color="auto"/>
            </w:tcBorders>
            <w:shd w:val="clear" w:color="auto" w:fill="auto"/>
            <w:noWrap/>
            <w:vAlign w:val="center"/>
          </w:tcPr>
          <w:p w14:paraId="47C1250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11,22%</w:t>
            </w:r>
          </w:p>
        </w:tc>
        <w:tc>
          <w:tcPr>
            <w:tcW w:w="1276" w:type="dxa"/>
            <w:tcBorders>
              <w:top w:val="nil"/>
              <w:left w:val="nil"/>
              <w:bottom w:val="single" w:sz="4" w:space="0" w:color="auto"/>
              <w:right w:val="single" w:sz="4" w:space="0" w:color="auto"/>
            </w:tcBorders>
            <w:shd w:val="clear" w:color="auto" w:fill="auto"/>
            <w:noWrap/>
            <w:vAlign w:val="center"/>
          </w:tcPr>
          <w:p w14:paraId="57B628A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1706 443</w:t>
            </w:r>
          </w:p>
        </w:tc>
        <w:tc>
          <w:tcPr>
            <w:tcW w:w="1225" w:type="dxa"/>
            <w:tcBorders>
              <w:top w:val="nil"/>
              <w:left w:val="nil"/>
              <w:bottom w:val="single" w:sz="4" w:space="0" w:color="auto"/>
              <w:right w:val="single" w:sz="8" w:space="0" w:color="auto"/>
            </w:tcBorders>
            <w:shd w:val="clear" w:color="auto" w:fill="auto"/>
            <w:noWrap/>
            <w:vAlign w:val="center"/>
          </w:tcPr>
          <w:p w14:paraId="02416CF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12,71%</w:t>
            </w:r>
          </w:p>
        </w:tc>
        <w:tc>
          <w:tcPr>
            <w:tcW w:w="1184" w:type="dxa"/>
            <w:tcBorders>
              <w:top w:val="nil"/>
              <w:left w:val="nil"/>
              <w:bottom w:val="single" w:sz="4" w:space="0" w:color="auto"/>
              <w:right w:val="single" w:sz="4" w:space="0" w:color="auto"/>
            </w:tcBorders>
            <w:shd w:val="clear" w:color="auto" w:fill="auto"/>
            <w:noWrap/>
            <w:vAlign w:val="center"/>
          </w:tcPr>
          <w:p w14:paraId="22FE670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425 135</w:t>
            </w:r>
          </w:p>
        </w:tc>
        <w:tc>
          <w:tcPr>
            <w:tcW w:w="851" w:type="dxa"/>
            <w:tcBorders>
              <w:top w:val="nil"/>
              <w:left w:val="nil"/>
              <w:bottom w:val="single" w:sz="4" w:space="0" w:color="auto"/>
              <w:right w:val="single" w:sz="8" w:space="0" w:color="auto"/>
            </w:tcBorders>
            <w:shd w:val="clear" w:color="auto" w:fill="auto"/>
            <w:noWrap/>
            <w:vAlign w:val="center"/>
          </w:tcPr>
          <w:p w14:paraId="14C401F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133,18%</w:t>
            </w:r>
          </w:p>
        </w:tc>
      </w:tr>
      <w:tr w:rsidR="00910F4C" w14:paraId="029E7202" w14:textId="77777777">
        <w:trPr>
          <w:trHeight w:val="283"/>
        </w:trPr>
        <w:tc>
          <w:tcPr>
            <w:tcW w:w="2400" w:type="dxa"/>
            <w:tcBorders>
              <w:top w:val="nil"/>
              <w:left w:val="single" w:sz="8" w:space="0" w:color="auto"/>
              <w:bottom w:val="single" w:sz="4" w:space="0" w:color="auto"/>
              <w:right w:val="single" w:sz="8" w:space="0" w:color="auto"/>
            </w:tcBorders>
            <w:shd w:val="clear" w:color="auto" w:fill="auto"/>
            <w:noWrap/>
            <w:vAlign w:val="center"/>
          </w:tcPr>
          <w:p w14:paraId="4A223569"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Управленческие </w:t>
            </w:r>
            <w:proofErr w:type="spellStart"/>
            <w:r>
              <w:rPr>
                <w:rFonts w:ascii="Times New Roman" w:eastAsia="Times New Roman" w:hAnsi="Times New Roman" w:cs="Times New Roman"/>
                <w:color w:val="000000"/>
                <w:lang w:eastAsia="ru-RU"/>
              </w:rPr>
              <w:t>Рх</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1D67CCD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814 976</w:t>
            </w:r>
          </w:p>
        </w:tc>
        <w:tc>
          <w:tcPr>
            <w:tcW w:w="1134" w:type="dxa"/>
            <w:tcBorders>
              <w:top w:val="nil"/>
              <w:left w:val="nil"/>
              <w:bottom w:val="single" w:sz="4" w:space="0" w:color="auto"/>
              <w:right w:val="single" w:sz="8" w:space="0" w:color="auto"/>
            </w:tcBorders>
            <w:shd w:val="clear" w:color="auto" w:fill="auto"/>
            <w:noWrap/>
            <w:vAlign w:val="center"/>
          </w:tcPr>
          <w:p w14:paraId="322B44A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7,13%</w:t>
            </w:r>
          </w:p>
        </w:tc>
        <w:tc>
          <w:tcPr>
            <w:tcW w:w="1276" w:type="dxa"/>
            <w:tcBorders>
              <w:top w:val="nil"/>
              <w:left w:val="nil"/>
              <w:bottom w:val="single" w:sz="4" w:space="0" w:color="auto"/>
              <w:right w:val="single" w:sz="4" w:space="0" w:color="auto"/>
            </w:tcBorders>
            <w:shd w:val="clear" w:color="auto" w:fill="auto"/>
            <w:noWrap/>
            <w:vAlign w:val="center"/>
          </w:tcPr>
          <w:p w14:paraId="40F68D7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1045 493</w:t>
            </w:r>
          </w:p>
        </w:tc>
        <w:tc>
          <w:tcPr>
            <w:tcW w:w="1225" w:type="dxa"/>
            <w:tcBorders>
              <w:top w:val="nil"/>
              <w:left w:val="nil"/>
              <w:bottom w:val="single" w:sz="4" w:space="0" w:color="auto"/>
              <w:right w:val="single" w:sz="8" w:space="0" w:color="auto"/>
            </w:tcBorders>
            <w:shd w:val="clear" w:color="auto" w:fill="auto"/>
            <w:noWrap/>
            <w:vAlign w:val="center"/>
          </w:tcPr>
          <w:p w14:paraId="4D9F032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7,79%</w:t>
            </w:r>
          </w:p>
        </w:tc>
        <w:tc>
          <w:tcPr>
            <w:tcW w:w="1184" w:type="dxa"/>
            <w:tcBorders>
              <w:top w:val="nil"/>
              <w:left w:val="nil"/>
              <w:bottom w:val="single" w:sz="4" w:space="0" w:color="auto"/>
              <w:right w:val="single" w:sz="4" w:space="0" w:color="auto"/>
            </w:tcBorders>
            <w:shd w:val="clear" w:color="auto" w:fill="auto"/>
            <w:noWrap/>
            <w:vAlign w:val="center"/>
          </w:tcPr>
          <w:p w14:paraId="6848A39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230 517</w:t>
            </w:r>
          </w:p>
        </w:tc>
        <w:tc>
          <w:tcPr>
            <w:tcW w:w="851" w:type="dxa"/>
            <w:tcBorders>
              <w:top w:val="nil"/>
              <w:left w:val="nil"/>
              <w:bottom w:val="single" w:sz="4" w:space="0" w:color="auto"/>
              <w:right w:val="single" w:sz="8" w:space="0" w:color="auto"/>
            </w:tcBorders>
            <w:shd w:val="clear" w:color="auto" w:fill="auto"/>
            <w:noWrap/>
            <w:vAlign w:val="center"/>
          </w:tcPr>
          <w:p w14:paraId="45B9C3E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128,29%</w:t>
            </w:r>
          </w:p>
        </w:tc>
      </w:tr>
      <w:tr w:rsidR="00910F4C" w14:paraId="77480F9B" w14:textId="77777777">
        <w:trPr>
          <w:trHeight w:val="283"/>
        </w:trPr>
        <w:tc>
          <w:tcPr>
            <w:tcW w:w="2400" w:type="dxa"/>
            <w:tcBorders>
              <w:top w:val="nil"/>
              <w:left w:val="single" w:sz="8" w:space="0" w:color="auto"/>
              <w:bottom w:val="single" w:sz="4" w:space="0" w:color="auto"/>
              <w:right w:val="single" w:sz="8" w:space="0" w:color="auto"/>
            </w:tcBorders>
            <w:shd w:val="clear" w:color="000000" w:fill="C9C9C9"/>
            <w:noWrap/>
            <w:vAlign w:val="center"/>
          </w:tcPr>
          <w:p w14:paraId="13886376"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Прибыль (убыток) от продаж</w:t>
            </w:r>
          </w:p>
        </w:tc>
        <w:tc>
          <w:tcPr>
            <w:tcW w:w="1276" w:type="dxa"/>
            <w:tcBorders>
              <w:top w:val="nil"/>
              <w:left w:val="nil"/>
              <w:bottom w:val="single" w:sz="4" w:space="0" w:color="auto"/>
              <w:right w:val="single" w:sz="4" w:space="0" w:color="auto"/>
            </w:tcBorders>
            <w:shd w:val="clear" w:color="000000" w:fill="C9C9C9"/>
            <w:noWrap/>
            <w:vAlign w:val="center"/>
          </w:tcPr>
          <w:p w14:paraId="725C6A34"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1729 781</w:t>
            </w:r>
          </w:p>
        </w:tc>
        <w:tc>
          <w:tcPr>
            <w:tcW w:w="1134" w:type="dxa"/>
            <w:tcBorders>
              <w:top w:val="nil"/>
              <w:left w:val="nil"/>
              <w:bottom w:val="single" w:sz="4" w:space="0" w:color="auto"/>
              <w:right w:val="single" w:sz="8" w:space="0" w:color="auto"/>
            </w:tcBorders>
            <w:shd w:val="clear" w:color="000000" w:fill="C9C9C9"/>
            <w:noWrap/>
            <w:vAlign w:val="center"/>
          </w:tcPr>
          <w:p w14:paraId="5E63308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15,14%</w:t>
            </w:r>
          </w:p>
        </w:tc>
        <w:tc>
          <w:tcPr>
            <w:tcW w:w="1276" w:type="dxa"/>
            <w:tcBorders>
              <w:top w:val="nil"/>
              <w:left w:val="nil"/>
              <w:bottom w:val="single" w:sz="4" w:space="0" w:color="auto"/>
              <w:right w:val="single" w:sz="4" w:space="0" w:color="auto"/>
            </w:tcBorders>
            <w:shd w:val="clear" w:color="000000" w:fill="C9C9C9"/>
            <w:noWrap/>
            <w:vAlign w:val="center"/>
          </w:tcPr>
          <w:p w14:paraId="1E4A34D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727 441</w:t>
            </w:r>
          </w:p>
        </w:tc>
        <w:tc>
          <w:tcPr>
            <w:tcW w:w="1225" w:type="dxa"/>
            <w:tcBorders>
              <w:top w:val="nil"/>
              <w:left w:val="nil"/>
              <w:bottom w:val="single" w:sz="4" w:space="0" w:color="auto"/>
              <w:right w:val="single" w:sz="8" w:space="0" w:color="auto"/>
            </w:tcBorders>
            <w:shd w:val="clear" w:color="000000" w:fill="C9C9C9"/>
            <w:noWrap/>
            <w:vAlign w:val="center"/>
          </w:tcPr>
          <w:p w14:paraId="1FD8F41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5,42%</w:t>
            </w:r>
          </w:p>
        </w:tc>
        <w:tc>
          <w:tcPr>
            <w:tcW w:w="1184" w:type="dxa"/>
            <w:tcBorders>
              <w:top w:val="nil"/>
              <w:left w:val="nil"/>
              <w:bottom w:val="single" w:sz="4" w:space="0" w:color="auto"/>
              <w:right w:val="single" w:sz="4" w:space="0" w:color="auto"/>
            </w:tcBorders>
            <w:shd w:val="clear" w:color="auto" w:fill="auto"/>
            <w:noWrap/>
            <w:vAlign w:val="center"/>
          </w:tcPr>
          <w:p w14:paraId="6119F398"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-1002 340</w:t>
            </w:r>
          </w:p>
        </w:tc>
        <w:tc>
          <w:tcPr>
            <w:tcW w:w="851" w:type="dxa"/>
            <w:tcBorders>
              <w:top w:val="nil"/>
              <w:left w:val="nil"/>
              <w:bottom w:val="single" w:sz="4" w:space="0" w:color="auto"/>
              <w:right w:val="single" w:sz="8" w:space="0" w:color="auto"/>
            </w:tcBorders>
            <w:shd w:val="clear" w:color="auto" w:fill="auto"/>
            <w:noWrap/>
            <w:vAlign w:val="center"/>
          </w:tcPr>
          <w:p w14:paraId="3BA3001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42,05%</w:t>
            </w:r>
          </w:p>
        </w:tc>
      </w:tr>
      <w:tr w:rsidR="00910F4C" w14:paraId="4E1C70EA" w14:textId="77777777">
        <w:trPr>
          <w:trHeight w:val="283"/>
        </w:trPr>
        <w:tc>
          <w:tcPr>
            <w:tcW w:w="2400" w:type="dxa"/>
            <w:tcBorders>
              <w:top w:val="nil"/>
              <w:left w:val="single" w:sz="8" w:space="0" w:color="auto"/>
              <w:bottom w:val="single" w:sz="4" w:space="0" w:color="auto"/>
              <w:right w:val="single" w:sz="8" w:space="0" w:color="auto"/>
            </w:tcBorders>
            <w:shd w:val="clear" w:color="auto" w:fill="auto"/>
            <w:noWrap/>
            <w:vAlign w:val="center"/>
          </w:tcPr>
          <w:p w14:paraId="228B9A8E"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Проценты к получению</w:t>
            </w:r>
          </w:p>
        </w:tc>
        <w:tc>
          <w:tcPr>
            <w:tcW w:w="1276" w:type="dxa"/>
            <w:tcBorders>
              <w:top w:val="nil"/>
              <w:left w:val="nil"/>
              <w:bottom w:val="single" w:sz="4" w:space="0" w:color="auto"/>
              <w:right w:val="single" w:sz="4" w:space="0" w:color="auto"/>
            </w:tcBorders>
            <w:shd w:val="clear" w:color="auto" w:fill="auto"/>
            <w:noWrap/>
            <w:vAlign w:val="center"/>
          </w:tcPr>
          <w:p w14:paraId="60B50D2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46 806</w:t>
            </w:r>
          </w:p>
        </w:tc>
        <w:tc>
          <w:tcPr>
            <w:tcW w:w="1134" w:type="dxa"/>
            <w:tcBorders>
              <w:top w:val="nil"/>
              <w:left w:val="nil"/>
              <w:bottom w:val="single" w:sz="4" w:space="0" w:color="auto"/>
              <w:right w:val="single" w:sz="8" w:space="0" w:color="auto"/>
            </w:tcBorders>
            <w:shd w:val="clear" w:color="auto" w:fill="auto"/>
            <w:noWrap/>
            <w:vAlign w:val="center"/>
          </w:tcPr>
          <w:p w14:paraId="1CC5992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0,41%</w:t>
            </w:r>
          </w:p>
        </w:tc>
        <w:tc>
          <w:tcPr>
            <w:tcW w:w="1276" w:type="dxa"/>
            <w:tcBorders>
              <w:top w:val="nil"/>
              <w:left w:val="nil"/>
              <w:bottom w:val="single" w:sz="4" w:space="0" w:color="auto"/>
              <w:right w:val="single" w:sz="4" w:space="0" w:color="auto"/>
            </w:tcBorders>
            <w:shd w:val="clear" w:color="auto" w:fill="auto"/>
            <w:noWrap/>
            <w:vAlign w:val="center"/>
          </w:tcPr>
          <w:p w14:paraId="639087A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46 806</w:t>
            </w:r>
          </w:p>
        </w:tc>
        <w:tc>
          <w:tcPr>
            <w:tcW w:w="1225" w:type="dxa"/>
            <w:tcBorders>
              <w:top w:val="nil"/>
              <w:left w:val="nil"/>
              <w:bottom w:val="single" w:sz="4" w:space="0" w:color="auto"/>
              <w:right w:val="single" w:sz="8" w:space="0" w:color="auto"/>
            </w:tcBorders>
            <w:shd w:val="clear" w:color="auto" w:fill="auto"/>
            <w:noWrap/>
            <w:vAlign w:val="center"/>
          </w:tcPr>
          <w:p w14:paraId="3AB073B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0,35%</w:t>
            </w:r>
          </w:p>
        </w:tc>
        <w:tc>
          <w:tcPr>
            <w:tcW w:w="1184" w:type="dxa"/>
            <w:tcBorders>
              <w:top w:val="nil"/>
              <w:left w:val="nil"/>
              <w:bottom w:val="single" w:sz="4" w:space="0" w:color="auto"/>
              <w:right w:val="single" w:sz="4" w:space="0" w:color="auto"/>
            </w:tcBorders>
            <w:shd w:val="clear" w:color="auto" w:fill="auto"/>
            <w:noWrap/>
            <w:vAlign w:val="center"/>
          </w:tcPr>
          <w:p w14:paraId="1E535AB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8" w:space="0" w:color="auto"/>
            </w:tcBorders>
            <w:shd w:val="clear" w:color="auto" w:fill="auto"/>
            <w:noWrap/>
            <w:vAlign w:val="center"/>
          </w:tcPr>
          <w:p w14:paraId="7ECB08C5"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100,00%</w:t>
            </w:r>
          </w:p>
        </w:tc>
      </w:tr>
      <w:tr w:rsidR="00910F4C" w14:paraId="6367B56A" w14:textId="77777777">
        <w:trPr>
          <w:trHeight w:val="283"/>
        </w:trPr>
        <w:tc>
          <w:tcPr>
            <w:tcW w:w="2400" w:type="dxa"/>
            <w:tcBorders>
              <w:top w:val="nil"/>
              <w:left w:val="single" w:sz="8" w:space="0" w:color="auto"/>
              <w:bottom w:val="single" w:sz="4" w:space="0" w:color="auto"/>
              <w:right w:val="single" w:sz="8" w:space="0" w:color="auto"/>
            </w:tcBorders>
            <w:shd w:val="clear" w:color="auto" w:fill="auto"/>
            <w:noWrap/>
            <w:vAlign w:val="center"/>
          </w:tcPr>
          <w:p w14:paraId="3424AAE2"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Проценты к уплате</w:t>
            </w:r>
          </w:p>
        </w:tc>
        <w:tc>
          <w:tcPr>
            <w:tcW w:w="1276" w:type="dxa"/>
            <w:tcBorders>
              <w:top w:val="nil"/>
              <w:left w:val="nil"/>
              <w:bottom w:val="single" w:sz="4" w:space="0" w:color="auto"/>
              <w:right w:val="single" w:sz="4" w:space="0" w:color="auto"/>
            </w:tcBorders>
            <w:shd w:val="clear" w:color="auto" w:fill="auto"/>
            <w:noWrap/>
            <w:vAlign w:val="center"/>
          </w:tcPr>
          <w:p w14:paraId="7DBC6CD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358 189</w:t>
            </w:r>
          </w:p>
        </w:tc>
        <w:tc>
          <w:tcPr>
            <w:tcW w:w="1134" w:type="dxa"/>
            <w:tcBorders>
              <w:top w:val="nil"/>
              <w:left w:val="nil"/>
              <w:bottom w:val="single" w:sz="4" w:space="0" w:color="auto"/>
              <w:right w:val="single" w:sz="8" w:space="0" w:color="auto"/>
            </w:tcBorders>
            <w:shd w:val="clear" w:color="auto" w:fill="auto"/>
            <w:noWrap/>
            <w:vAlign w:val="center"/>
          </w:tcPr>
          <w:p w14:paraId="40A7DAD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3,14%</w:t>
            </w:r>
          </w:p>
        </w:tc>
        <w:tc>
          <w:tcPr>
            <w:tcW w:w="1276" w:type="dxa"/>
            <w:tcBorders>
              <w:top w:val="nil"/>
              <w:left w:val="nil"/>
              <w:bottom w:val="single" w:sz="4" w:space="0" w:color="auto"/>
              <w:right w:val="single" w:sz="4" w:space="0" w:color="auto"/>
            </w:tcBorders>
            <w:shd w:val="clear" w:color="auto" w:fill="auto"/>
            <w:noWrap/>
            <w:vAlign w:val="center"/>
          </w:tcPr>
          <w:p w14:paraId="0283D54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358 189</w:t>
            </w:r>
          </w:p>
        </w:tc>
        <w:tc>
          <w:tcPr>
            <w:tcW w:w="1225" w:type="dxa"/>
            <w:tcBorders>
              <w:top w:val="nil"/>
              <w:left w:val="nil"/>
              <w:bottom w:val="single" w:sz="4" w:space="0" w:color="auto"/>
              <w:right w:val="single" w:sz="8" w:space="0" w:color="auto"/>
            </w:tcBorders>
            <w:shd w:val="clear" w:color="auto" w:fill="auto"/>
            <w:noWrap/>
            <w:vAlign w:val="center"/>
          </w:tcPr>
          <w:p w14:paraId="169AF1B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2,67%</w:t>
            </w:r>
          </w:p>
        </w:tc>
        <w:tc>
          <w:tcPr>
            <w:tcW w:w="1184" w:type="dxa"/>
            <w:tcBorders>
              <w:top w:val="nil"/>
              <w:left w:val="nil"/>
              <w:bottom w:val="single" w:sz="4" w:space="0" w:color="auto"/>
              <w:right w:val="single" w:sz="4" w:space="0" w:color="auto"/>
            </w:tcBorders>
            <w:shd w:val="clear" w:color="auto" w:fill="auto"/>
            <w:noWrap/>
            <w:vAlign w:val="center"/>
          </w:tcPr>
          <w:p w14:paraId="513703C5"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8" w:space="0" w:color="auto"/>
            </w:tcBorders>
            <w:shd w:val="clear" w:color="auto" w:fill="auto"/>
            <w:noWrap/>
            <w:vAlign w:val="center"/>
          </w:tcPr>
          <w:p w14:paraId="46987FB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100,00%</w:t>
            </w:r>
          </w:p>
        </w:tc>
      </w:tr>
      <w:tr w:rsidR="00910F4C" w14:paraId="17CCF069" w14:textId="77777777">
        <w:trPr>
          <w:trHeight w:val="283"/>
        </w:trPr>
        <w:tc>
          <w:tcPr>
            <w:tcW w:w="2400" w:type="dxa"/>
            <w:tcBorders>
              <w:top w:val="nil"/>
              <w:left w:val="single" w:sz="8" w:space="0" w:color="auto"/>
              <w:bottom w:val="single" w:sz="4" w:space="0" w:color="auto"/>
              <w:right w:val="single" w:sz="8" w:space="0" w:color="auto"/>
            </w:tcBorders>
            <w:shd w:val="clear" w:color="auto" w:fill="auto"/>
            <w:noWrap/>
            <w:vAlign w:val="center"/>
          </w:tcPr>
          <w:p w14:paraId="1CA796FA"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Прочие доходы</w:t>
            </w:r>
          </w:p>
        </w:tc>
        <w:tc>
          <w:tcPr>
            <w:tcW w:w="1276" w:type="dxa"/>
            <w:tcBorders>
              <w:top w:val="nil"/>
              <w:left w:val="nil"/>
              <w:bottom w:val="single" w:sz="4" w:space="0" w:color="auto"/>
              <w:right w:val="single" w:sz="4" w:space="0" w:color="auto"/>
            </w:tcBorders>
            <w:shd w:val="clear" w:color="auto" w:fill="auto"/>
            <w:noWrap/>
            <w:vAlign w:val="center"/>
          </w:tcPr>
          <w:p w14:paraId="6457A4C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2124 392</w:t>
            </w:r>
          </w:p>
        </w:tc>
        <w:tc>
          <w:tcPr>
            <w:tcW w:w="1134" w:type="dxa"/>
            <w:tcBorders>
              <w:top w:val="nil"/>
              <w:left w:val="nil"/>
              <w:bottom w:val="single" w:sz="4" w:space="0" w:color="auto"/>
              <w:right w:val="single" w:sz="8" w:space="0" w:color="auto"/>
            </w:tcBorders>
            <w:shd w:val="clear" w:color="auto" w:fill="auto"/>
            <w:noWrap/>
            <w:vAlign w:val="center"/>
          </w:tcPr>
          <w:p w14:paraId="1159235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18,60%</w:t>
            </w:r>
          </w:p>
        </w:tc>
        <w:tc>
          <w:tcPr>
            <w:tcW w:w="1276" w:type="dxa"/>
            <w:tcBorders>
              <w:top w:val="nil"/>
              <w:left w:val="nil"/>
              <w:bottom w:val="single" w:sz="4" w:space="0" w:color="auto"/>
              <w:right w:val="single" w:sz="4" w:space="0" w:color="auto"/>
            </w:tcBorders>
            <w:shd w:val="clear" w:color="auto" w:fill="auto"/>
            <w:noWrap/>
            <w:vAlign w:val="center"/>
          </w:tcPr>
          <w:p w14:paraId="23AE5BB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550 557</w:t>
            </w:r>
          </w:p>
        </w:tc>
        <w:tc>
          <w:tcPr>
            <w:tcW w:w="1225" w:type="dxa"/>
            <w:tcBorders>
              <w:top w:val="nil"/>
              <w:left w:val="nil"/>
              <w:bottom w:val="single" w:sz="4" w:space="0" w:color="auto"/>
              <w:right w:val="single" w:sz="8" w:space="0" w:color="auto"/>
            </w:tcBorders>
            <w:shd w:val="clear" w:color="auto" w:fill="auto"/>
            <w:noWrap/>
            <w:vAlign w:val="center"/>
          </w:tcPr>
          <w:p w14:paraId="73002B8D"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4,10%</w:t>
            </w:r>
          </w:p>
        </w:tc>
        <w:tc>
          <w:tcPr>
            <w:tcW w:w="1184" w:type="dxa"/>
            <w:tcBorders>
              <w:top w:val="nil"/>
              <w:left w:val="nil"/>
              <w:bottom w:val="single" w:sz="4" w:space="0" w:color="auto"/>
              <w:right w:val="single" w:sz="4" w:space="0" w:color="auto"/>
            </w:tcBorders>
            <w:shd w:val="clear" w:color="auto" w:fill="auto"/>
            <w:noWrap/>
            <w:vAlign w:val="center"/>
          </w:tcPr>
          <w:p w14:paraId="6893BE6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-1573 835</w:t>
            </w:r>
          </w:p>
        </w:tc>
        <w:tc>
          <w:tcPr>
            <w:tcW w:w="851" w:type="dxa"/>
            <w:tcBorders>
              <w:top w:val="nil"/>
              <w:left w:val="nil"/>
              <w:bottom w:val="single" w:sz="4" w:space="0" w:color="auto"/>
              <w:right w:val="single" w:sz="8" w:space="0" w:color="auto"/>
            </w:tcBorders>
            <w:shd w:val="clear" w:color="auto" w:fill="auto"/>
            <w:noWrap/>
            <w:vAlign w:val="center"/>
          </w:tcPr>
          <w:p w14:paraId="06FC4AC4"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25,92%</w:t>
            </w:r>
          </w:p>
        </w:tc>
      </w:tr>
      <w:tr w:rsidR="00910F4C" w14:paraId="0A324B62" w14:textId="77777777">
        <w:trPr>
          <w:trHeight w:val="283"/>
        </w:trPr>
        <w:tc>
          <w:tcPr>
            <w:tcW w:w="2400" w:type="dxa"/>
            <w:tcBorders>
              <w:top w:val="nil"/>
              <w:left w:val="single" w:sz="8" w:space="0" w:color="auto"/>
              <w:bottom w:val="single" w:sz="4" w:space="0" w:color="auto"/>
              <w:right w:val="single" w:sz="8" w:space="0" w:color="auto"/>
            </w:tcBorders>
            <w:shd w:val="clear" w:color="auto" w:fill="auto"/>
            <w:noWrap/>
            <w:vAlign w:val="center"/>
          </w:tcPr>
          <w:p w14:paraId="2C2FB042"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Прочие расходы</w:t>
            </w:r>
          </w:p>
        </w:tc>
        <w:tc>
          <w:tcPr>
            <w:tcW w:w="1276" w:type="dxa"/>
            <w:tcBorders>
              <w:top w:val="nil"/>
              <w:left w:val="nil"/>
              <w:bottom w:val="single" w:sz="4" w:space="0" w:color="auto"/>
              <w:right w:val="single" w:sz="4" w:space="0" w:color="auto"/>
            </w:tcBorders>
            <w:shd w:val="clear" w:color="auto" w:fill="auto"/>
            <w:noWrap/>
            <w:vAlign w:val="center"/>
          </w:tcPr>
          <w:p w14:paraId="3C898BB9"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2372 384</w:t>
            </w:r>
          </w:p>
        </w:tc>
        <w:tc>
          <w:tcPr>
            <w:tcW w:w="1134" w:type="dxa"/>
            <w:tcBorders>
              <w:top w:val="nil"/>
              <w:left w:val="nil"/>
              <w:bottom w:val="single" w:sz="4" w:space="0" w:color="auto"/>
              <w:right w:val="single" w:sz="8" w:space="0" w:color="auto"/>
            </w:tcBorders>
            <w:shd w:val="clear" w:color="auto" w:fill="auto"/>
            <w:noWrap/>
            <w:vAlign w:val="center"/>
          </w:tcPr>
          <w:p w14:paraId="03C2177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20,77%</w:t>
            </w:r>
          </w:p>
        </w:tc>
        <w:tc>
          <w:tcPr>
            <w:tcW w:w="1276" w:type="dxa"/>
            <w:tcBorders>
              <w:top w:val="nil"/>
              <w:left w:val="nil"/>
              <w:bottom w:val="single" w:sz="4" w:space="0" w:color="auto"/>
              <w:right w:val="single" w:sz="4" w:space="0" w:color="auto"/>
            </w:tcBorders>
            <w:shd w:val="clear" w:color="auto" w:fill="auto"/>
            <w:noWrap/>
            <w:vAlign w:val="center"/>
          </w:tcPr>
          <w:p w14:paraId="480A1EB8"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797 907</w:t>
            </w:r>
          </w:p>
        </w:tc>
        <w:tc>
          <w:tcPr>
            <w:tcW w:w="1225" w:type="dxa"/>
            <w:tcBorders>
              <w:top w:val="nil"/>
              <w:left w:val="nil"/>
              <w:bottom w:val="single" w:sz="4" w:space="0" w:color="auto"/>
              <w:right w:val="single" w:sz="8" w:space="0" w:color="auto"/>
            </w:tcBorders>
            <w:shd w:val="clear" w:color="auto" w:fill="auto"/>
            <w:noWrap/>
            <w:vAlign w:val="center"/>
          </w:tcPr>
          <w:p w14:paraId="47495C6C"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5,94%</w:t>
            </w:r>
          </w:p>
        </w:tc>
        <w:tc>
          <w:tcPr>
            <w:tcW w:w="1184" w:type="dxa"/>
            <w:tcBorders>
              <w:top w:val="nil"/>
              <w:left w:val="nil"/>
              <w:bottom w:val="single" w:sz="4" w:space="0" w:color="auto"/>
              <w:right w:val="single" w:sz="4" w:space="0" w:color="auto"/>
            </w:tcBorders>
            <w:shd w:val="clear" w:color="auto" w:fill="auto"/>
            <w:noWrap/>
            <w:vAlign w:val="center"/>
          </w:tcPr>
          <w:p w14:paraId="646B846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-1574 477</w:t>
            </w:r>
          </w:p>
        </w:tc>
        <w:tc>
          <w:tcPr>
            <w:tcW w:w="851" w:type="dxa"/>
            <w:tcBorders>
              <w:top w:val="nil"/>
              <w:left w:val="nil"/>
              <w:bottom w:val="single" w:sz="4" w:space="0" w:color="auto"/>
              <w:right w:val="single" w:sz="8" w:space="0" w:color="auto"/>
            </w:tcBorders>
            <w:shd w:val="clear" w:color="auto" w:fill="auto"/>
            <w:noWrap/>
            <w:vAlign w:val="center"/>
          </w:tcPr>
          <w:p w14:paraId="0BC4711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33,63%</w:t>
            </w:r>
          </w:p>
        </w:tc>
      </w:tr>
      <w:tr w:rsidR="00910F4C" w14:paraId="093D9EE4" w14:textId="77777777">
        <w:trPr>
          <w:trHeight w:val="283"/>
        </w:trPr>
        <w:tc>
          <w:tcPr>
            <w:tcW w:w="2400" w:type="dxa"/>
            <w:tcBorders>
              <w:top w:val="nil"/>
              <w:left w:val="single" w:sz="8" w:space="0" w:color="auto"/>
              <w:bottom w:val="single" w:sz="4" w:space="0" w:color="auto"/>
              <w:right w:val="single" w:sz="8" w:space="0" w:color="auto"/>
            </w:tcBorders>
            <w:shd w:val="clear" w:color="000000" w:fill="C9C9C9"/>
            <w:vAlign w:val="center"/>
          </w:tcPr>
          <w:p w14:paraId="4682968A"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Прибыль (убыток) до налогообложения</w:t>
            </w:r>
          </w:p>
        </w:tc>
        <w:tc>
          <w:tcPr>
            <w:tcW w:w="1276" w:type="dxa"/>
            <w:tcBorders>
              <w:top w:val="nil"/>
              <w:left w:val="nil"/>
              <w:bottom w:val="single" w:sz="4" w:space="0" w:color="auto"/>
              <w:right w:val="single" w:sz="4" w:space="0" w:color="auto"/>
            </w:tcBorders>
            <w:shd w:val="clear" w:color="000000" w:fill="C9C9C9"/>
            <w:noWrap/>
            <w:vAlign w:val="center"/>
          </w:tcPr>
          <w:p w14:paraId="1AD5FED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1170 406</w:t>
            </w:r>
          </w:p>
        </w:tc>
        <w:tc>
          <w:tcPr>
            <w:tcW w:w="1134" w:type="dxa"/>
            <w:tcBorders>
              <w:top w:val="nil"/>
              <w:left w:val="nil"/>
              <w:bottom w:val="single" w:sz="4" w:space="0" w:color="auto"/>
              <w:right w:val="single" w:sz="8" w:space="0" w:color="auto"/>
            </w:tcBorders>
            <w:shd w:val="clear" w:color="000000" w:fill="C9C9C9"/>
            <w:noWrap/>
            <w:vAlign w:val="center"/>
          </w:tcPr>
          <w:p w14:paraId="1E9EDF6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10,25%</w:t>
            </w:r>
          </w:p>
        </w:tc>
        <w:tc>
          <w:tcPr>
            <w:tcW w:w="1276" w:type="dxa"/>
            <w:tcBorders>
              <w:top w:val="nil"/>
              <w:left w:val="nil"/>
              <w:bottom w:val="single" w:sz="4" w:space="0" w:color="auto"/>
              <w:right w:val="single" w:sz="4" w:space="0" w:color="auto"/>
            </w:tcBorders>
            <w:shd w:val="clear" w:color="000000" w:fill="C9C9C9"/>
            <w:noWrap/>
            <w:vAlign w:val="center"/>
          </w:tcPr>
          <w:p w14:paraId="4FEDC6C4"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36 063</w:t>
            </w:r>
          </w:p>
        </w:tc>
        <w:tc>
          <w:tcPr>
            <w:tcW w:w="1225" w:type="dxa"/>
            <w:tcBorders>
              <w:top w:val="nil"/>
              <w:left w:val="nil"/>
              <w:bottom w:val="single" w:sz="4" w:space="0" w:color="auto"/>
              <w:right w:val="single" w:sz="8" w:space="0" w:color="auto"/>
            </w:tcBorders>
            <w:shd w:val="clear" w:color="000000" w:fill="C9C9C9"/>
            <w:noWrap/>
            <w:vAlign w:val="center"/>
          </w:tcPr>
          <w:p w14:paraId="6FEF1E3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0,27%</w:t>
            </w:r>
          </w:p>
        </w:tc>
        <w:tc>
          <w:tcPr>
            <w:tcW w:w="1184" w:type="dxa"/>
            <w:tcBorders>
              <w:top w:val="nil"/>
              <w:left w:val="nil"/>
              <w:bottom w:val="single" w:sz="4" w:space="0" w:color="auto"/>
              <w:right w:val="single" w:sz="4" w:space="0" w:color="auto"/>
            </w:tcBorders>
            <w:shd w:val="clear" w:color="auto" w:fill="auto"/>
            <w:noWrap/>
            <w:vAlign w:val="center"/>
          </w:tcPr>
          <w:p w14:paraId="436671EE"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-1134 343</w:t>
            </w:r>
          </w:p>
        </w:tc>
        <w:tc>
          <w:tcPr>
            <w:tcW w:w="851" w:type="dxa"/>
            <w:tcBorders>
              <w:top w:val="nil"/>
              <w:left w:val="nil"/>
              <w:bottom w:val="single" w:sz="4" w:space="0" w:color="auto"/>
              <w:right w:val="single" w:sz="8" w:space="0" w:color="auto"/>
            </w:tcBorders>
            <w:shd w:val="clear" w:color="auto" w:fill="auto"/>
            <w:noWrap/>
            <w:vAlign w:val="center"/>
          </w:tcPr>
          <w:p w14:paraId="4C2D8469"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3,08%</w:t>
            </w:r>
          </w:p>
        </w:tc>
      </w:tr>
      <w:tr w:rsidR="00910F4C" w14:paraId="34059D81" w14:textId="77777777">
        <w:trPr>
          <w:trHeight w:val="283"/>
        </w:trPr>
        <w:tc>
          <w:tcPr>
            <w:tcW w:w="2400" w:type="dxa"/>
            <w:tcBorders>
              <w:top w:val="nil"/>
              <w:left w:val="single" w:sz="8" w:space="0" w:color="auto"/>
              <w:bottom w:val="single" w:sz="4" w:space="0" w:color="auto"/>
              <w:right w:val="single" w:sz="8" w:space="0" w:color="auto"/>
            </w:tcBorders>
            <w:shd w:val="clear" w:color="auto" w:fill="auto"/>
            <w:noWrap/>
            <w:vAlign w:val="center"/>
          </w:tcPr>
          <w:p w14:paraId="1C055624"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Текущий налог на прибыль</w:t>
            </w:r>
          </w:p>
        </w:tc>
        <w:tc>
          <w:tcPr>
            <w:tcW w:w="1276" w:type="dxa"/>
            <w:tcBorders>
              <w:top w:val="nil"/>
              <w:left w:val="nil"/>
              <w:bottom w:val="single" w:sz="4" w:space="0" w:color="auto"/>
              <w:right w:val="single" w:sz="4" w:space="0" w:color="auto"/>
            </w:tcBorders>
            <w:shd w:val="clear" w:color="auto" w:fill="auto"/>
            <w:noWrap/>
            <w:vAlign w:val="center"/>
          </w:tcPr>
          <w:p w14:paraId="13C6573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219 620</w:t>
            </w:r>
          </w:p>
        </w:tc>
        <w:tc>
          <w:tcPr>
            <w:tcW w:w="1134" w:type="dxa"/>
            <w:tcBorders>
              <w:top w:val="nil"/>
              <w:left w:val="nil"/>
              <w:bottom w:val="single" w:sz="4" w:space="0" w:color="auto"/>
              <w:right w:val="single" w:sz="8" w:space="0" w:color="auto"/>
            </w:tcBorders>
            <w:shd w:val="clear" w:color="auto" w:fill="auto"/>
            <w:noWrap/>
            <w:vAlign w:val="center"/>
          </w:tcPr>
          <w:p w14:paraId="3B0D3618"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1,92%</w:t>
            </w:r>
          </w:p>
        </w:tc>
        <w:tc>
          <w:tcPr>
            <w:tcW w:w="1276" w:type="dxa"/>
            <w:tcBorders>
              <w:top w:val="nil"/>
              <w:left w:val="nil"/>
              <w:bottom w:val="single" w:sz="4" w:space="0" w:color="auto"/>
              <w:right w:val="single" w:sz="4" w:space="0" w:color="auto"/>
            </w:tcBorders>
            <w:shd w:val="clear" w:color="auto" w:fill="auto"/>
            <w:noWrap/>
            <w:vAlign w:val="center"/>
          </w:tcPr>
          <w:p w14:paraId="04E1116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22 784</w:t>
            </w:r>
          </w:p>
        </w:tc>
        <w:tc>
          <w:tcPr>
            <w:tcW w:w="1225" w:type="dxa"/>
            <w:tcBorders>
              <w:top w:val="nil"/>
              <w:left w:val="nil"/>
              <w:bottom w:val="single" w:sz="4" w:space="0" w:color="auto"/>
              <w:right w:val="single" w:sz="8" w:space="0" w:color="auto"/>
            </w:tcBorders>
            <w:shd w:val="clear" w:color="auto" w:fill="auto"/>
            <w:noWrap/>
            <w:vAlign w:val="center"/>
          </w:tcPr>
          <w:p w14:paraId="4964AE3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0,17%</w:t>
            </w:r>
          </w:p>
        </w:tc>
        <w:tc>
          <w:tcPr>
            <w:tcW w:w="1184" w:type="dxa"/>
            <w:tcBorders>
              <w:top w:val="nil"/>
              <w:left w:val="nil"/>
              <w:bottom w:val="single" w:sz="4" w:space="0" w:color="auto"/>
              <w:right w:val="single" w:sz="4" w:space="0" w:color="auto"/>
            </w:tcBorders>
            <w:shd w:val="clear" w:color="auto" w:fill="auto"/>
            <w:noWrap/>
            <w:vAlign w:val="center"/>
          </w:tcPr>
          <w:p w14:paraId="367BACF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-196 836</w:t>
            </w:r>
          </w:p>
        </w:tc>
        <w:tc>
          <w:tcPr>
            <w:tcW w:w="851" w:type="dxa"/>
            <w:tcBorders>
              <w:top w:val="nil"/>
              <w:left w:val="nil"/>
              <w:bottom w:val="single" w:sz="4" w:space="0" w:color="auto"/>
              <w:right w:val="single" w:sz="8" w:space="0" w:color="auto"/>
            </w:tcBorders>
            <w:shd w:val="clear" w:color="auto" w:fill="auto"/>
            <w:noWrap/>
            <w:vAlign w:val="center"/>
          </w:tcPr>
          <w:p w14:paraId="41A6B8A0"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10,37%</w:t>
            </w:r>
          </w:p>
        </w:tc>
      </w:tr>
      <w:tr w:rsidR="00910F4C" w14:paraId="428A13C9" w14:textId="77777777">
        <w:trPr>
          <w:trHeight w:val="283"/>
        </w:trPr>
        <w:tc>
          <w:tcPr>
            <w:tcW w:w="2400" w:type="dxa"/>
            <w:tcBorders>
              <w:top w:val="nil"/>
              <w:left w:val="single" w:sz="8" w:space="0" w:color="auto"/>
              <w:bottom w:val="nil"/>
              <w:right w:val="single" w:sz="8" w:space="0" w:color="auto"/>
            </w:tcBorders>
            <w:shd w:val="clear" w:color="auto" w:fill="auto"/>
            <w:noWrap/>
            <w:vAlign w:val="center"/>
          </w:tcPr>
          <w:p w14:paraId="56782D5C"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Прочее</w:t>
            </w:r>
          </w:p>
        </w:tc>
        <w:tc>
          <w:tcPr>
            <w:tcW w:w="1276" w:type="dxa"/>
            <w:tcBorders>
              <w:top w:val="nil"/>
              <w:left w:val="nil"/>
              <w:bottom w:val="nil"/>
              <w:right w:val="single" w:sz="4" w:space="0" w:color="auto"/>
            </w:tcBorders>
            <w:shd w:val="clear" w:color="auto" w:fill="auto"/>
            <w:noWrap/>
            <w:vAlign w:val="center"/>
          </w:tcPr>
          <w:p w14:paraId="5B7117E8"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455</w:t>
            </w:r>
          </w:p>
        </w:tc>
        <w:tc>
          <w:tcPr>
            <w:tcW w:w="1134" w:type="dxa"/>
            <w:tcBorders>
              <w:top w:val="nil"/>
              <w:left w:val="nil"/>
              <w:bottom w:val="nil"/>
              <w:right w:val="single" w:sz="8" w:space="0" w:color="auto"/>
            </w:tcBorders>
            <w:shd w:val="clear" w:color="auto" w:fill="auto"/>
            <w:noWrap/>
            <w:vAlign w:val="center"/>
          </w:tcPr>
          <w:p w14:paraId="1CAF184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0,0040%</w:t>
            </w:r>
          </w:p>
        </w:tc>
        <w:tc>
          <w:tcPr>
            <w:tcW w:w="1276" w:type="dxa"/>
            <w:tcBorders>
              <w:top w:val="nil"/>
              <w:left w:val="nil"/>
              <w:bottom w:val="nil"/>
              <w:right w:val="single" w:sz="4" w:space="0" w:color="auto"/>
            </w:tcBorders>
            <w:shd w:val="clear" w:color="auto" w:fill="auto"/>
            <w:noWrap/>
            <w:vAlign w:val="center"/>
          </w:tcPr>
          <w:p w14:paraId="0443B623"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c>
          <w:tcPr>
            <w:tcW w:w="1225" w:type="dxa"/>
            <w:tcBorders>
              <w:top w:val="nil"/>
              <w:left w:val="nil"/>
              <w:bottom w:val="nil"/>
              <w:right w:val="single" w:sz="8" w:space="0" w:color="auto"/>
            </w:tcBorders>
            <w:shd w:val="clear" w:color="auto" w:fill="auto"/>
            <w:noWrap/>
            <w:vAlign w:val="center"/>
          </w:tcPr>
          <w:p w14:paraId="34AF1BBB"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0,000097%</w:t>
            </w:r>
          </w:p>
        </w:tc>
        <w:tc>
          <w:tcPr>
            <w:tcW w:w="1184" w:type="dxa"/>
            <w:tcBorders>
              <w:top w:val="nil"/>
              <w:left w:val="nil"/>
              <w:bottom w:val="single" w:sz="4" w:space="0" w:color="auto"/>
              <w:right w:val="single" w:sz="4" w:space="0" w:color="auto"/>
            </w:tcBorders>
            <w:shd w:val="clear" w:color="auto" w:fill="auto"/>
            <w:noWrap/>
            <w:vAlign w:val="center"/>
          </w:tcPr>
          <w:p w14:paraId="3CC7A58F"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- 442</w:t>
            </w:r>
          </w:p>
        </w:tc>
        <w:tc>
          <w:tcPr>
            <w:tcW w:w="851" w:type="dxa"/>
            <w:tcBorders>
              <w:top w:val="nil"/>
              <w:left w:val="nil"/>
              <w:bottom w:val="single" w:sz="4" w:space="0" w:color="auto"/>
              <w:right w:val="single" w:sz="8" w:space="0" w:color="auto"/>
            </w:tcBorders>
            <w:shd w:val="clear" w:color="auto" w:fill="auto"/>
            <w:noWrap/>
            <w:vAlign w:val="center"/>
          </w:tcPr>
          <w:p w14:paraId="5227238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2,86%</w:t>
            </w:r>
          </w:p>
        </w:tc>
      </w:tr>
      <w:tr w:rsidR="00910F4C" w14:paraId="4F54284B" w14:textId="77777777">
        <w:trPr>
          <w:trHeight w:val="283"/>
        </w:trPr>
        <w:tc>
          <w:tcPr>
            <w:tcW w:w="2400" w:type="dxa"/>
            <w:tcBorders>
              <w:top w:val="single" w:sz="8" w:space="0" w:color="auto"/>
              <w:left w:val="single" w:sz="8" w:space="0" w:color="auto"/>
              <w:bottom w:val="single" w:sz="8" w:space="0" w:color="auto"/>
              <w:right w:val="single" w:sz="8" w:space="0" w:color="auto"/>
            </w:tcBorders>
            <w:shd w:val="clear" w:color="000000" w:fill="C9C9C9"/>
            <w:noWrap/>
            <w:vAlign w:val="center"/>
          </w:tcPr>
          <w:p w14:paraId="4625CC87" w14:textId="77777777" w:rsidR="00910F4C" w:rsidRDefault="009D47C4">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Чистая прибыль (убыток)</w:t>
            </w:r>
          </w:p>
        </w:tc>
        <w:tc>
          <w:tcPr>
            <w:tcW w:w="1276" w:type="dxa"/>
            <w:tcBorders>
              <w:top w:val="single" w:sz="8" w:space="0" w:color="auto"/>
              <w:left w:val="nil"/>
              <w:bottom w:val="single" w:sz="8" w:space="0" w:color="auto"/>
              <w:right w:val="single" w:sz="4" w:space="0" w:color="auto"/>
            </w:tcBorders>
            <w:shd w:val="clear" w:color="000000" w:fill="C9C9C9"/>
            <w:noWrap/>
            <w:vAlign w:val="center"/>
          </w:tcPr>
          <w:p w14:paraId="33242DF6"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950 331</w:t>
            </w:r>
          </w:p>
        </w:tc>
        <w:tc>
          <w:tcPr>
            <w:tcW w:w="1134" w:type="dxa"/>
            <w:tcBorders>
              <w:top w:val="single" w:sz="8" w:space="0" w:color="auto"/>
              <w:left w:val="nil"/>
              <w:bottom w:val="single" w:sz="8" w:space="0" w:color="auto"/>
              <w:right w:val="single" w:sz="8" w:space="0" w:color="auto"/>
            </w:tcBorders>
            <w:shd w:val="clear" w:color="000000" w:fill="C9C9C9"/>
            <w:noWrap/>
            <w:vAlign w:val="center"/>
          </w:tcPr>
          <w:p w14:paraId="0E0404D2"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8,32%</w:t>
            </w:r>
          </w:p>
        </w:tc>
        <w:tc>
          <w:tcPr>
            <w:tcW w:w="1276" w:type="dxa"/>
            <w:tcBorders>
              <w:top w:val="single" w:sz="8" w:space="0" w:color="auto"/>
              <w:left w:val="nil"/>
              <w:bottom w:val="single" w:sz="8" w:space="0" w:color="auto"/>
              <w:right w:val="single" w:sz="4" w:space="0" w:color="auto"/>
            </w:tcBorders>
            <w:shd w:val="clear" w:color="000000" w:fill="C9C9C9"/>
            <w:noWrap/>
            <w:vAlign w:val="center"/>
          </w:tcPr>
          <w:p w14:paraId="4B39A695"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13 266</w:t>
            </w:r>
          </w:p>
        </w:tc>
        <w:tc>
          <w:tcPr>
            <w:tcW w:w="1225" w:type="dxa"/>
            <w:tcBorders>
              <w:top w:val="single" w:sz="8" w:space="0" w:color="auto"/>
              <w:left w:val="nil"/>
              <w:bottom w:val="single" w:sz="8" w:space="0" w:color="auto"/>
              <w:right w:val="single" w:sz="8" w:space="0" w:color="auto"/>
            </w:tcBorders>
            <w:shd w:val="clear" w:color="000000" w:fill="C9C9C9"/>
            <w:noWrap/>
            <w:vAlign w:val="center"/>
          </w:tcPr>
          <w:p w14:paraId="7DB8881A"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0,10%</w:t>
            </w:r>
          </w:p>
        </w:tc>
        <w:tc>
          <w:tcPr>
            <w:tcW w:w="1184" w:type="dxa"/>
            <w:tcBorders>
              <w:top w:val="nil"/>
              <w:left w:val="nil"/>
              <w:bottom w:val="single" w:sz="4" w:space="0" w:color="auto"/>
              <w:right w:val="single" w:sz="4" w:space="0" w:color="auto"/>
            </w:tcBorders>
            <w:shd w:val="clear" w:color="auto" w:fill="auto"/>
            <w:noWrap/>
            <w:vAlign w:val="center"/>
          </w:tcPr>
          <w:p w14:paraId="2B4A55D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-937 065</w:t>
            </w:r>
          </w:p>
        </w:tc>
        <w:tc>
          <w:tcPr>
            <w:tcW w:w="851" w:type="dxa"/>
            <w:tcBorders>
              <w:top w:val="nil"/>
              <w:left w:val="nil"/>
              <w:bottom w:val="single" w:sz="4" w:space="0" w:color="auto"/>
              <w:right w:val="single" w:sz="8" w:space="0" w:color="auto"/>
            </w:tcBorders>
            <w:shd w:val="clear" w:color="auto" w:fill="auto"/>
            <w:noWrap/>
            <w:vAlign w:val="center"/>
          </w:tcPr>
          <w:p w14:paraId="5DCAFCE1" w14:textId="77777777" w:rsidR="00910F4C" w:rsidRDefault="009D47C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1,396%</w:t>
            </w:r>
          </w:p>
        </w:tc>
      </w:tr>
    </w:tbl>
    <w:p w14:paraId="6A9A95F1" w14:textId="4AD0DE4B"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 анализируемый период выручка выросла на 17,56%, на это повлияло увеличение себестоимости продаж на 2 352 400 тыс. руб., валовая прибыль при этом снизилась на 346 688 тыс. руб., прибыль от продаж так же снизилась на 1 002 340 тыс. руб. из-за роста коммерческих и управленческих расходов, прибыль до налогообложения снизилась на 1 134 343 тыс. руб., поскольку прочие расходы росли более быстрыми темпами чем прочие доходы, соответственно, показатель чистой прибыли значительно снизился на 937 065 тыс. руб., что составляет снижение на 98,6%. Это достаточно большое снижение, предприятию стоит обратить внимание на динамику прочих расходов и их состав, а также на резкое увеличение себестоимости продаж.</w:t>
      </w:r>
    </w:p>
    <w:p w14:paraId="49ECC900" w14:textId="77777777" w:rsidR="00D42EC3" w:rsidRDefault="00D42EC3">
      <w:pPr>
        <w:pStyle w:val="ad"/>
        <w:spacing w:line="360" w:lineRule="auto"/>
        <w:ind w:left="0" w:firstLine="567"/>
        <w:jc w:val="both"/>
        <w:rPr>
          <w:rFonts w:ascii="Times New Roman" w:hAnsi="Times New Roman" w:cs="Times New Roman"/>
          <w:sz w:val="28"/>
          <w:szCs w:val="28"/>
        </w:rPr>
      </w:pPr>
    </w:p>
    <w:p w14:paraId="3F59C094" w14:textId="77777777" w:rsidR="00DD0CEE" w:rsidRDefault="00DD0CEE" w:rsidP="00D42EC3">
      <w:pPr>
        <w:pStyle w:val="ad"/>
        <w:spacing w:before="240" w:after="240" w:line="360" w:lineRule="auto"/>
        <w:ind w:left="0" w:firstLine="709"/>
        <w:jc w:val="both"/>
        <w:rPr>
          <w:rFonts w:ascii="Times New Roman" w:hAnsi="Times New Roman" w:cs="Times New Roman"/>
          <w:b/>
          <w:bCs/>
          <w:sz w:val="28"/>
          <w:szCs w:val="28"/>
        </w:rPr>
      </w:pPr>
    </w:p>
    <w:p w14:paraId="67ACB32C" w14:textId="77777777" w:rsidR="00DD0CEE" w:rsidRDefault="00DD0CEE" w:rsidP="00D42EC3">
      <w:pPr>
        <w:pStyle w:val="ad"/>
        <w:spacing w:before="240" w:after="240" w:line="360" w:lineRule="auto"/>
        <w:ind w:left="0" w:firstLine="709"/>
        <w:jc w:val="both"/>
        <w:rPr>
          <w:rFonts w:ascii="Times New Roman" w:hAnsi="Times New Roman" w:cs="Times New Roman"/>
          <w:b/>
          <w:bCs/>
          <w:sz w:val="28"/>
          <w:szCs w:val="28"/>
        </w:rPr>
      </w:pPr>
    </w:p>
    <w:p w14:paraId="4A17ED6D" w14:textId="77777777" w:rsidR="00DD0CEE" w:rsidRDefault="00DD0CEE" w:rsidP="00D42EC3">
      <w:pPr>
        <w:pStyle w:val="ad"/>
        <w:spacing w:before="240" w:after="240" w:line="360" w:lineRule="auto"/>
        <w:ind w:left="0" w:firstLine="709"/>
        <w:jc w:val="both"/>
        <w:rPr>
          <w:rFonts w:ascii="Times New Roman" w:hAnsi="Times New Roman" w:cs="Times New Roman"/>
          <w:b/>
          <w:bCs/>
          <w:sz w:val="28"/>
          <w:szCs w:val="28"/>
        </w:rPr>
      </w:pPr>
    </w:p>
    <w:p w14:paraId="716899E5" w14:textId="77777777" w:rsidR="00DD0CEE" w:rsidRDefault="00DD0CEE" w:rsidP="00D42EC3">
      <w:pPr>
        <w:pStyle w:val="ad"/>
        <w:spacing w:before="240" w:after="240" w:line="360" w:lineRule="auto"/>
        <w:ind w:left="0" w:firstLine="709"/>
        <w:jc w:val="both"/>
        <w:rPr>
          <w:rFonts w:ascii="Times New Roman" w:hAnsi="Times New Roman" w:cs="Times New Roman"/>
          <w:b/>
          <w:bCs/>
          <w:sz w:val="28"/>
          <w:szCs w:val="28"/>
        </w:rPr>
      </w:pPr>
    </w:p>
    <w:p w14:paraId="47773071" w14:textId="12FC3ACE" w:rsidR="00910F4C" w:rsidRDefault="009D47C4" w:rsidP="00D42EC3">
      <w:pPr>
        <w:pStyle w:val="ad"/>
        <w:spacing w:before="240" w:after="240" w:line="360" w:lineRule="auto"/>
        <w:ind w:left="0" w:firstLine="709"/>
        <w:jc w:val="both"/>
        <w:rPr>
          <w:rFonts w:ascii="Times New Roman" w:hAnsi="Times New Roman" w:cs="Times New Roman"/>
          <w:b/>
          <w:bCs/>
          <w:sz w:val="28"/>
          <w:szCs w:val="28"/>
        </w:rPr>
      </w:pPr>
      <w:r w:rsidRPr="00DD0CEE">
        <w:rPr>
          <w:rFonts w:ascii="Times New Roman" w:hAnsi="Times New Roman" w:cs="Times New Roman"/>
          <w:b/>
          <w:bCs/>
          <w:sz w:val="28"/>
          <w:szCs w:val="28"/>
        </w:rPr>
        <w:lastRenderedPageBreak/>
        <w:t>2.3</w:t>
      </w:r>
      <w:r w:rsidRPr="00DD0CEE">
        <w:rPr>
          <w:rFonts w:ascii="Times New Roman" w:hAnsi="Times New Roman" w:cs="Times New Roman"/>
          <w:b/>
          <w:bCs/>
          <w:sz w:val="28"/>
          <w:szCs w:val="28"/>
        </w:rPr>
        <w:tab/>
        <w:t>Влияние</w:t>
      </w:r>
      <w:r>
        <w:rPr>
          <w:rFonts w:ascii="Times New Roman" w:hAnsi="Times New Roman" w:cs="Times New Roman"/>
          <w:b/>
          <w:bCs/>
          <w:sz w:val="28"/>
          <w:szCs w:val="28"/>
        </w:rPr>
        <w:t xml:space="preserve"> внутренних и внешних угроз на обеспечение экономической безопасности ООО «Кубань вино»</w:t>
      </w:r>
    </w:p>
    <w:p w14:paraId="16544B55" w14:textId="77777777" w:rsidR="00D42EC3" w:rsidRDefault="00D42EC3">
      <w:pPr>
        <w:pStyle w:val="ad"/>
        <w:spacing w:before="240" w:after="240" w:line="360" w:lineRule="auto"/>
        <w:ind w:left="0"/>
        <w:jc w:val="both"/>
        <w:rPr>
          <w:rFonts w:ascii="Times New Roman" w:hAnsi="Times New Roman" w:cs="Times New Roman"/>
          <w:b/>
          <w:bCs/>
          <w:sz w:val="28"/>
          <w:szCs w:val="28"/>
        </w:rPr>
      </w:pPr>
    </w:p>
    <w:p w14:paraId="428A3C7D" w14:textId="77777777" w:rsidR="00910F4C" w:rsidRDefault="009D47C4">
      <w:pPr>
        <w:pStyle w:val="ad"/>
        <w:spacing w:before="24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экономической сфере угрозы имеют многогранный характер и в первую очередь связаны с уменьшением внутреннего валового продукта, снижением уровня инвестиций и инновационной активности, а также ослаблением научно-технического потенциала. К этому добавляются стагнация сельского хозяйства, дисбаланс в банковской системе, увеличение как внешнего, так и внутреннего государственного долга, а также тенденция к доминированию в экспорте сырьевых и энергетических ресурсов, в то время как импорт включает продукты питания и товары повседневного спроса, включая основные необходимые вещи. Это указывает на то, что экономическая безопасность находится под влиянием множества факторов, не ограничиваясь лишь экономическими аспектами. Значительное воздействие на нее оказывают геополитические, социальные, экологические и другие элементы. В зависимости от источника возникновения угроз, их можно разделить на внешние и внутренние угрозы для экономической безопасности предприятия [12]. </w:t>
      </w:r>
    </w:p>
    <w:p w14:paraId="4C3F4E4B" w14:textId="77777777" w:rsidR="00910F4C" w:rsidRDefault="009D47C4">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Внешние угрозы не зависят от деятельности самого предприятия и возникают вне его рамок. Обычно это изменения в окружающей среде, способные причинить вред организации. </w:t>
      </w:r>
      <w:bookmarkStart w:id="9" w:name="_Hlk197867694"/>
      <w:r>
        <w:rPr>
          <w:rFonts w:ascii="Times New Roman" w:hAnsi="Times New Roman" w:cs="Times New Roman"/>
          <w:sz w:val="28"/>
          <w:szCs w:val="28"/>
        </w:rPr>
        <w:t>К внешним угрозам экономической безопасности предприятия относятся:</w:t>
      </w:r>
    </w:p>
    <w:bookmarkEnd w:id="9"/>
    <w:p w14:paraId="33AB66A4"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Политическая нестабильность;</w:t>
      </w:r>
    </w:p>
    <w:p w14:paraId="518D81C9"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Макроэкономические кризисы;</w:t>
      </w:r>
    </w:p>
    <w:p w14:paraId="3CB8DE8D"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Изменение законодательства, влияющего на условия хозяйственной деятельности;</w:t>
      </w:r>
    </w:p>
    <w:p w14:paraId="1B3E9B98"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Недобросовестная конкуренция;</w:t>
      </w:r>
    </w:p>
    <w:p w14:paraId="4BE3DDED"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Незаконные действия в отношении собственности юридических и физических лиц, совершенные преступным путем;</w:t>
      </w:r>
    </w:p>
    <w:p w14:paraId="7FC5A06A"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Промышленно-экономический шпионаж и несанкционированный доступ конкурентов к конфиденциальной информации, составляющий коммерческую тайну;</w:t>
      </w:r>
    </w:p>
    <w:p w14:paraId="5BA8021C"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Изменения окружающей среды;</w:t>
      </w:r>
    </w:p>
    <w:p w14:paraId="5765D2E6" w14:textId="77777777" w:rsidR="00910F4C" w:rsidRDefault="009D47C4">
      <w:pPr>
        <w:pStyle w:val="ad"/>
        <w:numPr>
          <w:ilvl w:val="0"/>
          <w:numId w:val="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Чрезвычайные ситуации природного и технического характера и др.</w:t>
      </w:r>
    </w:p>
    <w:p w14:paraId="78589C84"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Внутренние угрозы экономической безопасности компании возникают в процессе производства и реализации товаров и могут существенно повлиять на результаты работы предприятия. К числу внутренних угроз и факторов, способствующих дестабилизации, относятся действия или бездействия работников, как умышленные, так и случайные, которые идут вразрез с интересами бизнеса. Это может привести к экономическим потерям, утечке или потере информационных ресурсов, включая данные, составляющие коммерческую тайну или конфиденциальную информацию. Кроме того, такие действия могут негативно сказаться на репутации компании в деловых кругах, вызвать трудности в отношениях с текущими и потенциальными партнерами (вплоть до потери ключевых контрактов), а также привести к конфликтам с конкурентами и контролирующими органами [11]. К внутренним угрозам экономической безопасности предприятия относятся:</w:t>
      </w:r>
    </w:p>
    <w:p w14:paraId="7A79616C" w14:textId="77777777" w:rsidR="00910F4C" w:rsidRDefault="009D47C4">
      <w:pPr>
        <w:pStyle w:val="ad"/>
        <w:numPr>
          <w:ilvl w:val="0"/>
          <w:numId w:val="6"/>
        </w:numPr>
        <w:spacing w:after="0" w:line="360" w:lineRule="auto"/>
        <w:ind w:left="0" w:firstLine="567"/>
        <w:rPr>
          <w:rFonts w:ascii="Times New Roman" w:hAnsi="Times New Roman" w:cs="Times New Roman"/>
          <w:sz w:val="28"/>
          <w:szCs w:val="28"/>
        </w:rPr>
      </w:pPr>
      <w:r>
        <w:rPr>
          <w:rFonts w:ascii="Times New Roman" w:hAnsi="Times New Roman" w:cs="Times New Roman"/>
          <w:sz w:val="28"/>
          <w:szCs w:val="28"/>
        </w:rPr>
        <w:t>Злоупотребление полномочиями;</w:t>
      </w:r>
    </w:p>
    <w:p w14:paraId="1D9B549D" w14:textId="77777777" w:rsidR="00910F4C" w:rsidRDefault="009D47C4">
      <w:pPr>
        <w:pStyle w:val="ad"/>
        <w:numPr>
          <w:ilvl w:val="0"/>
          <w:numId w:val="6"/>
        </w:numPr>
        <w:spacing w:after="0" w:line="360" w:lineRule="auto"/>
        <w:ind w:left="0" w:firstLine="567"/>
        <w:rPr>
          <w:rFonts w:ascii="Times New Roman" w:hAnsi="Times New Roman" w:cs="Times New Roman"/>
          <w:sz w:val="28"/>
          <w:szCs w:val="28"/>
        </w:rPr>
      </w:pPr>
      <w:r>
        <w:rPr>
          <w:rFonts w:ascii="Times New Roman" w:hAnsi="Times New Roman" w:cs="Times New Roman"/>
          <w:sz w:val="28"/>
          <w:szCs w:val="28"/>
        </w:rPr>
        <w:t>Подрыв делового имиджа и репутации в бизнес-сообществе;</w:t>
      </w:r>
    </w:p>
    <w:p w14:paraId="6B09BF8F" w14:textId="77777777" w:rsidR="00910F4C" w:rsidRDefault="009D47C4">
      <w:pPr>
        <w:pStyle w:val="ad"/>
        <w:numPr>
          <w:ilvl w:val="0"/>
          <w:numId w:val="6"/>
        </w:numPr>
        <w:spacing w:after="0" w:line="360" w:lineRule="auto"/>
        <w:ind w:left="0" w:firstLine="567"/>
        <w:rPr>
          <w:rFonts w:ascii="Times New Roman" w:hAnsi="Times New Roman" w:cs="Times New Roman"/>
          <w:sz w:val="28"/>
          <w:szCs w:val="28"/>
        </w:rPr>
      </w:pPr>
      <w:r>
        <w:rPr>
          <w:rFonts w:ascii="Times New Roman" w:hAnsi="Times New Roman" w:cs="Times New Roman"/>
          <w:sz w:val="28"/>
          <w:szCs w:val="28"/>
        </w:rPr>
        <w:t>Нарушение режима сохранения конфиденциальной информации;</w:t>
      </w:r>
    </w:p>
    <w:p w14:paraId="7006B773" w14:textId="77777777" w:rsidR="00910F4C" w:rsidRDefault="009D47C4">
      <w:pPr>
        <w:pStyle w:val="ad"/>
        <w:numPr>
          <w:ilvl w:val="0"/>
          <w:numId w:val="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Действия или бездействия (умышленные и неумышленные) со трудников предприятия, противоречащие интересам его коммерческой деятельности;</w:t>
      </w:r>
    </w:p>
    <w:p w14:paraId="4CB8A333"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Производственные недостатки, нарушении технологий производства;</w:t>
      </w:r>
    </w:p>
    <w:p w14:paraId="6259AF12"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Существенные упущения, как в тактическом, так и в стратегическом планировании, связанные, прежде всего, с выбором цели, </w:t>
      </w:r>
      <w:r>
        <w:rPr>
          <w:rFonts w:ascii="Times New Roman" w:hAnsi="Times New Roman" w:cs="Times New Roman"/>
          <w:sz w:val="28"/>
          <w:szCs w:val="28"/>
        </w:rPr>
        <w:lastRenderedPageBreak/>
        <w:t>неверной оценкой возможностей предприятия, ошибками в прогнозировании изменений внешней среды;</w:t>
      </w:r>
    </w:p>
    <w:p w14:paraId="259E33B0" w14:textId="77777777" w:rsidR="00910F4C" w:rsidRDefault="009D47C4">
      <w:pPr>
        <w:pStyle w:val="ad"/>
        <w:numPr>
          <w:ilvl w:val="0"/>
          <w:numId w:val="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Криминальные действия собственного персонала: от воровства, до продажи коммерческой информации конкурентам и другие.</w:t>
      </w:r>
    </w:p>
    <w:p w14:paraId="41319ADD" w14:textId="77777777" w:rsidR="00910F4C" w:rsidRPr="00D42EC3" w:rsidRDefault="009D47C4" w:rsidP="00D42EC3">
      <w:pPr>
        <w:spacing w:after="0" w:line="360" w:lineRule="auto"/>
        <w:jc w:val="both"/>
        <w:rPr>
          <w:rFonts w:ascii="Times New Roman" w:hAnsi="Times New Roman" w:cs="Times New Roman"/>
          <w:sz w:val="28"/>
          <w:szCs w:val="28"/>
        </w:rPr>
      </w:pPr>
      <w:r w:rsidRPr="00DD0CEE">
        <w:rPr>
          <w:rFonts w:ascii="Times New Roman" w:hAnsi="Times New Roman" w:cs="Times New Roman"/>
          <w:sz w:val="28"/>
          <w:szCs w:val="28"/>
        </w:rPr>
        <w:t>Таблица 9 – Результирующая</w:t>
      </w:r>
      <w:r w:rsidRPr="00D42EC3">
        <w:rPr>
          <w:rFonts w:ascii="Times New Roman" w:hAnsi="Times New Roman" w:cs="Times New Roman"/>
          <w:sz w:val="28"/>
          <w:szCs w:val="28"/>
        </w:rPr>
        <w:t xml:space="preserve"> </w:t>
      </w:r>
      <w:r w:rsidRPr="00D42EC3">
        <w:rPr>
          <w:rFonts w:ascii="Times New Roman" w:hAnsi="Times New Roman" w:cs="Times New Roman"/>
          <w:sz w:val="28"/>
          <w:szCs w:val="28"/>
          <w:lang w:val="en-US"/>
        </w:rPr>
        <w:t>SWOT</w:t>
      </w:r>
      <w:r w:rsidRPr="00D42EC3">
        <w:rPr>
          <w:rFonts w:ascii="Times New Roman" w:hAnsi="Times New Roman" w:cs="Times New Roman"/>
          <w:sz w:val="28"/>
          <w:szCs w:val="28"/>
        </w:rPr>
        <w:t>-матрица ООО «Кубань-вино».</w:t>
      </w:r>
    </w:p>
    <w:tbl>
      <w:tblPr>
        <w:tblStyle w:val="13"/>
        <w:tblW w:w="0" w:type="auto"/>
        <w:tblLook w:val="04A0" w:firstRow="1" w:lastRow="0" w:firstColumn="1" w:lastColumn="0" w:noHBand="0" w:noVBand="1"/>
      </w:tblPr>
      <w:tblGrid>
        <w:gridCol w:w="4672"/>
        <w:gridCol w:w="4673"/>
      </w:tblGrid>
      <w:tr w:rsidR="00910F4C" w14:paraId="2DEFF0E3" w14:textId="77777777">
        <w:tc>
          <w:tcPr>
            <w:tcW w:w="4672" w:type="dxa"/>
            <w:vAlign w:val="center"/>
          </w:tcPr>
          <w:p w14:paraId="270EE568" w14:textId="77777777" w:rsidR="00910F4C" w:rsidRDefault="009D47C4">
            <w:pPr>
              <w:spacing w:after="0" w:line="276" w:lineRule="auto"/>
              <w:jc w:val="center"/>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Сильные стороны</w:t>
            </w:r>
          </w:p>
        </w:tc>
        <w:tc>
          <w:tcPr>
            <w:tcW w:w="4673" w:type="dxa"/>
            <w:vAlign w:val="center"/>
          </w:tcPr>
          <w:p w14:paraId="01838773" w14:textId="77777777" w:rsidR="00910F4C" w:rsidRDefault="009D47C4">
            <w:pPr>
              <w:spacing w:after="0" w:line="276" w:lineRule="auto"/>
              <w:jc w:val="center"/>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Слабые стороны</w:t>
            </w:r>
          </w:p>
        </w:tc>
      </w:tr>
      <w:tr w:rsidR="00910F4C" w14:paraId="41ECB4F8" w14:textId="77777777">
        <w:tc>
          <w:tcPr>
            <w:tcW w:w="4672" w:type="dxa"/>
          </w:tcPr>
          <w:p w14:paraId="68F91173" w14:textId="77777777" w:rsidR="00910F4C" w:rsidRDefault="009D47C4">
            <w:pPr>
              <w:numPr>
                <w:ilvl w:val="0"/>
                <w:numId w:val="7"/>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 xml:space="preserve">Ценовое позиционирование от </w:t>
            </w:r>
            <w:r>
              <w:rPr>
                <w:rFonts w:ascii="Times New Roman" w:eastAsia="Calibri" w:hAnsi="Times New Roman" w:cs="Times New Roman"/>
                <w:kern w:val="2"/>
                <w:szCs w:val="24"/>
                <w:lang w:val="en-US" w:eastAsia="ru-RU"/>
                <w14:ligatures w14:val="standardContextual"/>
              </w:rPr>
              <w:t>low</w:t>
            </w:r>
            <w:r>
              <w:rPr>
                <w:rFonts w:ascii="Times New Roman" w:eastAsia="Calibri" w:hAnsi="Times New Roman" w:cs="Times New Roman"/>
                <w:kern w:val="2"/>
                <w:szCs w:val="24"/>
                <w:lang w:eastAsia="ru-RU"/>
                <w14:ligatures w14:val="standardContextual"/>
              </w:rPr>
              <w:t>-</w:t>
            </w:r>
            <w:r>
              <w:rPr>
                <w:rFonts w:ascii="Times New Roman" w:eastAsia="Calibri" w:hAnsi="Times New Roman" w:cs="Times New Roman"/>
                <w:kern w:val="2"/>
                <w:szCs w:val="24"/>
                <w:lang w:val="en-US" w:eastAsia="ru-RU"/>
                <w14:ligatures w14:val="standardContextual"/>
              </w:rPr>
              <w:t>medium</w:t>
            </w:r>
            <w:r>
              <w:rPr>
                <w:rFonts w:ascii="Times New Roman" w:eastAsia="Calibri" w:hAnsi="Times New Roman" w:cs="Times New Roman"/>
                <w:kern w:val="2"/>
                <w:szCs w:val="24"/>
                <w:lang w:eastAsia="ru-RU"/>
                <w14:ligatures w14:val="standardContextual"/>
              </w:rPr>
              <w:t xml:space="preserve"> до </w:t>
            </w:r>
            <w:r>
              <w:rPr>
                <w:rFonts w:ascii="Times New Roman" w:eastAsia="Calibri" w:hAnsi="Times New Roman" w:cs="Times New Roman"/>
                <w:kern w:val="2"/>
                <w:szCs w:val="24"/>
                <w:lang w:val="en-US" w:eastAsia="ru-RU"/>
                <w14:ligatures w14:val="standardContextual"/>
              </w:rPr>
              <w:t>super</w:t>
            </w:r>
            <w:r>
              <w:rPr>
                <w:rFonts w:ascii="Times New Roman" w:eastAsia="Calibri" w:hAnsi="Times New Roman" w:cs="Times New Roman"/>
                <w:kern w:val="2"/>
                <w:szCs w:val="24"/>
                <w:lang w:eastAsia="ru-RU"/>
                <w14:ligatures w14:val="standardContextual"/>
              </w:rPr>
              <w:t>-</w:t>
            </w:r>
            <w:r>
              <w:rPr>
                <w:rFonts w:ascii="Times New Roman" w:eastAsia="Calibri" w:hAnsi="Times New Roman" w:cs="Times New Roman"/>
                <w:kern w:val="2"/>
                <w:szCs w:val="24"/>
                <w:lang w:val="en-US" w:eastAsia="ru-RU"/>
                <w14:ligatures w14:val="standardContextual"/>
              </w:rPr>
              <w:t>premium</w:t>
            </w:r>
          </w:p>
          <w:p w14:paraId="361F5E14" w14:textId="77777777" w:rsidR="00910F4C" w:rsidRDefault="009D47C4">
            <w:pPr>
              <w:numPr>
                <w:ilvl w:val="0"/>
                <w:numId w:val="7"/>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Полный цикл производства: от саженца до бутылки</w:t>
            </w:r>
          </w:p>
          <w:p w14:paraId="6C68F9A2" w14:textId="77777777" w:rsidR="00910F4C" w:rsidRDefault="009D47C4">
            <w:pPr>
              <w:numPr>
                <w:ilvl w:val="0"/>
                <w:numId w:val="7"/>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Собственная сырьевая база</w:t>
            </w:r>
          </w:p>
          <w:p w14:paraId="123DA9ED" w14:textId="77777777" w:rsidR="00910F4C" w:rsidRDefault="009D47C4">
            <w:pPr>
              <w:numPr>
                <w:ilvl w:val="0"/>
                <w:numId w:val="7"/>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Широкий и разнообразный выбор продукции</w:t>
            </w:r>
          </w:p>
          <w:p w14:paraId="62AC9621" w14:textId="77777777" w:rsidR="00910F4C" w:rsidRDefault="00910F4C">
            <w:pPr>
              <w:spacing w:after="0" w:line="276" w:lineRule="auto"/>
              <w:ind w:left="720"/>
              <w:contextualSpacing/>
              <w:jc w:val="both"/>
              <w:rPr>
                <w:rFonts w:ascii="Times New Roman" w:eastAsia="Calibri" w:hAnsi="Times New Roman" w:cs="Times New Roman"/>
                <w:kern w:val="2"/>
                <w:szCs w:val="24"/>
                <w:lang w:eastAsia="ru-RU"/>
                <w14:ligatures w14:val="standardContextual"/>
              </w:rPr>
            </w:pPr>
          </w:p>
        </w:tc>
        <w:tc>
          <w:tcPr>
            <w:tcW w:w="4673" w:type="dxa"/>
          </w:tcPr>
          <w:p w14:paraId="12085033" w14:textId="77777777" w:rsidR="00910F4C" w:rsidRDefault="009D47C4">
            <w:pPr>
              <w:numPr>
                <w:ilvl w:val="0"/>
                <w:numId w:val="7"/>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Высокая степень износа некоторых участков производственных линий</w:t>
            </w:r>
          </w:p>
          <w:p w14:paraId="63F970B1" w14:textId="77777777" w:rsidR="00910F4C" w:rsidRDefault="009D47C4">
            <w:pPr>
              <w:numPr>
                <w:ilvl w:val="0"/>
                <w:numId w:val="7"/>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Слабая окупаемость новой продукции более высокой ценовой категории</w:t>
            </w:r>
          </w:p>
          <w:p w14:paraId="73653108" w14:textId="77777777" w:rsidR="00910F4C" w:rsidRDefault="009D47C4">
            <w:pPr>
              <w:numPr>
                <w:ilvl w:val="0"/>
                <w:numId w:val="7"/>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Зависимость урожайности винограда от погодных условий</w:t>
            </w:r>
          </w:p>
          <w:p w14:paraId="0C16EDFB" w14:textId="77777777" w:rsidR="00910F4C" w:rsidRDefault="009D47C4">
            <w:pPr>
              <w:numPr>
                <w:ilvl w:val="0"/>
                <w:numId w:val="7"/>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Высокие транспортные издержки</w:t>
            </w:r>
          </w:p>
          <w:p w14:paraId="66B46337" w14:textId="77777777" w:rsidR="00910F4C" w:rsidRDefault="009D47C4">
            <w:pPr>
              <w:numPr>
                <w:ilvl w:val="0"/>
                <w:numId w:val="7"/>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Высокий уровень конкуренции</w:t>
            </w:r>
          </w:p>
          <w:p w14:paraId="314F1531" w14:textId="77777777" w:rsidR="00910F4C" w:rsidRDefault="009D47C4">
            <w:pPr>
              <w:numPr>
                <w:ilvl w:val="0"/>
                <w:numId w:val="7"/>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Долгий производственный цикл</w:t>
            </w:r>
          </w:p>
        </w:tc>
      </w:tr>
      <w:tr w:rsidR="00910F4C" w14:paraId="577D6882" w14:textId="77777777">
        <w:tc>
          <w:tcPr>
            <w:tcW w:w="4672" w:type="dxa"/>
            <w:vAlign w:val="center"/>
          </w:tcPr>
          <w:p w14:paraId="30E76277" w14:textId="77777777" w:rsidR="00910F4C" w:rsidRDefault="009D47C4">
            <w:pPr>
              <w:spacing w:after="0" w:line="276" w:lineRule="auto"/>
              <w:jc w:val="center"/>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Возможности</w:t>
            </w:r>
          </w:p>
        </w:tc>
        <w:tc>
          <w:tcPr>
            <w:tcW w:w="4673" w:type="dxa"/>
            <w:vAlign w:val="center"/>
          </w:tcPr>
          <w:p w14:paraId="37B936F0" w14:textId="77777777" w:rsidR="00910F4C" w:rsidRDefault="009D47C4">
            <w:pPr>
              <w:spacing w:after="0" w:line="276" w:lineRule="auto"/>
              <w:jc w:val="center"/>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Угрозы</w:t>
            </w:r>
          </w:p>
        </w:tc>
      </w:tr>
      <w:tr w:rsidR="00910F4C" w14:paraId="5162A2C6" w14:textId="77777777">
        <w:tc>
          <w:tcPr>
            <w:tcW w:w="4672" w:type="dxa"/>
            <w:shd w:val="clear" w:color="auto" w:fill="auto"/>
          </w:tcPr>
          <w:p w14:paraId="011F1C78" w14:textId="77777777" w:rsidR="00910F4C" w:rsidRDefault="009D47C4">
            <w:pPr>
              <w:numPr>
                <w:ilvl w:val="0"/>
                <w:numId w:val="8"/>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Меры поддержки национального проекта «Международная кооперация и экспорт» Российского экспортного центра</w:t>
            </w:r>
          </w:p>
          <w:p w14:paraId="2193E7E2" w14:textId="77777777" w:rsidR="00910F4C" w:rsidRDefault="009D47C4">
            <w:pPr>
              <w:numPr>
                <w:ilvl w:val="0"/>
                <w:numId w:val="8"/>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Развитие гастрономических и туристических объектов</w:t>
            </w:r>
          </w:p>
          <w:p w14:paraId="42339D19" w14:textId="77777777" w:rsidR="00910F4C" w:rsidRDefault="009D47C4">
            <w:pPr>
              <w:numPr>
                <w:ilvl w:val="0"/>
                <w:numId w:val="8"/>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Расширение собственной ресурсной базы</w:t>
            </w:r>
          </w:p>
          <w:p w14:paraId="511E9ED0" w14:textId="77777777" w:rsidR="00910F4C" w:rsidRDefault="009D47C4">
            <w:pPr>
              <w:numPr>
                <w:ilvl w:val="0"/>
                <w:numId w:val="8"/>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Расширение ассортимента</w:t>
            </w:r>
          </w:p>
          <w:p w14:paraId="1EBF61BD" w14:textId="77777777" w:rsidR="00910F4C" w:rsidRDefault="009D47C4">
            <w:pPr>
              <w:numPr>
                <w:ilvl w:val="0"/>
                <w:numId w:val="8"/>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Развитие «винного туризма»</w:t>
            </w:r>
          </w:p>
          <w:p w14:paraId="2F1550C6" w14:textId="77777777" w:rsidR="00910F4C" w:rsidRDefault="009D47C4">
            <w:pPr>
              <w:numPr>
                <w:ilvl w:val="0"/>
                <w:numId w:val="8"/>
              </w:numPr>
              <w:spacing w:after="0" w:line="276" w:lineRule="auto"/>
              <w:ind w:left="318" w:hanging="284"/>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Увеличение объемов производства</w:t>
            </w:r>
          </w:p>
        </w:tc>
        <w:tc>
          <w:tcPr>
            <w:tcW w:w="4673" w:type="dxa"/>
          </w:tcPr>
          <w:p w14:paraId="5FC88FD9" w14:textId="77777777" w:rsidR="00910F4C" w:rsidRDefault="009D47C4">
            <w:pPr>
              <w:numPr>
                <w:ilvl w:val="0"/>
                <w:numId w:val="8"/>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bookmarkStart w:id="10" w:name="_Hlk197956732"/>
            <w:r>
              <w:rPr>
                <w:rFonts w:ascii="Times New Roman" w:eastAsia="Calibri" w:hAnsi="Times New Roman" w:cs="Times New Roman"/>
                <w:kern w:val="2"/>
                <w:szCs w:val="24"/>
                <w:lang w:eastAsia="ru-RU"/>
                <w14:ligatures w14:val="standardContextual"/>
              </w:rPr>
              <w:t>Появление прямых и косвенных конкурентов</w:t>
            </w:r>
          </w:p>
          <w:p w14:paraId="2C436275" w14:textId="77777777" w:rsidR="00910F4C" w:rsidRDefault="009D47C4">
            <w:pPr>
              <w:numPr>
                <w:ilvl w:val="0"/>
                <w:numId w:val="8"/>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Нарушение поставок оборудования</w:t>
            </w:r>
          </w:p>
          <w:p w14:paraId="3024E830" w14:textId="77777777" w:rsidR="00910F4C" w:rsidRDefault="009D47C4">
            <w:pPr>
              <w:numPr>
                <w:ilvl w:val="0"/>
                <w:numId w:val="8"/>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Финансовые трудности в связи с национализацией</w:t>
            </w:r>
          </w:p>
          <w:p w14:paraId="12EC506F" w14:textId="77777777" w:rsidR="00910F4C" w:rsidRDefault="009D47C4">
            <w:pPr>
              <w:numPr>
                <w:ilvl w:val="0"/>
                <w:numId w:val="8"/>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Форс-мажорные обстоятельства</w:t>
            </w:r>
          </w:p>
          <w:p w14:paraId="0ED66162" w14:textId="77777777" w:rsidR="00910F4C" w:rsidRDefault="009D47C4">
            <w:pPr>
              <w:numPr>
                <w:ilvl w:val="0"/>
                <w:numId w:val="8"/>
              </w:numPr>
              <w:spacing w:after="0" w:line="276" w:lineRule="auto"/>
              <w:ind w:left="315" w:hanging="283"/>
              <w:contextualSpacing/>
              <w:jc w:val="both"/>
              <w:rPr>
                <w:rFonts w:ascii="Times New Roman" w:eastAsia="Calibri" w:hAnsi="Times New Roman" w:cs="Times New Roman"/>
                <w:kern w:val="2"/>
                <w:szCs w:val="24"/>
                <w:lang w:eastAsia="ru-RU"/>
                <w14:ligatures w14:val="standardContextual"/>
              </w:rPr>
            </w:pPr>
            <w:r>
              <w:rPr>
                <w:rFonts w:ascii="Times New Roman" w:eastAsia="Calibri" w:hAnsi="Times New Roman" w:cs="Times New Roman"/>
                <w:kern w:val="2"/>
                <w:szCs w:val="24"/>
                <w:lang w:eastAsia="ru-RU"/>
                <w14:ligatures w14:val="standardContextual"/>
              </w:rPr>
              <w:t>Нестабильный спрос на продукцию</w:t>
            </w:r>
            <w:bookmarkEnd w:id="10"/>
          </w:p>
        </w:tc>
      </w:tr>
    </w:tbl>
    <w:p w14:paraId="6145E4A4" w14:textId="54E4D4B6" w:rsidR="00910F4C" w:rsidRDefault="009D47C4" w:rsidP="00DD0CEE">
      <w:pPr>
        <w:pStyle w:val="ad"/>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Анализ влияния внутренних и внешних угроз на обеспечение экономической безопасности ООО «Кубань вино» позволяет сделать вывод о том, что комплексное понимание этих угроз является ключевым фактором для устойчивого развития компании. Внутренние угрозы, такие как недостаточная эффективность управления, финансовые риски и проблемы с качеством продукции, могут существенно подорвать конкурентоспособность предприятия и его репутацию на рынке. С другой стороны, внешние угрозы, включая изменения в законодательстве, колебания рыночной конъюнктуры и действия конкурентов, также требуют внимательного анализа и проактивного подхода к их минимизации. Успешное преодоление этих вызовов возможно лишь при наличии четкой стратегии управления рисками, которая учитывает как внутренние, так и внешние факторы. </w:t>
      </w:r>
    </w:p>
    <w:p w14:paraId="5161434A" w14:textId="38B02393" w:rsidR="00910F4C" w:rsidRPr="00DD0CEE" w:rsidRDefault="009D47C4" w:rsidP="00D42EC3">
      <w:pPr>
        <w:pStyle w:val="ad"/>
        <w:spacing w:after="0" w:line="360" w:lineRule="auto"/>
        <w:ind w:left="0" w:firstLine="709"/>
        <w:jc w:val="both"/>
        <w:rPr>
          <w:rFonts w:ascii="Times New Roman" w:hAnsi="Times New Roman" w:cs="Times New Roman"/>
          <w:b/>
          <w:sz w:val="28"/>
          <w:szCs w:val="28"/>
        </w:rPr>
      </w:pPr>
      <w:r w:rsidRPr="00DD0CEE">
        <w:rPr>
          <w:rFonts w:ascii="Times New Roman" w:hAnsi="Times New Roman" w:cs="Times New Roman"/>
          <w:b/>
          <w:sz w:val="28"/>
          <w:szCs w:val="28"/>
        </w:rPr>
        <w:lastRenderedPageBreak/>
        <w:t>3</w:t>
      </w:r>
      <w:r w:rsidRPr="00DD0CEE">
        <w:rPr>
          <w:rFonts w:ascii="Times New Roman" w:hAnsi="Times New Roman" w:cs="Times New Roman"/>
          <w:b/>
          <w:sz w:val="28"/>
          <w:szCs w:val="28"/>
        </w:rPr>
        <w:tab/>
        <w:t>Перспективы повышения экономической безопасности организации с учетом региональных факторов</w:t>
      </w:r>
    </w:p>
    <w:p w14:paraId="58519F6F" w14:textId="77777777" w:rsidR="00D470A2" w:rsidRPr="00DD0CEE" w:rsidRDefault="00D470A2" w:rsidP="00D42EC3">
      <w:pPr>
        <w:pStyle w:val="ad"/>
        <w:spacing w:after="0" w:line="360" w:lineRule="auto"/>
        <w:ind w:left="0" w:firstLine="709"/>
        <w:jc w:val="both"/>
        <w:rPr>
          <w:rFonts w:ascii="Times New Roman" w:hAnsi="Times New Roman" w:cs="Times New Roman"/>
          <w:b/>
          <w:sz w:val="28"/>
          <w:szCs w:val="28"/>
        </w:rPr>
      </w:pPr>
    </w:p>
    <w:p w14:paraId="1B5F5450" w14:textId="02434EBE" w:rsidR="00910F4C" w:rsidRDefault="009D47C4" w:rsidP="00D42EC3">
      <w:pPr>
        <w:pStyle w:val="ad"/>
        <w:spacing w:after="0" w:line="360" w:lineRule="auto"/>
        <w:ind w:left="0" w:firstLine="709"/>
        <w:jc w:val="both"/>
        <w:rPr>
          <w:rFonts w:ascii="Times New Roman" w:hAnsi="Times New Roman" w:cs="Times New Roman"/>
          <w:b/>
          <w:sz w:val="28"/>
          <w:szCs w:val="28"/>
        </w:rPr>
      </w:pPr>
      <w:r w:rsidRPr="00DD0CEE">
        <w:rPr>
          <w:rFonts w:ascii="Times New Roman" w:hAnsi="Times New Roman" w:cs="Times New Roman"/>
          <w:b/>
          <w:sz w:val="28"/>
          <w:szCs w:val="28"/>
        </w:rPr>
        <w:t>3.1</w:t>
      </w:r>
      <w:r w:rsidRPr="00DD0CEE">
        <w:rPr>
          <w:rFonts w:ascii="Times New Roman" w:hAnsi="Times New Roman" w:cs="Times New Roman"/>
          <w:b/>
          <w:sz w:val="28"/>
          <w:szCs w:val="28"/>
        </w:rPr>
        <w:tab/>
        <w:t>Практические рекомендации по обеспечению экономической безопасности ООО «Кубань вино»</w:t>
      </w:r>
      <w:r>
        <w:rPr>
          <w:rFonts w:ascii="Times New Roman" w:hAnsi="Times New Roman" w:cs="Times New Roman"/>
          <w:b/>
          <w:sz w:val="28"/>
          <w:szCs w:val="28"/>
        </w:rPr>
        <w:t xml:space="preserve"> </w:t>
      </w:r>
    </w:p>
    <w:p w14:paraId="6B30857E" w14:textId="77777777" w:rsidR="00D470A2" w:rsidRDefault="00D470A2" w:rsidP="00D42EC3">
      <w:pPr>
        <w:pStyle w:val="ad"/>
        <w:spacing w:after="0" w:line="360" w:lineRule="auto"/>
        <w:ind w:left="0" w:firstLine="709"/>
        <w:jc w:val="both"/>
        <w:rPr>
          <w:rFonts w:ascii="Times New Roman" w:hAnsi="Times New Roman" w:cs="Times New Roman"/>
          <w:sz w:val="28"/>
          <w:szCs w:val="28"/>
        </w:rPr>
      </w:pPr>
    </w:p>
    <w:p w14:paraId="33324027"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Рассмотрим общий подход к структурированию принципов обеспечения экономической безопасности предприятия, предложенный А.С. Давыденко [6].</w:t>
      </w:r>
    </w:p>
    <w:p w14:paraId="29D3EFC3"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Принцип комплексного подхода</w:t>
      </w:r>
      <w:r>
        <w:rPr>
          <w:rFonts w:ascii="Times New Roman" w:hAnsi="Times New Roman" w:cs="Times New Roman"/>
          <w:sz w:val="28"/>
          <w:szCs w:val="28"/>
        </w:rPr>
        <w:t>. Этот принцип подразумевает использование всех доступных средств для защиты финансовых, материальных, информационных и человеческих ресурсов на всех уровнях организации и во всех ее процессах. Комплексный подход реализуется через сочетание правовых, организационных и технических мероприятий без выделения каких-либо из них в приоритетные.</w:t>
      </w:r>
    </w:p>
    <w:p w14:paraId="42A1CC47"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Принцип приоритета превентивных мер</w:t>
      </w:r>
      <w:r>
        <w:rPr>
          <w:rFonts w:ascii="Times New Roman" w:hAnsi="Times New Roman" w:cs="Times New Roman"/>
          <w:sz w:val="28"/>
          <w:szCs w:val="28"/>
        </w:rPr>
        <w:t>. Суть этого принципа заключается в том, что задачи по обеспечению комплексной безопасности должны определяться на ранних этапах разработки системы безопасности.</w:t>
      </w:r>
    </w:p>
    <w:p w14:paraId="5426A1B9"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Принцип планомерности</w:t>
      </w:r>
      <w:r>
        <w:rPr>
          <w:rFonts w:ascii="Times New Roman" w:hAnsi="Times New Roman" w:cs="Times New Roman"/>
          <w:sz w:val="28"/>
          <w:szCs w:val="28"/>
        </w:rPr>
        <w:t>. Этот принцип обеспечивает организованность в функционировании системы безопасности. Деятельность по обеспечению экономической безопасности должна основываться на едином концептуальном подходе, который изложен в комплексной программе и конкретных планах по различным направлениям безопасности.</w:t>
      </w:r>
    </w:p>
    <w:p w14:paraId="69171F8E"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Принцип баланса открытости и конфиденциальности</w:t>
      </w:r>
      <w:r>
        <w:rPr>
          <w:rFonts w:ascii="Times New Roman" w:hAnsi="Times New Roman" w:cs="Times New Roman"/>
          <w:sz w:val="28"/>
          <w:szCs w:val="28"/>
        </w:rPr>
        <w:t>. Основные меры экономической безопасности должны быть известны всем сотрудникам компании, которые обязаны следовать этим требованиям. В то же время некоторые методы и ресурсы обеспечения безопасности должны оставаться в ведении узкого круга специалистов, что позволяет более эффективно выявлять и предотвращать как внутренние, так и внешние угрозы.</w:t>
      </w:r>
    </w:p>
    <w:p w14:paraId="37227343"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lastRenderedPageBreak/>
        <w:t>Принцип профессионализма</w:t>
      </w:r>
      <w:r>
        <w:rPr>
          <w:rFonts w:ascii="Times New Roman" w:hAnsi="Times New Roman" w:cs="Times New Roman"/>
          <w:sz w:val="28"/>
          <w:szCs w:val="28"/>
        </w:rPr>
        <w:t>. Этот принцип подразумевает, что вопросы обеспечения экономической безопасности должны решаться квалифицированными специалистами, которые понимают суть проблемы, умеют адекватно оценивать ситуацию и принимать обоснованные решения.</w:t>
      </w:r>
    </w:p>
    <w:p w14:paraId="3FACA1AA"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Принцип адекватности затрат</w:t>
      </w:r>
      <w:r>
        <w:rPr>
          <w:rFonts w:ascii="Times New Roman" w:hAnsi="Times New Roman" w:cs="Times New Roman"/>
          <w:sz w:val="28"/>
          <w:szCs w:val="28"/>
        </w:rPr>
        <w:t>. Суть этого принципа заключается в том, что если угроза не является значительной, то не следует тратить на ее устранение чрезмерные ресурсы. В то же время на устранение серьезных угроз необходимо направлять соответствующее количество усилий.</w:t>
      </w:r>
    </w:p>
    <w:p w14:paraId="5CC2C5CE"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Принцип результативности защиты</w:t>
      </w:r>
      <w:r>
        <w:rPr>
          <w:rFonts w:ascii="Times New Roman" w:hAnsi="Times New Roman" w:cs="Times New Roman"/>
          <w:sz w:val="28"/>
          <w:szCs w:val="28"/>
        </w:rPr>
        <w:t>. Инструменты, используемые для обеспечения экономической безопасности, должны быть эффективными в отношении конкретных угроз, с которыми сталкивается организация.</w:t>
      </w:r>
    </w:p>
    <w:p w14:paraId="372B61E1"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Принцип целевой локализации мероприятий</w:t>
      </w:r>
      <w:r>
        <w:rPr>
          <w:rFonts w:ascii="Times New Roman" w:hAnsi="Times New Roman" w:cs="Times New Roman"/>
          <w:sz w:val="28"/>
          <w:szCs w:val="28"/>
        </w:rPr>
        <w:t>. Защитные меры, проводимые предприятием, должны быть четко связаны с источником угрозы и тем участником организации, на которого эта угроза может оказать наибольшее влияние.</w:t>
      </w:r>
    </w:p>
    <w:p w14:paraId="1656B9C0" w14:textId="77777777" w:rsidR="00910F4C" w:rsidRDefault="009D47C4">
      <w:pPr>
        <w:pStyle w:val="ad"/>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практические рекомендации по обеспечению экономической безопасности ООО «Кубань вино» по следующим направлениям: социальные, технологические, экономические, экологические, политические, рыночные, конкурентные [22]. </w:t>
      </w:r>
    </w:p>
    <w:p w14:paraId="1820B965" w14:textId="77777777" w:rsidR="00910F4C" w:rsidRDefault="009D47C4">
      <w:pPr>
        <w:pStyle w:val="ad"/>
        <w:numPr>
          <w:ilvl w:val="0"/>
          <w:numId w:val="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Социальные:</w:t>
      </w:r>
    </w:p>
    <w:p w14:paraId="3A750579" w14:textId="77777777" w:rsidR="00910F4C" w:rsidRDefault="009D47C4">
      <w:pPr>
        <w:pStyle w:val="ad"/>
        <w:numPr>
          <w:ilvl w:val="0"/>
          <w:numId w:val="1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Внедрение безалкогольной продукции, полезных продуктов питания и т.п.;</w:t>
      </w:r>
    </w:p>
    <w:p w14:paraId="365FCC1F" w14:textId="77777777" w:rsidR="00910F4C" w:rsidRDefault="009D47C4">
      <w:pPr>
        <w:pStyle w:val="ad"/>
        <w:numPr>
          <w:ilvl w:val="0"/>
          <w:numId w:val="1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Участие в международных выставках и конкурсах может значительно повлиять на репутацию компании и вызвать доверие в глазах потребителей;</w:t>
      </w:r>
    </w:p>
    <w:p w14:paraId="1426A0F3" w14:textId="77777777" w:rsidR="00910F4C" w:rsidRDefault="009D47C4">
      <w:pPr>
        <w:pStyle w:val="ad"/>
        <w:numPr>
          <w:ilvl w:val="0"/>
          <w:numId w:val="1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Установление более доступных цен на продукцию, внедрение программ лояльности и скидок;</w:t>
      </w:r>
    </w:p>
    <w:p w14:paraId="28F93C08" w14:textId="77777777" w:rsidR="00910F4C" w:rsidRDefault="009D47C4">
      <w:pPr>
        <w:pStyle w:val="ad"/>
        <w:numPr>
          <w:ilvl w:val="0"/>
          <w:numId w:val="10"/>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Активное ведение соц. сетей и участие в различного рода публичных мероприятиях.</w:t>
      </w:r>
    </w:p>
    <w:p w14:paraId="7D23F845" w14:textId="77777777" w:rsidR="00FD4612" w:rsidRDefault="00FD4612" w:rsidP="00FD4612">
      <w:pPr>
        <w:pStyle w:val="ad"/>
        <w:spacing w:line="360" w:lineRule="auto"/>
        <w:ind w:left="567"/>
        <w:jc w:val="both"/>
        <w:rPr>
          <w:rFonts w:ascii="Times New Roman" w:hAnsi="Times New Roman" w:cs="Times New Roman"/>
          <w:sz w:val="28"/>
          <w:szCs w:val="28"/>
        </w:rPr>
      </w:pPr>
    </w:p>
    <w:p w14:paraId="7C80C9C2" w14:textId="77777777" w:rsidR="00910F4C" w:rsidRDefault="009D47C4">
      <w:pPr>
        <w:pStyle w:val="ad"/>
        <w:numPr>
          <w:ilvl w:val="0"/>
          <w:numId w:val="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Технологические:</w:t>
      </w:r>
    </w:p>
    <w:p w14:paraId="73C902EC" w14:textId="77777777" w:rsidR="00910F4C" w:rsidRDefault="009D47C4">
      <w:pPr>
        <w:pStyle w:val="ad"/>
        <w:numPr>
          <w:ilvl w:val="0"/>
          <w:numId w:val="1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Появление новых патентов позволит выдвинуть собственное производство на новый уровень и улучшить качество продукции;</w:t>
      </w:r>
    </w:p>
    <w:p w14:paraId="018203DC" w14:textId="77777777" w:rsidR="00910F4C" w:rsidRDefault="009D47C4">
      <w:pPr>
        <w:pStyle w:val="ad"/>
        <w:numPr>
          <w:ilvl w:val="0"/>
          <w:numId w:val="1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Увеличение инвестирования в собственные исследования;</w:t>
      </w:r>
    </w:p>
    <w:p w14:paraId="73DAC697" w14:textId="77777777" w:rsidR="00910F4C" w:rsidRDefault="009D47C4">
      <w:pPr>
        <w:pStyle w:val="ad"/>
        <w:numPr>
          <w:ilvl w:val="0"/>
          <w:numId w:val="1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Партнерство с университетами и исследовательскими центрами для доступа к последним достижениям в области агрономии;</w:t>
      </w:r>
    </w:p>
    <w:p w14:paraId="2B018D7D" w14:textId="77777777" w:rsidR="00910F4C" w:rsidRDefault="009D47C4">
      <w:pPr>
        <w:pStyle w:val="ad"/>
        <w:numPr>
          <w:ilvl w:val="0"/>
          <w:numId w:val="11"/>
        </w:numPr>
        <w:spacing w:line="360" w:lineRule="auto"/>
        <w:ind w:left="0"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 Внедрение новых разработок и проектов, привлечение новых поставщиков;</w:t>
      </w:r>
    </w:p>
    <w:p w14:paraId="759DB25F" w14:textId="77777777" w:rsidR="00910F4C" w:rsidRDefault="009D47C4">
      <w:pPr>
        <w:pStyle w:val="ad"/>
        <w:numPr>
          <w:ilvl w:val="0"/>
          <w:numId w:val="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Экономические:</w:t>
      </w:r>
    </w:p>
    <w:p w14:paraId="3DD0EF08" w14:textId="77777777" w:rsidR="00910F4C" w:rsidRDefault="009D47C4">
      <w:pPr>
        <w:pStyle w:val="ad"/>
        <w:numPr>
          <w:ilvl w:val="0"/>
          <w:numId w:val="1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бюджетных вариантов вин для привлечения более широкой аудитории в условиях экономического спада;</w:t>
      </w:r>
    </w:p>
    <w:p w14:paraId="136EDDF3" w14:textId="77777777" w:rsidR="00910F4C" w:rsidRDefault="009D47C4">
      <w:pPr>
        <w:pStyle w:val="ad"/>
        <w:numPr>
          <w:ilvl w:val="0"/>
          <w:numId w:val="1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Формирование резервов для покрытия непредвиденных расходов и поддержания ликвидности в условиях экономической нестабильности;</w:t>
      </w:r>
    </w:p>
    <w:p w14:paraId="1F45772A" w14:textId="77777777" w:rsidR="00910F4C" w:rsidRDefault="009D47C4">
      <w:pPr>
        <w:pStyle w:val="ad"/>
        <w:numPr>
          <w:ilvl w:val="0"/>
          <w:numId w:val="12"/>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Участие в международных выставках и конкурсах, продвижение продукции за счет социальных сетей и продуманного маркетингового плана, с целью привлечения инвесторов.</w:t>
      </w:r>
    </w:p>
    <w:p w14:paraId="46F94F76" w14:textId="77777777" w:rsidR="00910F4C" w:rsidRDefault="009D47C4">
      <w:pPr>
        <w:pStyle w:val="ad"/>
        <w:numPr>
          <w:ilvl w:val="0"/>
          <w:numId w:val="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Экологические:</w:t>
      </w:r>
    </w:p>
    <w:p w14:paraId="656A4D76" w14:textId="77777777" w:rsidR="00910F4C" w:rsidRDefault="009D47C4">
      <w:pPr>
        <w:pStyle w:val="ad"/>
        <w:numPr>
          <w:ilvl w:val="0"/>
          <w:numId w:val="1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Постепенное внедрение экологически чистого оборудования, максимальное использование возможностей вторичной переработки;</w:t>
      </w:r>
    </w:p>
    <w:p w14:paraId="3A2AA1C7" w14:textId="77777777" w:rsidR="00910F4C" w:rsidRDefault="009D47C4">
      <w:pPr>
        <w:pStyle w:val="ad"/>
        <w:numPr>
          <w:ilvl w:val="0"/>
          <w:numId w:val="1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Сотрудничество с университетами и научными учреждениями для разработки инновационных решений в области устойчивого виноделия;</w:t>
      </w:r>
    </w:p>
    <w:p w14:paraId="108D1714" w14:textId="77777777" w:rsidR="00910F4C" w:rsidRDefault="009D47C4">
      <w:pPr>
        <w:pStyle w:val="ad"/>
        <w:numPr>
          <w:ilvl w:val="0"/>
          <w:numId w:val="1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Выбор сортов, которые лучше подходят к местным условиям и менее требовательны к ресурсам;</w:t>
      </w:r>
    </w:p>
    <w:p w14:paraId="0FBB0E32" w14:textId="77777777" w:rsidR="00910F4C" w:rsidRDefault="009D47C4">
      <w:pPr>
        <w:pStyle w:val="ad"/>
        <w:numPr>
          <w:ilvl w:val="0"/>
          <w:numId w:val="13"/>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центров переработки отходов на территории заводов.</w:t>
      </w:r>
    </w:p>
    <w:p w14:paraId="161C42EC" w14:textId="77777777" w:rsidR="00910F4C" w:rsidRDefault="009D47C4">
      <w:pPr>
        <w:pStyle w:val="ad"/>
        <w:numPr>
          <w:ilvl w:val="0"/>
          <w:numId w:val="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Политические:</w:t>
      </w:r>
    </w:p>
    <w:p w14:paraId="55401866" w14:textId="77777777" w:rsidR="00910F4C" w:rsidRDefault="009D47C4">
      <w:pPr>
        <w:pStyle w:val="ad"/>
        <w:numPr>
          <w:ilvl w:val="0"/>
          <w:numId w:val="1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Диверсификация источников дохода (разработка дополнительных направлений бизнеса);</w:t>
      </w:r>
    </w:p>
    <w:p w14:paraId="16F4D188" w14:textId="77777777" w:rsidR="00910F4C" w:rsidRDefault="009D47C4">
      <w:pPr>
        <w:pStyle w:val="ad"/>
        <w:numPr>
          <w:ilvl w:val="0"/>
          <w:numId w:val="1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Поиск и привлечение частных инвесторов;</w:t>
      </w:r>
    </w:p>
    <w:p w14:paraId="49170507" w14:textId="77777777" w:rsidR="00910F4C" w:rsidRDefault="009D47C4">
      <w:pPr>
        <w:pStyle w:val="ad"/>
        <w:numPr>
          <w:ilvl w:val="0"/>
          <w:numId w:val="14"/>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Внедрение строгих стандартов контроля качества на всех этапах производства.</w:t>
      </w:r>
    </w:p>
    <w:p w14:paraId="1328C758" w14:textId="77777777" w:rsidR="00910F4C" w:rsidRDefault="009D47C4">
      <w:pPr>
        <w:pStyle w:val="ad"/>
        <w:numPr>
          <w:ilvl w:val="0"/>
          <w:numId w:val="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Рыночные:</w:t>
      </w:r>
    </w:p>
    <w:p w14:paraId="1E7440BB" w14:textId="77777777" w:rsidR="00910F4C" w:rsidRDefault="009D47C4">
      <w:pPr>
        <w:pStyle w:val="ad"/>
        <w:numPr>
          <w:ilvl w:val="0"/>
          <w:numId w:val="1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Разработка и внедрение новых видов продукции, таких как безалкогольные или слабоалкогольные вина, а также органические и натуральные вина;</w:t>
      </w:r>
    </w:p>
    <w:p w14:paraId="6CE3FD87" w14:textId="77777777" w:rsidR="00910F4C" w:rsidRDefault="009D47C4">
      <w:pPr>
        <w:pStyle w:val="ad"/>
        <w:numPr>
          <w:ilvl w:val="0"/>
          <w:numId w:val="15"/>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Участие в конкурсах и получение сертификатов качества для повышения доверия со стороны потребителей.</w:t>
      </w:r>
    </w:p>
    <w:p w14:paraId="01821BB5" w14:textId="77777777" w:rsidR="00910F4C" w:rsidRDefault="009D47C4">
      <w:pPr>
        <w:pStyle w:val="ad"/>
        <w:numPr>
          <w:ilvl w:val="0"/>
          <w:numId w:val="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Конкурентные:</w:t>
      </w:r>
    </w:p>
    <w:p w14:paraId="776DA560" w14:textId="77777777" w:rsidR="00910F4C" w:rsidRDefault="009D47C4">
      <w:pPr>
        <w:pStyle w:val="ad"/>
        <w:numPr>
          <w:ilvl w:val="0"/>
          <w:numId w:val="1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Создание лимитированных серий или специальных предложений для привлечения внимания;</w:t>
      </w:r>
    </w:p>
    <w:p w14:paraId="446E3DAD" w14:textId="77777777" w:rsidR="00910F4C" w:rsidRDefault="009D47C4">
      <w:pPr>
        <w:pStyle w:val="ad"/>
        <w:numPr>
          <w:ilvl w:val="0"/>
          <w:numId w:val="1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Активное присутствие в социальных сетях для взаимодействия с клиентами и создания сообщества вокруг бренда.</w:t>
      </w:r>
    </w:p>
    <w:p w14:paraId="5440E725"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Обеспечение экономической безопасности ООО «Кубань вино» является многогранной задачей, требующей комплексного подхода и применения современных методов управления рисками. Для их минимизации рекомендуется внедрение системы мониторинга и анализа внешней среды, а также регулярная оценка внутреннего контроля [15].</w:t>
      </w:r>
    </w:p>
    <w:p w14:paraId="58F0535A" w14:textId="77777777" w:rsidR="00910F4C" w:rsidRDefault="009D47C4">
      <w:pPr>
        <w:pStyle w:val="ad"/>
        <w:spacing w:before="240" w:after="240" w:line="360" w:lineRule="auto"/>
        <w:ind w:left="0"/>
        <w:jc w:val="both"/>
        <w:rPr>
          <w:rFonts w:ascii="Times New Roman" w:hAnsi="Times New Roman" w:cs="Times New Roman"/>
          <w:b/>
          <w:sz w:val="28"/>
          <w:szCs w:val="28"/>
        </w:rPr>
      </w:pPr>
      <w:r>
        <w:rPr>
          <w:rFonts w:ascii="Times New Roman" w:hAnsi="Times New Roman" w:cs="Times New Roman"/>
          <w:b/>
          <w:sz w:val="28"/>
          <w:szCs w:val="28"/>
        </w:rPr>
        <w:t>3.2 Роль государственного регулирования в обеспечении экономической безопасности организации</w:t>
      </w:r>
    </w:p>
    <w:p w14:paraId="16BA8687"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Обеспечение эффективной экономической безопасности является постоянным и сложным процессом, который требует мобилизации ресурсов и координации усилий всех заинтересованных сторон для достижения успеха. В связи с важностью этого процесса необходимо применять системный подход, который позволит создать полноценную систему обеспечения экономической безопасности. К основным элементам обеспечения экономической безопасности государства относятся:</w:t>
      </w:r>
    </w:p>
    <w:p w14:paraId="0CC7B2ED" w14:textId="77777777" w:rsidR="00910F4C" w:rsidRDefault="009D47C4">
      <w:pPr>
        <w:pStyle w:val="ad"/>
        <w:numPr>
          <w:ilvl w:val="0"/>
          <w:numId w:val="1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Всесторонний мониторинг всех направлений экономики и общества, который является необходимым компонентом для определения</w:t>
      </w:r>
      <w:r>
        <w:rPr>
          <w:rFonts w:ascii="Times New Roman" w:hAnsi="Times New Roman" w:cs="Times New Roman"/>
          <w:sz w:val="28"/>
          <w:szCs w:val="28"/>
        </w:rPr>
        <w:br/>
        <w:t>и прогнозирования внутренних и внешних угроз, которые являются важным аспектом в рамках интересов объектов экономической безопасности;</w:t>
      </w:r>
    </w:p>
    <w:p w14:paraId="6427E551" w14:textId="77777777" w:rsidR="00910F4C" w:rsidRDefault="009D47C4">
      <w:pPr>
        <w:pStyle w:val="ad"/>
        <w:numPr>
          <w:ilvl w:val="0"/>
          <w:numId w:val="1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Разработка комплекса мер, которые способны предупредить</w:t>
      </w:r>
      <w:r>
        <w:rPr>
          <w:rFonts w:ascii="Times New Roman" w:hAnsi="Times New Roman" w:cs="Times New Roman"/>
          <w:sz w:val="28"/>
          <w:szCs w:val="28"/>
        </w:rPr>
        <w:br/>
        <w:t>и нейтрализовать, как внешние, так и внутренние угрозы;</w:t>
      </w:r>
    </w:p>
    <w:p w14:paraId="69954F9B" w14:textId="77777777" w:rsidR="00910F4C" w:rsidRDefault="009D47C4">
      <w:pPr>
        <w:pStyle w:val="ad"/>
        <w:numPr>
          <w:ilvl w:val="0"/>
          <w:numId w:val="16"/>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Формирование работы по реализации государственных мер по обеспечению экономической безопасности.</w:t>
      </w:r>
    </w:p>
    <w:p w14:paraId="201BDED4"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Государственные органы играют ключевую роль в решении задач, связанных с защитой наиболее значимых интересов страны. К основным из этих задач относятся стимулирование экономического роста, повышение устойчивости к внутренним и внешним экономическим угрозам, а также укрепление экономического суверенитета. </w:t>
      </w:r>
    </w:p>
    <w:p w14:paraId="6840259B"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Важно отметить, что в России существует специальный орган, занимающийся вопросами безопасности на территории государства. Состав Совета Безопасности Российской Федерации был утвержден Указом Президента от 25 мая 2012 года № 715, и его председателем является Президент Владимир Владимирович Путин. С мая 2011 года в рамках Совета Безопасности функционирует межведомственная комиссия, отвечающая за безопасность в экономической и социальной сферах.</w:t>
      </w:r>
    </w:p>
    <w:p w14:paraId="7FEFAD28"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Основные принципы, на которые опираются государственные органы для обеспечения экономической безопасности, включают [4]:</w:t>
      </w:r>
    </w:p>
    <w:p w14:paraId="28D2CF6B" w14:textId="77777777" w:rsidR="00910F4C" w:rsidRDefault="009D47C4">
      <w:pPr>
        <w:pStyle w:val="ad"/>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Законность. Этот принцип является основой правовой системы и представляет собой требование соблюдения законов и норм, регулирующих общественные отношения. Законность подразумевает, что все участники правоотношений должны действовать в соответствии с установленными правовыми нормами, что обеспечивает стабильность и предсказуемость в экономической сфере.</w:t>
      </w:r>
    </w:p>
    <w:p w14:paraId="3A6C0753" w14:textId="77777777" w:rsidR="00910F4C" w:rsidRDefault="009D47C4">
      <w:pPr>
        <w:pStyle w:val="ad"/>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Баланс интересов. Успешное обеспечение экономической безопасности возможно лишь при учете интересов всех сторон, включая как индивидуумов, так и государство. Для достижения этого баланса необходимо строгое соблюдение нормативных актов и правил, а также активное взаимодействие всех участников, что позволяет эффективно противостоять различным угрозам.</w:t>
      </w:r>
    </w:p>
    <w:p w14:paraId="5D61D19E" w14:textId="77777777" w:rsidR="00910F4C" w:rsidRDefault="009D47C4">
      <w:pPr>
        <w:pStyle w:val="ad"/>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Приоритет защиты жизненно важных интересов. Этот принцип акцентирует внимание на необходимости защиты ключевых интересов граждан и государства. Сфокусировавшись на противодействии угрозам, можно выстроить последовательную и эффективную систему защиты, которая обеспечит безопасность как отдельных лиц, так и общества в целом.</w:t>
      </w:r>
    </w:p>
    <w:p w14:paraId="0CB38BC5" w14:textId="77777777" w:rsidR="00910F4C" w:rsidRDefault="009D47C4">
      <w:pPr>
        <w:pStyle w:val="ad"/>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Синергия сил и средств. Данный принцип подразумевает координацию действий всех органов, участвующих в обеспечении экономической безопасности. Важно четко разграничивать функции и обязанности, устанавливать рабочие контакты и устранять ненужную конкуренцию для повышения эффективности взаимодействия.</w:t>
      </w:r>
    </w:p>
    <w:p w14:paraId="5F05B139" w14:textId="77777777" w:rsidR="00910F4C" w:rsidRDefault="009D47C4">
      <w:pPr>
        <w:pStyle w:val="ad"/>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Комплексный подход к применению мер. Этот принцип включает в себя использование различных методов и мероприятий, которые должны реализовываться в сотрудничестве с государственными структурами, правоохранительными органами и общественными организациями. Такой комплексный подход обеспечивает более эффективное решение задач по обеспечению экономической безопасности.</w:t>
      </w:r>
    </w:p>
    <w:p w14:paraId="786CBB6F"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Таблица 10 – Функции государства в сфере обеспечения экономической безопасности (составлено автором на основе [2]).</w:t>
      </w:r>
    </w:p>
    <w:tbl>
      <w:tblPr>
        <w:tblStyle w:val="ac"/>
        <w:tblW w:w="0" w:type="auto"/>
        <w:tblLook w:val="04A0" w:firstRow="1" w:lastRow="0" w:firstColumn="1" w:lastColumn="0" w:noHBand="0" w:noVBand="1"/>
      </w:tblPr>
      <w:tblGrid>
        <w:gridCol w:w="3256"/>
        <w:gridCol w:w="6089"/>
      </w:tblGrid>
      <w:tr w:rsidR="00910F4C" w14:paraId="34C52DEB" w14:textId="77777777">
        <w:tc>
          <w:tcPr>
            <w:tcW w:w="3256" w:type="dxa"/>
            <w:vAlign w:val="center"/>
          </w:tcPr>
          <w:p w14:paraId="7E5F8875" w14:textId="77777777" w:rsidR="00910F4C" w:rsidRDefault="009D47C4">
            <w:pPr>
              <w:spacing w:after="0" w:line="276" w:lineRule="auto"/>
              <w:jc w:val="center"/>
              <w:rPr>
                <w:rFonts w:ascii="Times New Roman" w:hAnsi="Times New Roman" w:cs="Times New Roman"/>
                <w:szCs w:val="24"/>
              </w:rPr>
            </w:pPr>
            <w:r>
              <w:rPr>
                <w:rFonts w:ascii="Times New Roman" w:hAnsi="Times New Roman" w:cs="Times New Roman"/>
                <w:szCs w:val="24"/>
              </w:rPr>
              <w:t>Функция</w:t>
            </w:r>
          </w:p>
        </w:tc>
        <w:tc>
          <w:tcPr>
            <w:tcW w:w="6089" w:type="dxa"/>
            <w:vAlign w:val="center"/>
          </w:tcPr>
          <w:p w14:paraId="3202E984" w14:textId="77777777" w:rsidR="00910F4C" w:rsidRDefault="009D47C4">
            <w:pPr>
              <w:spacing w:after="0" w:line="276" w:lineRule="auto"/>
              <w:jc w:val="center"/>
              <w:rPr>
                <w:rFonts w:ascii="Times New Roman" w:hAnsi="Times New Roman" w:cs="Times New Roman"/>
                <w:szCs w:val="24"/>
              </w:rPr>
            </w:pPr>
            <w:r>
              <w:rPr>
                <w:rFonts w:ascii="Times New Roman" w:hAnsi="Times New Roman" w:cs="Times New Roman"/>
                <w:szCs w:val="24"/>
              </w:rPr>
              <w:t>Основная характеристика</w:t>
            </w:r>
          </w:p>
        </w:tc>
      </w:tr>
      <w:tr w:rsidR="00910F4C" w14:paraId="13AF3240" w14:textId="77777777">
        <w:tc>
          <w:tcPr>
            <w:tcW w:w="3256" w:type="dxa"/>
            <w:vAlign w:val="center"/>
          </w:tcPr>
          <w:p w14:paraId="0B7F565C" w14:textId="77777777" w:rsidR="00910F4C" w:rsidRDefault="009D47C4">
            <w:pPr>
              <w:spacing w:after="0" w:line="276" w:lineRule="auto"/>
              <w:jc w:val="center"/>
              <w:rPr>
                <w:rFonts w:ascii="Times New Roman" w:hAnsi="Times New Roman" w:cs="Times New Roman"/>
                <w:szCs w:val="24"/>
              </w:rPr>
            </w:pPr>
            <w:r>
              <w:rPr>
                <w:rFonts w:ascii="Times New Roman" w:hAnsi="Times New Roman" w:cs="Times New Roman"/>
                <w:szCs w:val="24"/>
              </w:rPr>
              <w:t>Регулирование экономической деятельности</w:t>
            </w:r>
          </w:p>
        </w:tc>
        <w:tc>
          <w:tcPr>
            <w:tcW w:w="6089" w:type="dxa"/>
          </w:tcPr>
          <w:p w14:paraId="2F20AD90" w14:textId="77777777" w:rsidR="00910F4C" w:rsidRDefault="009D47C4">
            <w:pPr>
              <w:spacing w:after="0" w:line="276" w:lineRule="auto"/>
              <w:jc w:val="both"/>
              <w:rPr>
                <w:rFonts w:ascii="Times New Roman" w:hAnsi="Times New Roman" w:cs="Times New Roman"/>
                <w:szCs w:val="24"/>
              </w:rPr>
            </w:pPr>
            <w:r>
              <w:rPr>
                <w:rFonts w:ascii="Times New Roman" w:hAnsi="Times New Roman" w:cs="Times New Roman"/>
                <w:szCs w:val="24"/>
              </w:rPr>
              <w:t>Государство устанавливает экономическое законодательство, создает условия для развития бизнеса, осуществляет мониторинг и контроль за рыночными процессами, чтобы предотвратить нежелательные последствия для экономики стран.</w:t>
            </w:r>
          </w:p>
        </w:tc>
      </w:tr>
      <w:tr w:rsidR="00910F4C" w14:paraId="0929AECB" w14:textId="77777777">
        <w:tc>
          <w:tcPr>
            <w:tcW w:w="3256" w:type="dxa"/>
            <w:vAlign w:val="center"/>
          </w:tcPr>
          <w:p w14:paraId="432778EC" w14:textId="77777777" w:rsidR="00910F4C" w:rsidRDefault="009D47C4">
            <w:pPr>
              <w:spacing w:after="0" w:line="276" w:lineRule="auto"/>
              <w:jc w:val="center"/>
              <w:rPr>
                <w:rFonts w:ascii="Times New Roman" w:hAnsi="Times New Roman" w:cs="Times New Roman"/>
                <w:szCs w:val="24"/>
              </w:rPr>
            </w:pPr>
            <w:r>
              <w:rPr>
                <w:rFonts w:ascii="Times New Roman" w:hAnsi="Times New Roman" w:cs="Times New Roman"/>
                <w:szCs w:val="24"/>
              </w:rPr>
              <w:t>Поддержка ключевых отраслей экономики</w:t>
            </w:r>
          </w:p>
        </w:tc>
        <w:tc>
          <w:tcPr>
            <w:tcW w:w="6089" w:type="dxa"/>
          </w:tcPr>
          <w:p w14:paraId="5C56CE00" w14:textId="77777777" w:rsidR="00910F4C" w:rsidRDefault="009D47C4">
            <w:pPr>
              <w:spacing w:after="0" w:line="276" w:lineRule="auto"/>
              <w:jc w:val="both"/>
              <w:rPr>
                <w:rFonts w:ascii="Times New Roman" w:hAnsi="Times New Roman" w:cs="Times New Roman"/>
                <w:szCs w:val="24"/>
              </w:rPr>
            </w:pPr>
            <w:r>
              <w:rPr>
                <w:rFonts w:ascii="Times New Roman" w:hAnsi="Times New Roman" w:cs="Times New Roman"/>
                <w:szCs w:val="24"/>
              </w:rPr>
              <w:t>Государство предоставляет финансовую и инфраструктурную поддержку стратегически важным отраслям экономики, таким как энергетика, транспорт, оборонная промышленность и др.</w:t>
            </w:r>
          </w:p>
        </w:tc>
      </w:tr>
      <w:tr w:rsidR="00910F4C" w14:paraId="69663FF5" w14:textId="77777777">
        <w:tc>
          <w:tcPr>
            <w:tcW w:w="3256" w:type="dxa"/>
            <w:vAlign w:val="center"/>
          </w:tcPr>
          <w:p w14:paraId="1F235E97" w14:textId="77777777" w:rsidR="00910F4C" w:rsidRDefault="009D47C4">
            <w:pPr>
              <w:spacing w:after="0" w:line="276" w:lineRule="auto"/>
              <w:jc w:val="center"/>
              <w:rPr>
                <w:rFonts w:ascii="Times New Roman" w:hAnsi="Times New Roman" w:cs="Times New Roman"/>
                <w:szCs w:val="24"/>
              </w:rPr>
            </w:pPr>
            <w:r>
              <w:rPr>
                <w:rFonts w:ascii="Times New Roman" w:hAnsi="Times New Roman" w:cs="Times New Roman"/>
                <w:szCs w:val="24"/>
              </w:rPr>
              <w:t>Развитие человеческого капитала</w:t>
            </w:r>
          </w:p>
        </w:tc>
        <w:tc>
          <w:tcPr>
            <w:tcW w:w="6089" w:type="dxa"/>
          </w:tcPr>
          <w:p w14:paraId="2AF08D37" w14:textId="77777777" w:rsidR="00910F4C" w:rsidRDefault="009D47C4">
            <w:pPr>
              <w:spacing w:after="0" w:line="276" w:lineRule="auto"/>
              <w:jc w:val="both"/>
              <w:rPr>
                <w:rFonts w:ascii="Times New Roman" w:hAnsi="Times New Roman" w:cs="Times New Roman"/>
                <w:szCs w:val="24"/>
              </w:rPr>
            </w:pPr>
            <w:r>
              <w:rPr>
                <w:rFonts w:ascii="Times New Roman" w:hAnsi="Times New Roman" w:cs="Times New Roman"/>
                <w:szCs w:val="24"/>
              </w:rPr>
              <w:t>Государство инвестирует в образование, здравоохранение и социальную защиту населения, что способствует повышению производительности труда и конкурентоспособности страны</w:t>
            </w:r>
          </w:p>
        </w:tc>
      </w:tr>
    </w:tbl>
    <w:p w14:paraId="12B09710"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утверждать, что государство занимает ключевую позицию в обеспечении экономической безопасности нации, защищая её от как внутренних, так и внешних угроз, а также создавая условия для стабильного экономического роста и благосостояния граждан.  Государство предоставляет комплексную поддержку важнейшим секторам экономики </w:t>
      </w:r>
      <w:r>
        <w:rPr>
          <w:rFonts w:ascii="Times New Roman" w:hAnsi="Times New Roman" w:cs="Times New Roman"/>
          <w:sz w:val="28"/>
          <w:szCs w:val="28"/>
        </w:rPr>
        <w:lastRenderedPageBreak/>
        <w:t>через различные льготы и субсидии. Тем не менее, контроль и регулирование со стороны государства в таких областях, как инновации, могут стать эффективным инструментом для повышения уровня экономической безопасности. Инновационные процессы способствуют экономическому развитию, увеличивают потенциал страны и способствуют росту валового внутреннего продукта. Хорошим примером служит международный опыт. В Китае функционирует система рыночной экономики с элементами планирования, которая включает в себя стратегическое управление через промышленную политику и пятилетние планы. Создание в России компаний, работающих в сфере инноваций, может стать разумным шагом к укреплению как экономической, так и национальной безопасности страны.</w:t>
      </w:r>
    </w:p>
    <w:p w14:paraId="1B9FFA5C" w14:textId="77777777" w:rsidR="00910F4C" w:rsidRDefault="00910F4C">
      <w:pPr>
        <w:spacing w:after="0" w:line="360" w:lineRule="auto"/>
        <w:jc w:val="both"/>
        <w:rPr>
          <w:rFonts w:ascii="Times New Roman" w:hAnsi="Times New Roman" w:cs="Times New Roman"/>
          <w:sz w:val="28"/>
          <w:szCs w:val="28"/>
        </w:rPr>
      </w:pPr>
    </w:p>
    <w:p w14:paraId="63546214" w14:textId="77777777" w:rsidR="00910F4C" w:rsidRDefault="00910F4C">
      <w:pPr>
        <w:spacing w:line="360" w:lineRule="auto"/>
        <w:jc w:val="center"/>
        <w:rPr>
          <w:rFonts w:ascii="Times New Roman" w:hAnsi="Times New Roman" w:cs="Times New Roman"/>
          <w:b/>
          <w:sz w:val="28"/>
          <w:szCs w:val="28"/>
        </w:rPr>
      </w:pPr>
    </w:p>
    <w:p w14:paraId="37437E1F" w14:textId="77777777" w:rsidR="00910F4C" w:rsidRDefault="00910F4C">
      <w:pPr>
        <w:spacing w:line="360" w:lineRule="auto"/>
        <w:jc w:val="center"/>
        <w:rPr>
          <w:rFonts w:ascii="Times New Roman" w:hAnsi="Times New Roman" w:cs="Times New Roman"/>
          <w:b/>
          <w:sz w:val="28"/>
          <w:szCs w:val="28"/>
        </w:rPr>
      </w:pPr>
    </w:p>
    <w:p w14:paraId="334A3178" w14:textId="77777777" w:rsidR="00910F4C" w:rsidRDefault="00910F4C">
      <w:pPr>
        <w:spacing w:line="360" w:lineRule="auto"/>
        <w:jc w:val="center"/>
        <w:rPr>
          <w:rFonts w:ascii="Times New Roman" w:hAnsi="Times New Roman" w:cs="Times New Roman"/>
          <w:b/>
          <w:sz w:val="28"/>
          <w:szCs w:val="28"/>
        </w:rPr>
      </w:pPr>
    </w:p>
    <w:p w14:paraId="4058AA00" w14:textId="77777777" w:rsidR="00910F4C" w:rsidRDefault="00910F4C">
      <w:pPr>
        <w:spacing w:line="360" w:lineRule="auto"/>
        <w:jc w:val="center"/>
        <w:rPr>
          <w:rFonts w:ascii="Times New Roman" w:hAnsi="Times New Roman" w:cs="Times New Roman"/>
          <w:b/>
          <w:sz w:val="28"/>
          <w:szCs w:val="28"/>
        </w:rPr>
      </w:pPr>
    </w:p>
    <w:p w14:paraId="247EA0F0" w14:textId="77777777" w:rsidR="00910F4C" w:rsidRDefault="00910F4C">
      <w:pPr>
        <w:spacing w:line="360" w:lineRule="auto"/>
        <w:jc w:val="center"/>
        <w:rPr>
          <w:rFonts w:ascii="Times New Roman" w:hAnsi="Times New Roman" w:cs="Times New Roman"/>
          <w:b/>
          <w:sz w:val="28"/>
          <w:szCs w:val="28"/>
        </w:rPr>
      </w:pPr>
    </w:p>
    <w:p w14:paraId="28F0CFFC" w14:textId="77777777" w:rsidR="00910F4C" w:rsidRDefault="00910F4C">
      <w:pPr>
        <w:spacing w:line="360" w:lineRule="auto"/>
        <w:jc w:val="center"/>
        <w:rPr>
          <w:rFonts w:ascii="Times New Roman" w:hAnsi="Times New Roman" w:cs="Times New Roman"/>
          <w:b/>
          <w:sz w:val="28"/>
          <w:szCs w:val="28"/>
        </w:rPr>
      </w:pPr>
    </w:p>
    <w:p w14:paraId="3967C440" w14:textId="77777777" w:rsidR="00910F4C" w:rsidRDefault="00910F4C">
      <w:pPr>
        <w:spacing w:line="360" w:lineRule="auto"/>
        <w:jc w:val="center"/>
        <w:rPr>
          <w:rFonts w:ascii="Times New Roman" w:hAnsi="Times New Roman" w:cs="Times New Roman"/>
          <w:b/>
          <w:sz w:val="28"/>
          <w:szCs w:val="28"/>
        </w:rPr>
      </w:pPr>
    </w:p>
    <w:p w14:paraId="5CE08C96" w14:textId="77777777" w:rsidR="00910F4C" w:rsidRDefault="00910F4C">
      <w:pPr>
        <w:spacing w:line="360" w:lineRule="auto"/>
        <w:jc w:val="center"/>
        <w:rPr>
          <w:rFonts w:ascii="Times New Roman" w:hAnsi="Times New Roman" w:cs="Times New Roman"/>
          <w:b/>
          <w:sz w:val="28"/>
          <w:szCs w:val="28"/>
        </w:rPr>
      </w:pPr>
    </w:p>
    <w:p w14:paraId="2D7E3F51" w14:textId="77777777" w:rsidR="00910F4C" w:rsidRDefault="00910F4C">
      <w:pPr>
        <w:spacing w:line="360" w:lineRule="auto"/>
        <w:jc w:val="center"/>
        <w:rPr>
          <w:rFonts w:ascii="Times New Roman" w:hAnsi="Times New Roman" w:cs="Times New Roman"/>
          <w:b/>
          <w:sz w:val="28"/>
          <w:szCs w:val="28"/>
        </w:rPr>
      </w:pPr>
    </w:p>
    <w:p w14:paraId="5F4FE4AF" w14:textId="77777777" w:rsidR="00910F4C" w:rsidRDefault="00910F4C">
      <w:pPr>
        <w:spacing w:line="360" w:lineRule="auto"/>
        <w:jc w:val="center"/>
        <w:rPr>
          <w:rFonts w:ascii="Times New Roman" w:hAnsi="Times New Roman" w:cs="Times New Roman"/>
          <w:b/>
          <w:sz w:val="28"/>
          <w:szCs w:val="28"/>
        </w:rPr>
      </w:pPr>
    </w:p>
    <w:p w14:paraId="1704FABF" w14:textId="3F7E3500" w:rsidR="00910F4C" w:rsidRDefault="00910F4C">
      <w:pPr>
        <w:spacing w:line="360" w:lineRule="auto"/>
        <w:jc w:val="center"/>
        <w:rPr>
          <w:rFonts w:ascii="Times New Roman" w:hAnsi="Times New Roman" w:cs="Times New Roman"/>
          <w:b/>
          <w:sz w:val="28"/>
          <w:szCs w:val="28"/>
        </w:rPr>
      </w:pPr>
    </w:p>
    <w:p w14:paraId="67C42613" w14:textId="77777777" w:rsidR="00D470A2" w:rsidRDefault="00D470A2">
      <w:pPr>
        <w:spacing w:line="360" w:lineRule="auto"/>
        <w:jc w:val="center"/>
        <w:rPr>
          <w:rFonts w:ascii="Times New Roman" w:hAnsi="Times New Roman" w:cs="Times New Roman"/>
          <w:b/>
          <w:sz w:val="28"/>
          <w:szCs w:val="28"/>
        </w:rPr>
      </w:pPr>
    </w:p>
    <w:p w14:paraId="35143DD1" w14:textId="77777777" w:rsidR="00910F4C" w:rsidRDefault="00910F4C">
      <w:pPr>
        <w:spacing w:line="360" w:lineRule="auto"/>
        <w:jc w:val="center"/>
        <w:rPr>
          <w:rFonts w:ascii="Times New Roman" w:hAnsi="Times New Roman" w:cs="Times New Roman"/>
          <w:b/>
          <w:sz w:val="28"/>
          <w:szCs w:val="28"/>
        </w:rPr>
      </w:pPr>
    </w:p>
    <w:p w14:paraId="649438E4" w14:textId="77777777" w:rsidR="00910F4C" w:rsidRDefault="00910F4C">
      <w:pPr>
        <w:spacing w:line="360" w:lineRule="auto"/>
        <w:jc w:val="center"/>
        <w:rPr>
          <w:rFonts w:ascii="Times New Roman" w:hAnsi="Times New Roman" w:cs="Times New Roman"/>
          <w:b/>
          <w:sz w:val="28"/>
          <w:szCs w:val="28"/>
        </w:rPr>
      </w:pPr>
    </w:p>
    <w:p w14:paraId="255764FC" w14:textId="77777777" w:rsidR="00910F4C" w:rsidRDefault="009D47C4">
      <w:pPr>
        <w:spacing w:line="360" w:lineRule="auto"/>
        <w:jc w:val="center"/>
        <w:rPr>
          <w:rFonts w:ascii="Times New Roman" w:hAnsi="Times New Roman" w:cs="Times New Roman"/>
          <w:b/>
          <w:sz w:val="28"/>
          <w:szCs w:val="28"/>
        </w:rPr>
      </w:pPr>
      <w:r w:rsidRPr="00DD0CEE">
        <w:rPr>
          <w:rFonts w:ascii="Times New Roman" w:hAnsi="Times New Roman" w:cs="Times New Roman"/>
          <w:b/>
          <w:sz w:val="28"/>
          <w:szCs w:val="28"/>
        </w:rPr>
        <w:lastRenderedPageBreak/>
        <w:t>ЗАКЛЮЧЕНИЕ</w:t>
      </w:r>
    </w:p>
    <w:p w14:paraId="24C9EF71" w14:textId="77777777" w:rsidR="00910F4C" w:rsidRDefault="009D47C4">
      <w:pPr>
        <w:spacing w:before="24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 региональных факторов, влияющих на обеспечение экономической безопасности организаций, подчеркивает их значимость в современных условиях глобализации и динамично меняющейся экономической среды. Региональные особенности, такие как географическое положение, уровень развития инфраструктуры, наличие природных ресурсов, социальные и культурные характеристики населения, а также политическая стабильность, играют ключевую роль в формировании конкурентных преимуществ и стратегии управления рисками для организаций. Эффективное использование этих факторов позволяет не только минимизировать потенциальные угрозы, но и максимизировать возможности для роста и развития. </w:t>
      </w:r>
    </w:p>
    <w:p w14:paraId="71F377FF" w14:textId="77777777" w:rsidR="00910F4C" w:rsidRDefault="009D47C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Важно отметить, что каждая организация должна учитывать уникальные характеристики своего региона при разработке стратегий экономической безопасности. Это подразумевает необходимость глубокого анализа внешней среды, мониторинга изменений в законодательстве, экономических тенденциях и социальных настроениях. Кроме того, взаимодействие с местными властями и сообществом может способствовать созданию более благоприятных условий для ведения бизнеса и укреплению позиций компании на рынке.</w:t>
      </w:r>
    </w:p>
    <w:p w14:paraId="244F6973" w14:textId="77777777" w:rsidR="00910F4C" w:rsidRDefault="009D47C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Комплексный подход к учету региональных факторов включает в себя как краткосрочные, так и долгосрочные стратегии, направленные на устойчивое развитие. Организации, которые осознают важность этих факторов и активно интегрируют их в свою стратегию, имеют больше шансов на успешное преодоление кризисов и адаптацию к изменениям в окружающей среде. Таким образом, внимание к региональным аспектам не только усиливает экономическую безопасность организаций, но и способствует их устойчивости и конкурентоспособности в условиях неопределенности. </w:t>
      </w:r>
    </w:p>
    <w:p w14:paraId="158D2557" w14:textId="77777777" w:rsidR="00910F4C" w:rsidRDefault="00910F4C">
      <w:pPr>
        <w:spacing w:line="360" w:lineRule="auto"/>
        <w:ind w:firstLine="567"/>
        <w:jc w:val="both"/>
        <w:rPr>
          <w:rFonts w:ascii="Times New Roman" w:hAnsi="Times New Roman" w:cs="Times New Roman"/>
          <w:sz w:val="28"/>
          <w:szCs w:val="28"/>
        </w:rPr>
      </w:pPr>
    </w:p>
    <w:p w14:paraId="62DE35CC" w14:textId="77777777" w:rsidR="00910F4C" w:rsidRDefault="009D47C4">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СПИСОК ИСПОЛЬЗОВАННЫХ ИСТОЧНИКОВ</w:t>
      </w:r>
    </w:p>
    <w:p w14:paraId="01C2BFFC"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Бреусова А. Г., Кораблева А. А. / Факторы развития экономической безопасности в контексте региональных теорий и практики управления // Вестник ОмГУ. Серия: Экономика. – 2021. – URL: https://cyberleninka.ru/article/n/faktory-razvitiya-ekonomicheskoy-bezopasnosti-v-kontekste-regionalnyh-teoriy-i-praktiki-upravleniya (дата обращения: 25.04.2025)</w:t>
      </w:r>
    </w:p>
    <w:p w14:paraId="274BD71A"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Винокуров Д. А., Сущик А. В. / Роль государства в обеспечении экономической безопасности страны // Журнал «Вестник науки». – 2024. – URL: https://cyberleninka.ru/article/n/rol-gosudarstva-v-obespechenii-ekonomicheskoy-bezopasnosti-strany (дата обращения: 29.04.2025)</w:t>
      </w:r>
    </w:p>
    <w:p w14:paraId="2387CEE6"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Глустенков</w:t>
      </w:r>
      <w:proofErr w:type="spellEnd"/>
      <w:r>
        <w:rPr>
          <w:rFonts w:ascii="Times New Roman" w:eastAsia="Calibri" w:hAnsi="Times New Roman" w:cs="Times New Roman"/>
          <w:sz w:val="28"/>
          <w:szCs w:val="28"/>
        </w:rPr>
        <w:t xml:space="preserve"> И. В. / Экономическая безопасность организации // Вестник МИЭП. – 2022. – URL: https://cyberleninka.ru/article/n/ekonomicheskaya-bezopasnost-organizatsii (дата обращения: 25.04.2025)</w:t>
      </w:r>
    </w:p>
    <w:p w14:paraId="2C191EDA"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Голяшина</w:t>
      </w:r>
      <w:proofErr w:type="spellEnd"/>
      <w:r>
        <w:rPr>
          <w:rFonts w:ascii="Times New Roman" w:eastAsia="Calibri" w:hAnsi="Times New Roman" w:cs="Times New Roman"/>
          <w:sz w:val="28"/>
          <w:szCs w:val="28"/>
        </w:rPr>
        <w:t xml:space="preserve"> Е.А., Подпругин А.В. / Система органов государственной власти по обеспечению экономической безопасности России // Международный журнал «European </w:t>
      </w:r>
      <w:proofErr w:type="spellStart"/>
      <w:r>
        <w:rPr>
          <w:rFonts w:ascii="Times New Roman" w:eastAsia="Calibri" w:hAnsi="Times New Roman" w:cs="Times New Roman"/>
          <w:sz w:val="28"/>
          <w:szCs w:val="28"/>
        </w:rPr>
        <w:t>research</w:t>
      </w:r>
      <w:proofErr w:type="spellEnd"/>
      <w:r>
        <w:rPr>
          <w:rFonts w:ascii="Times New Roman" w:eastAsia="Calibri" w:hAnsi="Times New Roman" w:cs="Times New Roman"/>
          <w:sz w:val="28"/>
          <w:szCs w:val="28"/>
        </w:rPr>
        <w:t>». – 2023. – URL: https://cyberleninka.ru/article/n/sistema-organov-gosudarstvennoy-vlasti-po-obespecheniyu-ekonomicheskoy-bezopasnosti-rossii (дата обращения: 29.04.2025)</w:t>
      </w:r>
    </w:p>
    <w:p w14:paraId="5AC16E1B"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Государственный информационный ресурс бухгалтерской (финансовой) отчетности / Финансовая отчетность ООО «Кубань вино» // [Электронный ресурс] – bo.nalog.ru: [сайт]. – 2024. – URL: https://bo.nalog.ru/organizations-card/3505245 (дата обращения: 27.04.2025)</w:t>
      </w:r>
    </w:p>
    <w:p w14:paraId="49A9E4A4"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Давыденко А.С. / Принципы обеспечения экономической безопасности корпорации // Электронный сборник «Экономические науки». – 2021. – URL: https://cyberleninka.ru/article/n/printsipy-obespecheniya-ekonomicheskoy-bezopasnosti- (дата обращения: 28.04.2025)</w:t>
      </w:r>
    </w:p>
    <w:p w14:paraId="15B53176"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Дороган</w:t>
      </w:r>
      <w:proofErr w:type="spellEnd"/>
      <w:r>
        <w:rPr>
          <w:rFonts w:ascii="Times New Roman" w:eastAsia="Calibri" w:hAnsi="Times New Roman" w:cs="Times New Roman"/>
          <w:sz w:val="28"/>
          <w:szCs w:val="28"/>
        </w:rPr>
        <w:t xml:space="preserve"> Д. Б. / Основные методы оценки экономической безопасности предприятия // Журнал «Вестник науки». – 2025. – URL: </w:t>
      </w:r>
      <w:r>
        <w:rPr>
          <w:rFonts w:ascii="Times New Roman" w:eastAsia="Calibri" w:hAnsi="Times New Roman" w:cs="Times New Roman"/>
          <w:sz w:val="28"/>
          <w:szCs w:val="28"/>
        </w:rPr>
        <w:lastRenderedPageBreak/>
        <w:t>https://cyberleninka.ru/article/n/osnovnye-metody-otsenki-ekonomicheskoy-bezopasnosti-predpriyatiya (дата обращения: 26.04.2025)</w:t>
      </w:r>
    </w:p>
    <w:p w14:paraId="63373316"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Дубровина О.А. / Необходимость и принципы обеспечения экономической безопасности предприятия // Журнал «Научный альманах». – 2022. – </w:t>
      </w:r>
      <w:r>
        <w:rPr>
          <w:rFonts w:ascii="Times New Roman" w:eastAsia="Calibri" w:hAnsi="Times New Roman" w:cs="Times New Roman"/>
          <w:sz w:val="28"/>
          <w:szCs w:val="28"/>
          <w:lang w:val="en-US"/>
        </w:rPr>
        <w:t>URL</w:t>
      </w:r>
      <w:r>
        <w:rPr>
          <w:rFonts w:ascii="Times New Roman" w:eastAsia="Calibri" w:hAnsi="Times New Roman" w:cs="Times New Roman"/>
          <w:sz w:val="28"/>
          <w:szCs w:val="28"/>
        </w:rPr>
        <w:t xml:space="preserve">: </w:t>
      </w:r>
      <w:hyperlink r:id="rId16" w:history="1">
        <w:r w:rsidR="00910F4C">
          <w:rPr>
            <w:rFonts w:ascii="Times New Roman" w:eastAsia="Calibri" w:hAnsi="Times New Roman" w:cs="Times New Roman"/>
            <w:sz w:val="28"/>
            <w:szCs w:val="28"/>
            <w:lang w:val="en-US"/>
          </w:rPr>
          <w:t>https</w:t>
        </w:r>
        <w:r w:rsidR="00910F4C">
          <w:rPr>
            <w:rFonts w:ascii="Times New Roman" w:eastAsia="Calibri" w:hAnsi="Times New Roman" w:cs="Times New Roman"/>
            <w:sz w:val="28"/>
            <w:szCs w:val="28"/>
          </w:rPr>
          <w:t>://</w:t>
        </w:r>
        <w:r w:rsidR="00910F4C">
          <w:rPr>
            <w:rFonts w:ascii="Times New Roman" w:eastAsia="Calibri" w:hAnsi="Times New Roman" w:cs="Times New Roman"/>
            <w:sz w:val="28"/>
            <w:szCs w:val="28"/>
            <w:lang w:val="en-US"/>
          </w:rPr>
          <w:t>www</w:t>
        </w:r>
        <w:r w:rsidR="00910F4C">
          <w:rPr>
            <w:rFonts w:ascii="Times New Roman" w:eastAsia="Calibri" w:hAnsi="Times New Roman" w:cs="Times New Roman"/>
            <w:sz w:val="28"/>
            <w:szCs w:val="28"/>
          </w:rPr>
          <w:t>.</w:t>
        </w:r>
        <w:proofErr w:type="spellStart"/>
        <w:r w:rsidR="00910F4C">
          <w:rPr>
            <w:rFonts w:ascii="Times New Roman" w:eastAsia="Calibri" w:hAnsi="Times New Roman" w:cs="Times New Roman"/>
            <w:sz w:val="28"/>
            <w:szCs w:val="28"/>
            <w:lang w:val="en-US"/>
          </w:rPr>
          <w:t>elibrary</w:t>
        </w:r>
        <w:proofErr w:type="spellEnd"/>
        <w:r w:rsidR="00910F4C">
          <w:rPr>
            <w:rFonts w:ascii="Times New Roman" w:eastAsia="Calibri" w:hAnsi="Times New Roman" w:cs="Times New Roman"/>
            <w:sz w:val="28"/>
            <w:szCs w:val="28"/>
          </w:rPr>
          <w:t>.</w:t>
        </w:r>
        <w:proofErr w:type="spellStart"/>
        <w:r w:rsidR="00910F4C">
          <w:rPr>
            <w:rFonts w:ascii="Times New Roman" w:eastAsia="Calibri" w:hAnsi="Times New Roman" w:cs="Times New Roman"/>
            <w:sz w:val="28"/>
            <w:szCs w:val="28"/>
            <w:lang w:val="en-US"/>
          </w:rPr>
          <w:t>ru</w:t>
        </w:r>
        <w:proofErr w:type="spellEnd"/>
        <w:r w:rsidR="00910F4C">
          <w:rPr>
            <w:rFonts w:ascii="Times New Roman" w:eastAsia="Calibri" w:hAnsi="Times New Roman" w:cs="Times New Roman"/>
            <w:sz w:val="28"/>
            <w:szCs w:val="28"/>
          </w:rPr>
          <w:t>/</w:t>
        </w:r>
        <w:r w:rsidR="00910F4C">
          <w:rPr>
            <w:rFonts w:ascii="Times New Roman" w:eastAsia="Calibri" w:hAnsi="Times New Roman" w:cs="Times New Roman"/>
            <w:sz w:val="28"/>
            <w:szCs w:val="28"/>
            <w:lang w:val="en-US"/>
          </w:rPr>
          <w:t>item</w:t>
        </w:r>
        <w:r w:rsidR="00910F4C">
          <w:rPr>
            <w:rFonts w:ascii="Times New Roman" w:eastAsia="Calibri" w:hAnsi="Times New Roman" w:cs="Times New Roman"/>
            <w:sz w:val="28"/>
            <w:szCs w:val="28"/>
          </w:rPr>
          <w:t>.</w:t>
        </w:r>
        <w:r w:rsidR="00910F4C">
          <w:rPr>
            <w:rFonts w:ascii="Times New Roman" w:eastAsia="Calibri" w:hAnsi="Times New Roman" w:cs="Times New Roman"/>
            <w:sz w:val="28"/>
            <w:szCs w:val="28"/>
            <w:lang w:val="en-US"/>
          </w:rPr>
          <w:t>asp</w:t>
        </w:r>
        <w:r w:rsidR="00910F4C">
          <w:rPr>
            <w:rFonts w:ascii="Times New Roman" w:eastAsia="Calibri" w:hAnsi="Times New Roman" w:cs="Times New Roman"/>
            <w:sz w:val="28"/>
            <w:szCs w:val="28"/>
          </w:rPr>
          <w:t>?</w:t>
        </w:r>
        <w:r w:rsidR="00910F4C">
          <w:rPr>
            <w:rFonts w:ascii="Times New Roman" w:eastAsia="Calibri" w:hAnsi="Times New Roman" w:cs="Times New Roman"/>
            <w:sz w:val="28"/>
            <w:szCs w:val="28"/>
            <w:lang w:val="en-US"/>
          </w:rPr>
          <w:t>id</w:t>
        </w:r>
        <w:r w:rsidR="00910F4C">
          <w:rPr>
            <w:rFonts w:ascii="Times New Roman" w:eastAsia="Calibri" w:hAnsi="Times New Roman" w:cs="Times New Roman"/>
            <w:sz w:val="28"/>
            <w:szCs w:val="28"/>
          </w:rPr>
          <w:t>=29109270</w:t>
        </w:r>
      </w:hyperlink>
      <w:r>
        <w:rPr>
          <w:rFonts w:ascii="Times New Roman" w:eastAsia="Calibri" w:hAnsi="Times New Roman" w:cs="Times New Roman"/>
          <w:sz w:val="28"/>
          <w:szCs w:val="28"/>
        </w:rPr>
        <w:t xml:space="preserve"> (дата обращения: 28.04.2025)</w:t>
      </w:r>
    </w:p>
    <w:p w14:paraId="57AFCE2C"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Еркеев</w:t>
      </w:r>
      <w:proofErr w:type="spellEnd"/>
      <w:r>
        <w:rPr>
          <w:rFonts w:ascii="Times New Roman" w:eastAsia="Calibri" w:hAnsi="Times New Roman" w:cs="Times New Roman"/>
          <w:sz w:val="28"/>
          <w:szCs w:val="28"/>
        </w:rPr>
        <w:t xml:space="preserve"> И.Х., Фролова Н.А. / К соотношению законности в экономической сфере и экономической безопасности // Философия права. – 2022. – URL: https://cyberleninka.ru/article/n/k-sootnosheniyu-zakonnosti-v-ekonomicheskoy-sfere-i-ekonomicheskoy-bezopasnosti (дата обращения: 29.04.2025)</w:t>
      </w:r>
    </w:p>
    <w:p w14:paraId="0E855F81"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Жуков А. В., Кононов С. В. / Формирование понятия «региональная безопасность» в истории мировой философской мысли // Электронный журнал «Гуманитарный вектор». – 2021. – URL: https://cyberleninka.ru/article/n/formirovanie-ponyatiya-regionalnaya-bezopasnost-v-istorii-mirovoy-filosofskoy-mysli (дата обращения: 25.04.2025)</w:t>
      </w:r>
    </w:p>
    <w:p w14:paraId="2DAD9275"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Кабанов А. А., </w:t>
      </w:r>
      <w:proofErr w:type="spellStart"/>
      <w:r>
        <w:rPr>
          <w:rFonts w:ascii="Times New Roman" w:eastAsia="Calibri" w:hAnsi="Times New Roman" w:cs="Times New Roman"/>
          <w:sz w:val="28"/>
          <w:szCs w:val="28"/>
        </w:rPr>
        <w:t>Бончук</w:t>
      </w:r>
      <w:proofErr w:type="spellEnd"/>
      <w:r>
        <w:rPr>
          <w:rFonts w:ascii="Times New Roman" w:eastAsia="Calibri" w:hAnsi="Times New Roman" w:cs="Times New Roman"/>
          <w:sz w:val="28"/>
          <w:szCs w:val="28"/>
        </w:rPr>
        <w:t xml:space="preserve"> Г. И. / Внутренние и внешние угрозы экономической безопасности предприятия // Вестник Санкт-Петербургского университета МВД России. – 2023. – URL: https://cyberleninka.ru/article/n/vnutrennie-i-vneshnie-ugrozy-ekonomicheskoy-bezopasnosti-predpriyatiya (дата обращения: 26.04.2025)</w:t>
      </w:r>
    </w:p>
    <w:p w14:paraId="76D86DFD"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Колочков</w:t>
      </w:r>
      <w:proofErr w:type="spellEnd"/>
      <w:r>
        <w:rPr>
          <w:rFonts w:ascii="Times New Roman" w:eastAsia="Calibri" w:hAnsi="Times New Roman" w:cs="Times New Roman"/>
          <w:sz w:val="28"/>
          <w:szCs w:val="28"/>
        </w:rPr>
        <w:t xml:space="preserve"> А. Б. / Внешние и внутренние угрозы экономической безопасности предприятия // Научный журнал. – 2022. – URL: https://cyberleninka.ru/article/n/vneshnie-i-vnutrennie-ugrozy-ekonomicheskoy-bezopasnosti-predpriyatiya (дата обращения: 26.04.2025)</w:t>
      </w:r>
    </w:p>
    <w:p w14:paraId="68007ACB"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Компанейцева</w:t>
      </w:r>
      <w:proofErr w:type="spellEnd"/>
      <w:r>
        <w:rPr>
          <w:rFonts w:ascii="Times New Roman" w:eastAsia="Calibri" w:hAnsi="Times New Roman" w:cs="Times New Roman"/>
          <w:sz w:val="28"/>
          <w:szCs w:val="28"/>
        </w:rPr>
        <w:t xml:space="preserve"> Г. А., </w:t>
      </w:r>
      <w:proofErr w:type="spellStart"/>
      <w:r>
        <w:rPr>
          <w:rFonts w:ascii="Times New Roman" w:eastAsia="Calibri" w:hAnsi="Times New Roman" w:cs="Times New Roman"/>
          <w:sz w:val="28"/>
          <w:szCs w:val="28"/>
        </w:rPr>
        <w:t>Каранина</w:t>
      </w:r>
      <w:proofErr w:type="spellEnd"/>
      <w:r>
        <w:rPr>
          <w:rFonts w:ascii="Times New Roman" w:eastAsia="Calibri" w:hAnsi="Times New Roman" w:cs="Times New Roman"/>
          <w:sz w:val="28"/>
          <w:szCs w:val="28"/>
        </w:rPr>
        <w:t xml:space="preserve"> В. Д. / Стоимостные аспекты в концепции экономической безопасности компании // Вестник МФЮА. – 2021. – URL: https://cyberleninka.ru/article/n/stoimostnye-aspekty-v-kontseptsii-ekonomicheskoy-bezopasnosti-kompanii (дата обращения: 26.04.2025)</w:t>
      </w:r>
    </w:p>
    <w:p w14:paraId="7573AF8F"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lastRenderedPageBreak/>
        <w:t>Лапаев</w:t>
      </w:r>
      <w:proofErr w:type="spellEnd"/>
      <w:r>
        <w:rPr>
          <w:rFonts w:ascii="Times New Roman" w:eastAsia="Calibri" w:hAnsi="Times New Roman" w:cs="Times New Roman"/>
          <w:sz w:val="28"/>
          <w:szCs w:val="28"/>
        </w:rPr>
        <w:t xml:space="preserve"> С. П., </w:t>
      </w:r>
      <w:proofErr w:type="spellStart"/>
      <w:r>
        <w:rPr>
          <w:rFonts w:ascii="Times New Roman" w:eastAsia="Calibri" w:hAnsi="Times New Roman" w:cs="Times New Roman"/>
          <w:sz w:val="28"/>
          <w:szCs w:val="28"/>
        </w:rPr>
        <w:t>Зацаринина</w:t>
      </w:r>
      <w:proofErr w:type="spellEnd"/>
      <w:r>
        <w:rPr>
          <w:rFonts w:ascii="Times New Roman" w:eastAsia="Calibri" w:hAnsi="Times New Roman" w:cs="Times New Roman"/>
          <w:sz w:val="28"/>
          <w:szCs w:val="28"/>
        </w:rPr>
        <w:t xml:space="preserve"> Ю. В. / Теоретические основы сбалансированного развития экономики регионов // Интеллект. Инновации. Инвестиции. – 2022. – URL: https://cyberleninka.ru/article/n/teoreticheskie-osnovy-sbalansirovannogo-razvitiya-ekonomiki-regionov (дата обращения: 25.04.2025)</w:t>
      </w:r>
    </w:p>
    <w:p w14:paraId="7222FDC7"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Лоханова</w:t>
      </w:r>
      <w:proofErr w:type="spellEnd"/>
      <w:r>
        <w:rPr>
          <w:rFonts w:ascii="Times New Roman" w:eastAsia="Calibri" w:hAnsi="Times New Roman" w:cs="Times New Roman"/>
          <w:sz w:val="28"/>
          <w:szCs w:val="28"/>
        </w:rPr>
        <w:t xml:space="preserve"> В.Н., Кротенко Т.Ю. / Экономическая безопасность организации: сущность, угрозы, принципы // Вестник ГУУ. – 2024. – URL: https://cyberleninka.ru/article/n/ekonomicheskaya-bezopasnost-organizatsii-suschnost-ugrozy-printsipy (дата обращения: 28.04.2025)</w:t>
      </w:r>
    </w:p>
    <w:p w14:paraId="436EACCF"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Официальный сайт РБК / Как устроено российское виноделие: обзор РБК // [Электронный ресурс] – rbc.ru: [сайт]. – 2024. – URL: https://cbr.ru/Content/Document/File/158056/analytic_note_20240109_dip.pdf (дата обращения: 27.04.2025)</w:t>
      </w:r>
    </w:p>
    <w:p w14:paraId="07E8623C"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Официальный сайт федеральной службы государственной статистики «Росстат» / Степень износа основных фондов по «чистым» видам экономической деятельности // [Электронный ресурс] – 27. rosstat.gov.ru: [сайт]. – 2024. – URL: </w:t>
      </w:r>
      <w:hyperlink r:id="rId17" w:history="1">
        <w:r w:rsidR="00910F4C">
          <w:rPr>
            <w:rFonts w:ascii="Times New Roman" w:eastAsia="Calibri" w:hAnsi="Times New Roman" w:cs="Times New Roman"/>
            <w:sz w:val="28"/>
            <w:szCs w:val="28"/>
          </w:rPr>
          <w:t>https://27.rosstat.gov.ru/storage/mediabank/</w:t>
        </w:r>
      </w:hyperlink>
      <w:r>
        <w:rPr>
          <w:rFonts w:ascii="Times New Roman" w:eastAsia="Calibri" w:hAnsi="Times New Roman" w:cs="Times New Roman"/>
          <w:sz w:val="28"/>
          <w:szCs w:val="28"/>
        </w:rPr>
        <w:t xml:space="preserve"> (дата обращения: 27.04.2025)</w:t>
      </w:r>
    </w:p>
    <w:p w14:paraId="790D53E3"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Официальный сайт федеральной службы государственной статистики «Росстат» / Эффективность экономики России. Показатели отдельных отраслей экономики // [Электронный ресурс] – 27. rosstat.gov.ru: [сайт]. – 2024. – URL: https://www.rosstat.gov.ru/folder/11186 (дата обращения: 27.04.2025)</w:t>
      </w:r>
    </w:p>
    <w:p w14:paraId="0F581F3B"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Официальный сайт Центрального банка России / Инвестиционная активность в промышленности в 2024 году: результаты опроса предприятий / [Электронный ресурс] – cbr.ru: [сайт]. – 2024. – URL: https://cbr.ru/Content/Document/File/158056/analytic_note_20240109_dip.pdf (дата обращения: 27.04.2025)</w:t>
      </w:r>
    </w:p>
    <w:p w14:paraId="42B2E656"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Скуратова А. Н. / Критерии и показатели оценки экономической безопасности предприятия // Вестник магистратуры. – 2022. – URL: </w:t>
      </w:r>
      <w:r>
        <w:rPr>
          <w:rFonts w:ascii="Times New Roman" w:eastAsia="Calibri" w:hAnsi="Times New Roman" w:cs="Times New Roman"/>
          <w:sz w:val="28"/>
          <w:szCs w:val="28"/>
        </w:rPr>
        <w:lastRenderedPageBreak/>
        <w:t>https://cyberleninka.ru/article/n/kriterii-i-pokazateli-otsenki-ekonomicheskoy-bezopasnosti-predpriyatiya (дата обращения: 26.04.2025)</w:t>
      </w:r>
    </w:p>
    <w:p w14:paraId="643B4B27"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Сушко Г. В. / Определение понятия экономической безопасности предприятия // Инновационная экономика: перспективы развития и совершенствования. – 2022. – URL: https://cyberleninka.ru/article/n/opredelenie-ponyatiya-ekonomicheskoy-bezopasnosti-predpriyatiya (дата обращения: 25.04.2025)</w:t>
      </w:r>
    </w:p>
    <w:p w14:paraId="51BF162C"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Чудайкина</w:t>
      </w:r>
      <w:proofErr w:type="spellEnd"/>
      <w:r>
        <w:rPr>
          <w:rFonts w:ascii="Times New Roman" w:eastAsia="Calibri" w:hAnsi="Times New Roman" w:cs="Times New Roman"/>
          <w:sz w:val="28"/>
          <w:szCs w:val="28"/>
        </w:rPr>
        <w:t xml:space="preserve"> Е.П. / Принципы обеспечения экономической безопасности предприятия: сущность, структура, проблемы практической реализации // Электронный журнал «</w:t>
      </w:r>
      <w:proofErr w:type="spellStart"/>
      <w:r>
        <w:rPr>
          <w:rFonts w:ascii="Times New Roman" w:eastAsia="Calibri" w:hAnsi="Times New Roman" w:cs="Times New Roman"/>
          <w:sz w:val="28"/>
          <w:szCs w:val="28"/>
        </w:rPr>
        <w:t>Контентус</w:t>
      </w:r>
      <w:proofErr w:type="spellEnd"/>
      <w:r>
        <w:rPr>
          <w:rFonts w:ascii="Times New Roman" w:eastAsia="Calibri" w:hAnsi="Times New Roman" w:cs="Times New Roman"/>
          <w:sz w:val="28"/>
          <w:szCs w:val="28"/>
        </w:rPr>
        <w:t>». – 2023. – URL: https://cyberleninka.ru/article/n/printsipy-obespecheniya-ekonomicheskoy-bezopasnosti-predpriyatiya-suschnost-struktura-problemy-prakticheskoy-realizatsii (дата обращения: 28.04.2025)</w:t>
      </w:r>
    </w:p>
    <w:p w14:paraId="2AC26B41"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Шаповалова И. М. / Теоретические подходы к определению понятия «экономическая безопасность субъектов хозяйствования» // АНИ: экономика и управление. – 2023. – URL: https://cyberleninka.ru/article/n/teoreticheskie-podhody-k-opredeleniyu-ponyatiya-ekonomicheskaya-bezopasnost-subektov-hozyaystvovaniya (дата обращения: 25.04.2025)</w:t>
      </w:r>
    </w:p>
    <w:p w14:paraId="7F996B36" w14:textId="77777777" w:rsidR="00910F4C" w:rsidRDefault="009D47C4">
      <w:pPr>
        <w:numPr>
          <w:ilvl w:val="0"/>
          <w:numId w:val="18"/>
        </w:numPr>
        <w:spacing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Шибаршина</w:t>
      </w:r>
      <w:proofErr w:type="spellEnd"/>
      <w:r>
        <w:rPr>
          <w:rFonts w:ascii="Times New Roman" w:eastAsia="Calibri" w:hAnsi="Times New Roman" w:cs="Times New Roman"/>
          <w:sz w:val="28"/>
          <w:szCs w:val="28"/>
        </w:rPr>
        <w:t xml:space="preserve"> О.Ю., Кострова Ю.Б. / Стратегическая оценка угроз деятельности предприятия. – 2023. – URL: https://cyberleninka.ru/article/n/strategicheskaya-otsenka-ugroz-deyatelnosti-predpriyatiya (дата обращения: 26.04.2025)</w:t>
      </w:r>
    </w:p>
    <w:p w14:paraId="3BB2E536" w14:textId="77777777" w:rsidR="00910F4C" w:rsidRDefault="00910F4C">
      <w:pPr>
        <w:spacing w:line="360" w:lineRule="auto"/>
        <w:ind w:firstLine="567"/>
        <w:jc w:val="both"/>
        <w:rPr>
          <w:rFonts w:ascii="Times New Roman" w:hAnsi="Times New Roman" w:cs="Times New Roman"/>
          <w:sz w:val="28"/>
          <w:szCs w:val="28"/>
        </w:rPr>
      </w:pPr>
    </w:p>
    <w:sectPr w:rsidR="00910F4C">
      <w:footerReference w:type="default" r:id="rId18"/>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15EE4" w14:textId="77777777" w:rsidR="00835389" w:rsidRDefault="00835389">
      <w:pPr>
        <w:spacing w:line="240" w:lineRule="auto"/>
      </w:pPr>
      <w:r>
        <w:separator/>
      </w:r>
    </w:p>
  </w:endnote>
  <w:endnote w:type="continuationSeparator" w:id="0">
    <w:p w14:paraId="39C8C545" w14:textId="77777777" w:rsidR="00835389" w:rsidRDefault="00835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947690"/>
      <w:docPartObj>
        <w:docPartGallery w:val="AutoText"/>
      </w:docPartObj>
    </w:sdtPr>
    <w:sdtEndPr>
      <w:rPr>
        <w:rFonts w:ascii="Times New Roman" w:hAnsi="Times New Roman" w:cs="Times New Roman"/>
        <w:sz w:val="24"/>
        <w:szCs w:val="24"/>
      </w:rPr>
    </w:sdtEndPr>
    <w:sdtContent>
      <w:p w14:paraId="3F776049" w14:textId="77777777" w:rsidR="009D47C4" w:rsidRPr="009D47C4" w:rsidRDefault="009D47C4">
        <w:pPr>
          <w:pStyle w:val="a8"/>
          <w:jc w:val="center"/>
          <w:rPr>
            <w:rFonts w:ascii="Times New Roman" w:hAnsi="Times New Roman" w:cs="Times New Roman"/>
            <w:sz w:val="24"/>
            <w:szCs w:val="24"/>
          </w:rPr>
        </w:pPr>
        <w:r w:rsidRPr="009D47C4">
          <w:rPr>
            <w:rFonts w:ascii="Times New Roman" w:hAnsi="Times New Roman" w:cs="Times New Roman"/>
            <w:sz w:val="24"/>
            <w:szCs w:val="24"/>
          </w:rPr>
          <w:fldChar w:fldCharType="begin"/>
        </w:r>
        <w:r w:rsidRPr="009D47C4">
          <w:rPr>
            <w:rFonts w:ascii="Times New Roman" w:hAnsi="Times New Roman" w:cs="Times New Roman"/>
            <w:sz w:val="24"/>
            <w:szCs w:val="24"/>
          </w:rPr>
          <w:instrText>PAGE   \* MERGEFORMAT</w:instrText>
        </w:r>
        <w:r w:rsidRPr="009D47C4">
          <w:rPr>
            <w:rFonts w:ascii="Times New Roman" w:hAnsi="Times New Roman" w:cs="Times New Roman"/>
            <w:sz w:val="24"/>
            <w:szCs w:val="24"/>
          </w:rPr>
          <w:fldChar w:fldCharType="separate"/>
        </w:r>
        <w:r w:rsidRPr="009D47C4">
          <w:rPr>
            <w:rFonts w:ascii="Times New Roman" w:hAnsi="Times New Roman" w:cs="Times New Roman"/>
            <w:sz w:val="24"/>
            <w:szCs w:val="24"/>
          </w:rPr>
          <w:t>3</w:t>
        </w:r>
        <w:r w:rsidRPr="009D47C4">
          <w:rPr>
            <w:rFonts w:ascii="Times New Roman" w:hAnsi="Times New Roman" w:cs="Times New Roman"/>
            <w:sz w:val="24"/>
            <w:szCs w:val="24"/>
          </w:rPr>
          <w:fldChar w:fldCharType="end"/>
        </w:r>
      </w:p>
    </w:sdtContent>
  </w:sdt>
  <w:p w14:paraId="61B5B526" w14:textId="77777777" w:rsidR="009D47C4" w:rsidRDefault="009D47C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5175F" w14:textId="77777777" w:rsidR="00835389" w:rsidRDefault="00835389">
      <w:pPr>
        <w:spacing w:after="0"/>
      </w:pPr>
      <w:r>
        <w:separator/>
      </w:r>
    </w:p>
  </w:footnote>
  <w:footnote w:type="continuationSeparator" w:id="0">
    <w:p w14:paraId="757DFB1C" w14:textId="77777777" w:rsidR="00835389" w:rsidRDefault="008353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C4FEA"/>
    <w:multiLevelType w:val="multilevel"/>
    <w:tmpl w:val="03CC4FE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224EC6"/>
    <w:multiLevelType w:val="multilevel"/>
    <w:tmpl w:val="0B224EC6"/>
    <w:lvl w:ilvl="0">
      <w:start w:val="1"/>
      <w:numFmt w:val="decimal"/>
      <w:lvlText w:val="%1"/>
      <w:lvlJc w:val="left"/>
      <w:pPr>
        <w:ind w:left="720" w:hanging="360"/>
      </w:pPr>
      <w:rPr>
        <w:rFonts w:hint="default"/>
      </w:rPr>
    </w:lvl>
    <w:lvl w:ilvl="1">
      <w:start w:val="1"/>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E13204A"/>
    <w:multiLevelType w:val="multilevel"/>
    <w:tmpl w:val="0E13204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7F5A27"/>
    <w:multiLevelType w:val="multilevel"/>
    <w:tmpl w:val="157F5A27"/>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B46A72"/>
    <w:multiLevelType w:val="multilevel"/>
    <w:tmpl w:val="23B46A72"/>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2BA17CD4"/>
    <w:multiLevelType w:val="multilevel"/>
    <w:tmpl w:val="2BA17CD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32AD6344"/>
    <w:multiLevelType w:val="multilevel"/>
    <w:tmpl w:val="32AD634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340A2470"/>
    <w:multiLevelType w:val="multilevel"/>
    <w:tmpl w:val="340A2470"/>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3AE80ABC"/>
    <w:multiLevelType w:val="multilevel"/>
    <w:tmpl w:val="3AE80AB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C43085E"/>
    <w:multiLevelType w:val="multilevel"/>
    <w:tmpl w:val="3C43085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431F3726"/>
    <w:multiLevelType w:val="multilevel"/>
    <w:tmpl w:val="431F372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5E21DB"/>
    <w:multiLevelType w:val="multilevel"/>
    <w:tmpl w:val="475E21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1D4BAB"/>
    <w:multiLevelType w:val="multilevel"/>
    <w:tmpl w:val="5A1D4BAB"/>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25F2F31"/>
    <w:multiLevelType w:val="multilevel"/>
    <w:tmpl w:val="625F2F3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66DB1C4A"/>
    <w:multiLevelType w:val="multilevel"/>
    <w:tmpl w:val="66DB1C4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AAB79AC"/>
    <w:multiLevelType w:val="multilevel"/>
    <w:tmpl w:val="6AAB79A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7099639D"/>
    <w:multiLevelType w:val="multilevel"/>
    <w:tmpl w:val="7099639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6B25B6B"/>
    <w:multiLevelType w:val="multilevel"/>
    <w:tmpl w:val="76B25B6B"/>
    <w:lvl w:ilvl="0">
      <w:start w:val="1"/>
      <w:numFmt w:val="bullet"/>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16cid:durableId="836924015">
    <w:abstractNumId w:val="1"/>
  </w:num>
  <w:num w:numId="2" w16cid:durableId="1135875193">
    <w:abstractNumId w:val="13"/>
  </w:num>
  <w:num w:numId="3" w16cid:durableId="751852369">
    <w:abstractNumId w:val="0"/>
  </w:num>
  <w:num w:numId="4" w16cid:durableId="1140414969">
    <w:abstractNumId w:val="2"/>
  </w:num>
  <w:num w:numId="5" w16cid:durableId="41366254">
    <w:abstractNumId w:val="5"/>
  </w:num>
  <w:num w:numId="6" w16cid:durableId="902371207">
    <w:abstractNumId w:val="9"/>
  </w:num>
  <w:num w:numId="7" w16cid:durableId="489685803">
    <w:abstractNumId w:val="3"/>
  </w:num>
  <w:num w:numId="8" w16cid:durableId="685253300">
    <w:abstractNumId w:val="12"/>
  </w:num>
  <w:num w:numId="9" w16cid:durableId="1364939861">
    <w:abstractNumId w:val="15"/>
  </w:num>
  <w:num w:numId="10" w16cid:durableId="560403528">
    <w:abstractNumId w:val="6"/>
  </w:num>
  <w:num w:numId="11" w16cid:durableId="242836963">
    <w:abstractNumId w:val="16"/>
  </w:num>
  <w:num w:numId="12" w16cid:durableId="1456753766">
    <w:abstractNumId w:val="8"/>
  </w:num>
  <w:num w:numId="13" w16cid:durableId="1781492969">
    <w:abstractNumId w:val="14"/>
  </w:num>
  <w:num w:numId="14" w16cid:durableId="268437610">
    <w:abstractNumId w:val="17"/>
  </w:num>
  <w:num w:numId="15" w16cid:durableId="356005037">
    <w:abstractNumId w:val="4"/>
  </w:num>
  <w:num w:numId="16" w16cid:durableId="730540020">
    <w:abstractNumId w:val="10"/>
  </w:num>
  <w:num w:numId="17" w16cid:durableId="1034840757">
    <w:abstractNumId w:val="7"/>
  </w:num>
  <w:num w:numId="18" w16cid:durableId="17013197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41E"/>
    <w:rsid w:val="0000091F"/>
    <w:rsid w:val="00013589"/>
    <w:rsid w:val="00021E34"/>
    <w:rsid w:val="00022114"/>
    <w:rsid w:val="0002759D"/>
    <w:rsid w:val="000424AD"/>
    <w:rsid w:val="000515FC"/>
    <w:rsid w:val="0005546A"/>
    <w:rsid w:val="00055ECC"/>
    <w:rsid w:val="00063DA8"/>
    <w:rsid w:val="00094252"/>
    <w:rsid w:val="000A1CBD"/>
    <w:rsid w:val="000A587F"/>
    <w:rsid w:val="000C3065"/>
    <w:rsid w:val="000D0246"/>
    <w:rsid w:val="000D15FB"/>
    <w:rsid w:val="000D61B7"/>
    <w:rsid w:val="000D64AA"/>
    <w:rsid w:val="001031FA"/>
    <w:rsid w:val="00123893"/>
    <w:rsid w:val="00127945"/>
    <w:rsid w:val="00133E1F"/>
    <w:rsid w:val="00154EB0"/>
    <w:rsid w:val="0016485D"/>
    <w:rsid w:val="001719AD"/>
    <w:rsid w:val="0018043C"/>
    <w:rsid w:val="00180C2D"/>
    <w:rsid w:val="00181596"/>
    <w:rsid w:val="001874F7"/>
    <w:rsid w:val="001A1D2E"/>
    <w:rsid w:val="001A6765"/>
    <w:rsid w:val="001B02EB"/>
    <w:rsid w:val="001B0E26"/>
    <w:rsid w:val="001B7D77"/>
    <w:rsid w:val="00202780"/>
    <w:rsid w:val="00202DAF"/>
    <w:rsid w:val="002154E0"/>
    <w:rsid w:val="00223491"/>
    <w:rsid w:val="0022352B"/>
    <w:rsid w:val="00236D48"/>
    <w:rsid w:val="00245ECF"/>
    <w:rsid w:val="002627D6"/>
    <w:rsid w:val="002721D2"/>
    <w:rsid w:val="00282335"/>
    <w:rsid w:val="00284700"/>
    <w:rsid w:val="002B2F9F"/>
    <w:rsid w:val="002C1250"/>
    <w:rsid w:val="002C2261"/>
    <w:rsid w:val="002C57F7"/>
    <w:rsid w:val="002D7798"/>
    <w:rsid w:val="002E722E"/>
    <w:rsid w:val="002F0960"/>
    <w:rsid w:val="002F1C63"/>
    <w:rsid w:val="002F3CA1"/>
    <w:rsid w:val="002F64B5"/>
    <w:rsid w:val="00313121"/>
    <w:rsid w:val="00315CCA"/>
    <w:rsid w:val="003218EB"/>
    <w:rsid w:val="00326308"/>
    <w:rsid w:val="00327778"/>
    <w:rsid w:val="00341A82"/>
    <w:rsid w:val="0034516E"/>
    <w:rsid w:val="0035595A"/>
    <w:rsid w:val="00360522"/>
    <w:rsid w:val="00360955"/>
    <w:rsid w:val="00361C99"/>
    <w:rsid w:val="003909E1"/>
    <w:rsid w:val="00390F4B"/>
    <w:rsid w:val="00396C00"/>
    <w:rsid w:val="00397D3E"/>
    <w:rsid w:val="003A17C0"/>
    <w:rsid w:val="003B1AB8"/>
    <w:rsid w:val="003C5185"/>
    <w:rsid w:val="003F1DBC"/>
    <w:rsid w:val="003F4725"/>
    <w:rsid w:val="003F794F"/>
    <w:rsid w:val="00402D3F"/>
    <w:rsid w:val="00422F31"/>
    <w:rsid w:val="00431D9B"/>
    <w:rsid w:val="00441215"/>
    <w:rsid w:val="004442A3"/>
    <w:rsid w:val="00452EC5"/>
    <w:rsid w:val="004655AE"/>
    <w:rsid w:val="004909A0"/>
    <w:rsid w:val="004A0F7F"/>
    <w:rsid w:val="004A3336"/>
    <w:rsid w:val="004A4CE1"/>
    <w:rsid w:val="004B2D25"/>
    <w:rsid w:val="004B736B"/>
    <w:rsid w:val="004D6447"/>
    <w:rsid w:val="004E25A6"/>
    <w:rsid w:val="00501354"/>
    <w:rsid w:val="00522E9D"/>
    <w:rsid w:val="0056419E"/>
    <w:rsid w:val="00565A0C"/>
    <w:rsid w:val="0059088C"/>
    <w:rsid w:val="005A01FB"/>
    <w:rsid w:val="005A67B3"/>
    <w:rsid w:val="005B793B"/>
    <w:rsid w:val="005E51FB"/>
    <w:rsid w:val="005E58CC"/>
    <w:rsid w:val="005F590B"/>
    <w:rsid w:val="00640B46"/>
    <w:rsid w:val="00655707"/>
    <w:rsid w:val="00696E8F"/>
    <w:rsid w:val="006B21AE"/>
    <w:rsid w:val="006B5F56"/>
    <w:rsid w:val="006D2466"/>
    <w:rsid w:val="006D2CBC"/>
    <w:rsid w:val="006E72CB"/>
    <w:rsid w:val="006F760A"/>
    <w:rsid w:val="007072A1"/>
    <w:rsid w:val="00712A1D"/>
    <w:rsid w:val="0074681E"/>
    <w:rsid w:val="0074728B"/>
    <w:rsid w:val="007606AD"/>
    <w:rsid w:val="00760F57"/>
    <w:rsid w:val="007613C1"/>
    <w:rsid w:val="00764736"/>
    <w:rsid w:val="00765839"/>
    <w:rsid w:val="00765EED"/>
    <w:rsid w:val="0078355C"/>
    <w:rsid w:val="00783C89"/>
    <w:rsid w:val="007B38D9"/>
    <w:rsid w:val="007C5B34"/>
    <w:rsid w:val="007E4957"/>
    <w:rsid w:val="0081090F"/>
    <w:rsid w:val="00812301"/>
    <w:rsid w:val="00821EC3"/>
    <w:rsid w:val="00825F48"/>
    <w:rsid w:val="00835389"/>
    <w:rsid w:val="00850E0E"/>
    <w:rsid w:val="00862D05"/>
    <w:rsid w:val="00862D22"/>
    <w:rsid w:val="008641DA"/>
    <w:rsid w:val="0088186E"/>
    <w:rsid w:val="008B51E1"/>
    <w:rsid w:val="008D0ACB"/>
    <w:rsid w:val="008D5A5E"/>
    <w:rsid w:val="008D5D4D"/>
    <w:rsid w:val="008E0D85"/>
    <w:rsid w:val="008F05B5"/>
    <w:rsid w:val="00910F4C"/>
    <w:rsid w:val="00922027"/>
    <w:rsid w:val="00942BD0"/>
    <w:rsid w:val="009476E2"/>
    <w:rsid w:val="00956C8E"/>
    <w:rsid w:val="009577B5"/>
    <w:rsid w:val="009605D5"/>
    <w:rsid w:val="00966176"/>
    <w:rsid w:val="009910DF"/>
    <w:rsid w:val="0099649E"/>
    <w:rsid w:val="009A077C"/>
    <w:rsid w:val="009A3A8E"/>
    <w:rsid w:val="009C355A"/>
    <w:rsid w:val="009D47C4"/>
    <w:rsid w:val="009E2594"/>
    <w:rsid w:val="009E3D13"/>
    <w:rsid w:val="009F6C44"/>
    <w:rsid w:val="00A23097"/>
    <w:rsid w:val="00A32C5B"/>
    <w:rsid w:val="00A479A1"/>
    <w:rsid w:val="00A633C5"/>
    <w:rsid w:val="00A663E2"/>
    <w:rsid w:val="00A71BDC"/>
    <w:rsid w:val="00A76F9D"/>
    <w:rsid w:val="00A85943"/>
    <w:rsid w:val="00A9094E"/>
    <w:rsid w:val="00A9466D"/>
    <w:rsid w:val="00A94674"/>
    <w:rsid w:val="00AA2417"/>
    <w:rsid w:val="00AA4677"/>
    <w:rsid w:val="00AB2259"/>
    <w:rsid w:val="00AC0DF4"/>
    <w:rsid w:val="00AC0E3A"/>
    <w:rsid w:val="00AD0E88"/>
    <w:rsid w:val="00AE3903"/>
    <w:rsid w:val="00B00CEC"/>
    <w:rsid w:val="00B0229B"/>
    <w:rsid w:val="00B118B3"/>
    <w:rsid w:val="00B1748D"/>
    <w:rsid w:val="00B226B0"/>
    <w:rsid w:val="00B24E5B"/>
    <w:rsid w:val="00B250B8"/>
    <w:rsid w:val="00B37B06"/>
    <w:rsid w:val="00B42374"/>
    <w:rsid w:val="00B47FA8"/>
    <w:rsid w:val="00B7341E"/>
    <w:rsid w:val="00B77E6A"/>
    <w:rsid w:val="00B93EE6"/>
    <w:rsid w:val="00BA26EA"/>
    <w:rsid w:val="00BA284C"/>
    <w:rsid w:val="00BA6BD4"/>
    <w:rsid w:val="00BC038E"/>
    <w:rsid w:val="00BC13A6"/>
    <w:rsid w:val="00BC2248"/>
    <w:rsid w:val="00BC5F64"/>
    <w:rsid w:val="00BD1C6E"/>
    <w:rsid w:val="00BD3B4D"/>
    <w:rsid w:val="00BD5587"/>
    <w:rsid w:val="00BD72EE"/>
    <w:rsid w:val="00BE24EE"/>
    <w:rsid w:val="00BE7D9E"/>
    <w:rsid w:val="00BF0CEC"/>
    <w:rsid w:val="00BF6EF1"/>
    <w:rsid w:val="00C235C7"/>
    <w:rsid w:val="00C24615"/>
    <w:rsid w:val="00C41D3F"/>
    <w:rsid w:val="00C55837"/>
    <w:rsid w:val="00C6300D"/>
    <w:rsid w:val="00C63F6A"/>
    <w:rsid w:val="00C663F2"/>
    <w:rsid w:val="00C7294E"/>
    <w:rsid w:val="00C91644"/>
    <w:rsid w:val="00C93B5D"/>
    <w:rsid w:val="00C96C72"/>
    <w:rsid w:val="00CA5316"/>
    <w:rsid w:val="00CB0466"/>
    <w:rsid w:val="00CB22F9"/>
    <w:rsid w:val="00CD1E7C"/>
    <w:rsid w:val="00CD2228"/>
    <w:rsid w:val="00CE1F0D"/>
    <w:rsid w:val="00CF4353"/>
    <w:rsid w:val="00CF5390"/>
    <w:rsid w:val="00D208B8"/>
    <w:rsid w:val="00D34B21"/>
    <w:rsid w:val="00D42EC3"/>
    <w:rsid w:val="00D470A2"/>
    <w:rsid w:val="00D50E51"/>
    <w:rsid w:val="00D5336F"/>
    <w:rsid w:val="00D66A7F"/>
    <w:rsid w:val="00D66D7E"/>
    <w:rsid w:val="00D75A0D"/>
    <w:rsid w:val="00D8024C"/>
    <w:rsid w:val="00D84AB3"/>
    <w:rsid w:val="00D8561B"/>
    <w:rsid w:val="00D92F4B"/>
    <w:rsid w:val="00DA0417"/>
    <w:rsid w:val="00DA5E07"/>
    <w:rsid w:val="00DB1588"/>
    <w:rsid w:val="00DB7006"/>
    <w:rsid w:val="00DD0CEE"/>
    <w:rsid w:val="00DD7D93"/>
    <w:rsid w:val="00DF02ED"/>
    <w:rsid w:val="00DF332E"/>
    <w:rsid w:val="00DF5A07"/>
    <w:rsid w:val="00E31F05"/>
    <w:rsid w:val="00E366C2"/>
    <w:rsid w:val="00E37B5D"/>
    <w:rsid w:val="00E42F05"/>
    <w:rsid w:val="00E50AE0"/>
    <w:rsid w:val="00E50DA4"/>
    <w:rsid w:val="00E53D65"/>
    <w:rsid w:val="00E557F7"/>
    <w:rsid w:val="00E8093A"/>
    <w:rsid w:val="00E84DB6"/>
    <w:rsid w:val="00E933C9"/>
    <w:rsid w:val="00E97373"/>
    <w:rsid w:val="00EA53FD"/>
    <w:rsid w:val="00EE3795"/>
    <w:rsid w:val="00EF2EAB"/>
    <w:rsid w:val="00EF4099"/>
    <w:rsid w:val="00EF4DAB"/>
    <w:rsid w:val="00F23C30"/>
    <w:rsid w:val="00F31C95"/>
    <w:rsid w:val="00F34343"/>
    <w:rsid w:val="00F37978"/>
    <w:rsid w:val="00F42C0C"/>
    <w:rsid w:val="00F47935"/>
    <w:rsid w:val="00F50441"/>
    <w:rsid w:val="00F5081D"/>
    <w:rsid w:val="00F516D5"/>
    <w:rsid w:val="00F55519"/>
    <w:rsid w:val="00F739FA"/>
    <w:rsid w:val="00F93B96"/>
    <w:rsid w:val="00FA1F55"/>
    <w:rsid w:val="00FC1BCA"/>
    <w:rsid w:val="00FC2CC8"/>
    <w:rsid w:val="00FC4D77"/>
    <w:rsid w:val="00FD01A7"/>
    <w:rsid w:val="00FD4612"/>
    <w:rsid w:val="00FE4336"/>
    <w:rsid w:val="44411A8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5C9D84A"/>
  <w15:docId w15:val="{EC2B7E86-32A7-4356-B647-581304A9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Title"/>
    <w:basedOn w:val="a"/>
    <w:next w:val="a"/>
    <w:link w:val="a7"/>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8">
    <w:name w:val="footer"/>
    <w:basedOn w:val="a"/>
    <w:link w:val="a9"/>
    <w:uiPriority w:val="99"/>
    <w:unhideWhenUsed/>
    <w:qFormat/>
    <w:pPr>
      <w:tabs>
        <w:tab w:val="center" w:pos="4677"/>
        <w:tab w:val="right" w:pos="9355"/>
      </w:tabs>
      <w:spacing w:after="0" w:line="240" w:lineRule="auto"/>
    </w:pPr>
  </w:style>
  <w:style w:type="paragraph" w:styleId="aa">
    <w:name w:val="Subtitle"/>
    <w:basedOn w:val="a"/>
    <w:next w:val="a"/>
    <w:link w:val="ab"/>
    <w:uiPriority w:val="11"/>
    <w:qFormat/>
    <w:rPr>
      <w:rFonts w:eastAsiaTheme="majorEastAsia" w:cstheme="majorBidi"/>
      <w:color w:val="595959" w:themeColor="text1" w:themeTint="A6"/>
      <w:spacing w:val="15"/>
      <w:sz w:val="28"/>
      <w:szCs w:val="28"/>
    </w:rPr>
  </w:style>
  <w:style w:type="table" w:styleId="a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Pr>
      <w:rFonts w:eastAsiaTheme="majorEastAsia" w:cstheme="majorBidi"/>
      <w:i/>
      <w:iCs/>
      <w:color w:val="2F5496" w:themeColor="accent1" w:themeShade="BF"/>
    </w:rPr>
  </w:style>
  <w:style w:type="character" w:customStyle="1" w:styleId="50">
    <w:name w:val="Заголовок 5 Знак"/>
    <w:basedOn w:val="a0"/>
    <w:link w:val="5"/>
    <w:uiPriority w:val="9"/>
    <w:semiHidden/>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7">
    <w:name w:val="Заголовок Знак"/>
    <w:basedOn w:val="a0"/>
    <w:link w:val="a6"/>
    <w:uiPriority w:val="10"/>
    <w:rPr>
      <w:rFonts w:asciiTheme="majorHAnsi" w:eastAsiaTheme="majorEastAsia" w:hAnsiTheme="majorHAnsi" w:cstheme="majorBidi"/>
      <w:spacing w:val="-10"/>
      <w:kern w:val="28"/>
      <w:sz w:val="56"/>
      <w:szCs w:val="56"/>
    </w:rPr>
  </w:style>
  <w:style w:type="character" w:customStyle="1" w:styleId="ab">
    <w:name w:val="Подзаголовок Знак"/>
    <w:basedOn w:val="a0"/>
    <w:link w:val="aa"/>
    <w:uiPriority w:val="11"/>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rPr>
      <w:i/>
      <w:iCs/>
      <w:color w:val="404040" w:themeColor="text1" w:themeTint="BF"/>
    </w:rPr>
  </w:style>
  <w:style w:type="paragraph" w:styleId="ad">
    <w:name w:val="List Paragraph"/>
    <w:basedOn w:val="a"/>
    <w:uiPriority w:val="34"/>
    <w:qFormat/>
    <w:pPr>
      <w:ind w:left="720"/>
      <w:contextualSpacing/>
    </w:pPr>
  </w:style>
  <w:style w:type="character" w:customStyle="1" w:styleId="11">
    <w:name w:val="Сильное выделение1"/>
    <w:basedOn w:val="a0"/>
    <w:uiPriority w:val="21"/>
    <w:qFormat/>
    <w:rPr>
      <w:i/>
      <w:iCs/>
      <w:color w:val="2F5496" w:themeColor="accent1" w:themeShade="BF"/>
    </w:rPr>
  </w:style>
  <w:style w:type="paragraph" w:styleId="ae">
    <w:name w:val="Intense Quote"/>
    <w:basedOn w:val="a"/>
    <w:next w:val="a"/>
    <w:link w:val="af"/>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
    <w:name w:val="Выделенная цитата Знак"/>
    <w:basedOn w:val="a0"/>
    <w:link w:val="ae"/>
    <w:uiPriority w:val="30"/>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character" w:customStyle="1" w:styleId="a5">
    <w:name w:val="Верхний колонтитул Знак"/>
    <w:basedOn w:val="a0"/>
    <w:link w:val="a4"/>
    <w:uiPriority w:val="99"/>
    <w:qFormat/>
  </w:style>
  <w:style w:type="character" w:customStyle="1" w:styleId="a9">
    <w:name w:val="Нижний колонтитул Знак"/>
    <w:basedOn w:val="a0"/>
    <w:link w:val="a8"/>
    <w:uiPriority w:val="99"/>
    <w:qFormat/>
  </w:style>
  <w:style w:type="table" w:customStyle="1" w:styleId="13">
    <w:name w:val="Сетка таблиц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27.rosstat.gov.ru/storage/mediabank/%D0%A1%D1%82%D0%B5%D0%BF%D0%B5%D0%BD%D1%8C%20" TargetMode="External"/><Relationship Id="rId2" Type="http://schemas.openxmlformats.org/officeDocument/2006/relationships/customXml" Target="../customXml/item2.xml"/><Relationship Id="rId16" Type="http://schemas.openxmlformats.org/officeDocument/2006/relationships/hyperlink" Target="https://www.elibrary.ru/item.asp?id=2910927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charset="0"/>
                <a:cs typeface="Times New Roman" panose="02020603050405020304" charset="0"/>
              </a:rPr>
              <a:t>Степень</a:t>
            </a:r>
            <a:r>
              <a:rPr lang="ru-RU" baseline="0">
                <a:solidFill>
                  <a:sysClr val="windowText" lastClr="000000"/>
                </a:solidFill>
                <a:latin typeface="Times New Roman" panose="02020603050405020304" charset="0"/>
                <a:cs typeface="Times New Roman" panose="02020603050405020304" charset="0"/>
              </a:rPr>
              <a:t> износа основных фондов в разрезе ОКВЭД2 по сельскому хозяйству, в %</a:t>
            </a:r>
            <a:endParaRPr lang="ru-RU">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4"/>
              <c:layout>
                <c:manualLayout>
                  <c:x val="-3.3277778295576002E-2"/>
                  <c:y val="-0.1090973003374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7D-4F9B-8C0E-86A0A675F6BB}"/>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43</c:v>
                </c:pt>
                <c:pt idx="1">
                  <c:v>43.1</c:v>
                </c:pt>
                <c:pt idx="2">
                  <c:v>43.9</c:v>
                </c:pt>
                <c:pt idx="3">
                  <c:v>44.6</c:v>
                </c:pt>
                <c:pt idx="4">
                  <c:v>42.6</c:v>
                </c:pt>
                <c:pt idx="5">
                  <c:v>44.1</c:v>
                </c:pt>
                <c:pt idx="6">
                  <c:v>45.2</c:v>
                </c:pt>
              </c:numCache>
            </c:numRef>
          </c:val>
          <c:smooth val="0"/>
          <c:extLst>
            <c:ext xmlns:c16="http://schemas.microsoft.com/office/drawing/2014/chart" uri="{C3380CC4-5D6E-409C-BE32-E72D297353CC}">
              <c16:uniqueId val="{00000001-347D-4F9B-8C0E-86A0A675F6BB}"/>
            </c:ext>
          </c:extLst>
        </c:ser>
        <c:dLbls>
          <c:showLegendKey val="0"/>
          <c:showVal val="1"/>
          <c:showCatName val="0"/>
          <c:showSerName val="0"/>
          <c:showPercent val="0"/>
          <c:showBubbleSize val="0"/>
        </c:dLbls>
        <c:smooth val="0"/>
        <c:axId val="1912411775"/>
        <c:axId val="1848112383"/>
      </c:lineChart>
      <c:catAx>
        <c:axId val="191241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848112383"/>
        <c:crosses val="autoZero"/>
        <c:auto val="1"/>
        <c:lblAlgn val="ctr"/>
        <c:lblOffset val="100"/>
        <c:noMultiLvlLbl val="0"/>
      </c:catAx>
      <c:valAx>
        <c:axId val="184811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5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912411775"/>
        <c:crosses val="autoZero"/>
        <c:crossBetween val="between"/>
      </c:valAx>
      <c:spPr>
        <a:noFill/>
        <a:ln>
          <a:noFill/>
        </a:ln>
        <a:effectLst/>
      </c:spPr>
    </c:plotArea>
    <c:plotVisOnly val="1"/>
    <c:dispBlanksAs val="gap"/>
    <c:showDLblsOverMax val="0"/>
    <c:extLst>
      <c:ext uri="{0b15fc19-7d7d-44ad-8c2d-2c3a37ce22c3}">
        <chartProps xmlns="https://web.wps.cn/et/2018/main" chartId="{cdd3c0b3-cd29-48b6-b94a-e4d49ae43f02}"/>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charset="0"/>
                <a:cs typeface="Times New Roman" panose="02020603050405020304" charset="0"/>
              </a:rPr>
              <a:t>Индексы изменения фондоотдачи в сельском хозяйстве, в %</a:t>
            </a:r>
            <a:endParaRPr lang="ru-RU">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3"/>
              <c:layout>
                <c:manualLayout>
                  <c:x val="-5.5956095986226202E-2"/>
                  <c:y val="-6.8652379222666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4D-4E3F-8A0C-1545289801AF}"/>
                </c:ext>
              </c:extLst>
            </c:dLbl>
            <c:dLbl>
              <c:idx val="4"/>
              <c:layout>
                <c:manualLayout>
                  <c:x val="-3.3277778295576002E-2"/>
                  <c:y val="-4.7346488154654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4D-4E3F-8A0C-1545289801AF}"/>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96.8</c:v>
                </c:pt>
                <c:pt idx="1">
                  <c:v>98.3</c:v>
                </c:pt>
                <c:pt idx="2">
                  <c:v>95.3</c:v>
                </c:pt>
                <c:pt idx="3">
                  <c:v>95.2</c:v>
                </c:pt>
                <c:pt idx="4">
                  <c:v>102.1</c:v>
                </c:pt>
                <c:pt idx="5">
                  <c:v>100.1</c:v>
                </c:pt>
                <c:pt idx="6">
                  <c:v>101.9</c:v>
                </c:pt>
              </c:numCache>
            </c:numRef>
          </c:val>
          <c:smooth val="0"/>
          <c:extLst>
            <c:ext xmlns:c16="http://schemas.microsoft.com/office/drawing/2014/chart" uri="{C3380CC4-5D6E-409C-BE32-E72D297353CC}">
              <c16:uniqueId val="{00000002-714D-4E3F-8A0C-1545289801AF}"/>
            </c:ext>
          </c:extLst>
        </c:ser>
        <c:dLbls>
          <c:showLegendKey val="0"/>
          <c:showVal val="1"/>
          <c:showCatName val="0"/>
          <c:showSerName val="0"/>
          <c:showPercent val="0"/>
          <c:showBubbleSize val="0"/>
        </c:dLbls>
        <c:smooth val="0"/>
        <c:axId val="1912411775"/>
        <c:axId val="1848112383"/>
      </c:lineChart>
      <c:catAx>
        <c:axId val="191241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848112383"/>
        <c:crosses val="autoZero"/>
        <c:auto val="1"/>
        <c:lblAlgn val="ctr"/>
        <c:lblOffset val="100"/>
        <c:noMultiLvlLbl val="0"/>
      </c:catAx>
      <c:valAx>
        <c:axId val="184811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5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912411775"/>
        <c:crosses val="autoZero"/>
        <c:crossBetween val="between"/>
      </c:valAx>
      <c:spPr>
        <a:noFill/>
        <a:ln>
          <a:noFill/>
        </a:ln>
        <a:effectLst/>
      </c:spPr>
    </c:plotArea>
    <c:plotVisOnly val="1"/>
    <c:dispBlanksAs val="gap"/>
    <c:showDLblsOverMax val="0"/>
    <c:extLst>
      <c:ext uri="{0b15fc19-7d7d-44ad-8c2d-2c3a37ce22c3}">
        <chartProps xmlns="https://web.wps.cn/et/2018/main" chartId="{e13904ff-9c1c-4be8-84e5-91e2798e0af3}"/>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charset="0"/>
                <a:cs typeface="Times New Roman" panose="02020603050405020304" charset="0"/>
              </a:rPr>
              <a:t>Доля инвестиций, направленных на реконструкцию и модернизацию, в общем объеме ивестиций в основной капитал (производство напитков), в %</a:t>
            </a:r>
            <a:endParaRPr lang="ru-RU">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1"/>
              <c:layout>
                <c:manualLayout>
                  <c:x val="-3.8738835682771998E-2"/>
                  <c:y val="-7.461508093170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AC-4BF4-B9EC-EC4F924B0D24}"/>
                </c:ext>
              </c:extLst>
            </c:dLbl>
            <c:dLbl>
              <c:idx val="3"/>
              <c:layout>
                <c:manualLayout>
                  <c:x val="-5.5956095986226202E-2"/>
                  <c:y val="-6.8652379222666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AC-4BF4-B9EC-EC4F924B0D24}"/>
                </c:ext>
              </c:extLst>
            </c:dLbl>
            <c:dLbl>
              <c:idx val="4"/>
              <c:layout>
                <c:manualLayout>
                  <c:x val="-3.3277778295576002E-2"/>
                  <c:y val="-4.7346488154654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AC-4BF4-B9EC-EC4F924B0D24}"/>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17.899999999999999</c:v>
                </c:pt>
                <c:pt idx="1">
                  <c:v>10.6</c:v>
                </c:pt>
                <c:pt idx="2">
                  <c:v>16.3</c:v>
                </c:pt>
                <c:pt idx="3">
                  <c:v>16.100000000000001</c:v>
                </c:pt>
                <c:pt idx="4">
                  <c:v>15.4</c:v>
                </c:pt>
                <c:pt idx="5">
                  <c:v>13.5</c:v>
                </c:pt>
                <c:pt idx="6">
                  <c:v>16.2</c:v>
                </c:pt>
              </c:numCache>
            </c:numRef>
          </c:val>
          <c:smooth val="0"/>
          <c:extLst>
            <c:ext xmlns:c16="http://schemas.microsoft.com/office/drawing/2014/chart" uri="{C3380CC4-5D6E-409C-BE32-E72D297353CC}">
              <c16:uniqueId val="{00000003-B6AC-4BF4-B9EC-EC4F924B0D24}"/>
            </c:ext>
          </c:extLst>
        </c:ser>
        <c:dLbls>
          <c:showLegendKey val="0"/>
          <c:showVal val="1"/>
          <c:showCatName val="0"/>
          <c:showSerName val="0"/>
          <c:showPercent val="0"/>
          <c:showBubbleSize val="0"/>
        </c:dLbls>
        <c:smooth val="0"/>
        <c:axId val="1912411775"/>
        <c:axId val="1848112383"/>
      </c:lineChart>
      <c:catAx>
        <c:axId val="191241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848112383"/>
        <c:crosses val="autoZero"/>
        <c:auto val="1"/>
        <c:lblAlgn val="ctr"/>
        <c:lblOffset val="100"/>
        <c:noMultiLvlLbl val="0"/>
      </c:catAx>
      <c:valAx>
        <c:axId val="184811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5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912411775"/>
        <c:crosses val="autoZero"/>
        <c:crossBetween val="between"/>
      </c:valAx>
      <c:spPr>
        <a:noFill/>
        <a:ln>
          <a:noFill/>
        </a:ln>
        <a:effectLst/>
      </c:spPr>
    </c:plotArea>
    <c:plotVisOnly val="1"/>
    <c:dispBlanksAs val="gap"/>
    <c:showDLblsOverMax val="0"/>
    <c:extLst>
      <c:ext uri="{0b15fc19-7d7d-44ad-8c2d-2c3a37ce22c3}">
        <chartProps xmlns="https://web.wps.cn/et/2018/main" chartId="{da7af07f-b3a4-4ae8-9620-d8aa1283cb16}"/>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aseline="0">
                <a:solidFill>
                  <a:sysClr val="windowText" lastClr="000000"/>
                </a:solidFill>
                <a:latin typeface="Times New Roman" panose="02020603050405020304" charset="0"/>
                <a:cs typeface="Times New Roman" panose="02020603050405020304" charset="0"/>
              </a:rPr>
              <a:t>Индексы изменения фондовооруженности по сельскому хозяйству, в %</a:t>
            </a:r>
            <a:endParaRPr lang="ru-RU">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1"/>
              <c:layout>
                <c:manualLayout>
                  <c:x val="-3.8738835682771998E-2"/>
                  <c:y val="-7.461508093170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9E-4F59-BF05-53C1D71806BA}"/>
                </c:ext>
              </c:extLst>
            </c:dLbl>
            <c:dLbl>
              <c:idx val="3"/>
              <c:layout>
                <c:manualLayout>
                  <c:x val="-5.5956095986226202E-2"/>
                  <c:y val="-6.8652379222666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9E-4F59-BF05-53C1D71806BA}"/>
                </c:ext>
              </c:extLst>
            </c:dLbl>
            <c:dLbl>
              <c:idx val="4"/>
              <c:layout>
                <c:manualLayout>
                  <c:x val="-3.3277778295576002E-2"/>
                  <c:y val="-4.7346488154654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9E-4F59-BF05-53C1D71806BA}"/>
                </c:ext>
              </c:extLst>
            </c:dLbl>
            <c:spPr>
              <a:noFill/>
              <a:ln>
                <a:noFill/>
              </a:ln>
              <a:effectLst/>
            </c:spPr>
            <c:txPr>
              <a:bodyPr rot="0" spcFirstLastPara="1" vertOverflow="ellipsis" vert="horz" wrap="square" lIns="38100" tIns="19050" rIns="38100" bIns="19050" anchor="ctr" anchorCtr="1">
                <a:spAutoFit/>
              </a:bodyPr>
              <a:lstStyle/>
              <a:p>
                <a:pPr>
                  <a:defRPr lang="ru-RU"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109.1</c:v>
                </c:pt>
                <c:pt idx="1">
                  <c:v>105.4</c:v>
                </c:pt>
                <c:pt idx="2">
                  <c:v>107.8</c:v>
                </c:pt>
                <c:pt idx="3">
                  <c:v>104.8</c:v>
                </c:pt>
                <c:pt idx="4">
                  <c:v>107.1</c:v>
                </c:pt>
                <c:pt idx="5">
                  <c:v>106.1</c:v>
                </c:pt>
                <c:pt idx="6">
                  <c:v>102.6</c:v>
                </c:pt>
              </c:numCache>
            </c:numRef>
          </c:val>
          <c:smooth val="0"/>
          <c:extLst>
            <c:ext xmlns:c16="http://schemas.microsoft.com/office/drawing/2014/chart" uri="{C3380CC4-5D6E-409C-BE32-E72D297353CC}">
              <c16:uniqueId val="{00000003-D19E-4F59-BF05-53C1D71806BA}"/>
            </c:ext>
          </c:extLst>
        </c:ser>
        <c:dLbls>
          <c:showLegendKey val="0"/>
          <c:showVal val="1"/>
          <c:showCatName val="0"/>
          <c:showSerName val="0"/>
          <c:showPercent val="0"/>
          <c:showBubbleSize val="0"/>
        </c:dLbls>
        <c:smooth val="0"/>
        <c:axId val="1912411775"/>
        <c:axId val="1848112383"/>
      </c:lineChart>
      <c:catAx>
        <c:axId val="1912411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848112383"/>
        <c:crosses val="autoZero"/>
        <c:auto val="1"/>
        <c:lblAlgn val="ctr"/>
        <c:lblOffset val="100"/>
        <c:noMultiLvlLbl val="0"/>
      </c:catAx>
      <c:valAx>
        <c:axId val="184811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5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912411775"/>
        <c:crosses val="autoZero"/>
        <c:crossBetween val="between"/>
      </c:valAx>
      <c:spPr>
        <a:noFill/>
        <a:ln>
          <a:noFill/>
        </a:ln>
        <a:effectLst/>
      </c:spPr>
    </c:plotArea>
    <c:plotVisOnly val="1"/>
    <c:dispBlanksAs val="gap"/>
    <c:showDLblsOverMax val="0"/>
    <c:extLst>
      <c:ext uri="{0b15fc19-7d7d-44ad-8c2d-2c3a37ce22c3}">
        <chartProps xmlns="https://web.wps.cn/et/2018/main" chartId="{4174f2ef-39d8-4865-beeb-5754edaa1e2e}"/>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7D1FB4B6-994F-46F3-846F-843DF2D1EA7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8675</Words>
  <Characters>49448</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Сердюкова</dc:creator>
  <cp:lastModifiedBy>student</cp:lastModifiedBy>
  <cp:revision>9</cp:revision>
  <dcterms:created xsi:type="dcterms:W3CDTF">2025-06-02T13:46:00Z</dcterms:created>
  <dcterms:modified xsi:type="dcterms:W3CDTF">2025-06-14T13:45:00Z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E86AD7C2724C4C8095D2732632C9C87A_13</vt:lpwstr>
  </property>
</Properties>
</file>