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body>
    <w:p w14:paraId="00000005">
      <w:pPr>
        <w:spacing w:after="0" w:line="360" w:lineRule="auto"/>
        <w:jc w:val="center"/>
        <w:rPr>
          <w:rFonts w:ascii="Times New Roman" w:hAnsi="Times New Roman"/>
          <w:sz w:val="28"/>
          <w:szCs w:val="28"/>
        </w:rPr>
      </w:pPr>
    </w:p>
    <w:p w14:paraId="00000006">
      <w:pPr>
        <w:spacing w:line="360" w:lineRule="auto"/>
        <w:jc w:val="center"/>
        <w:rPr>
          <w:rFonts w:ascii="Times New Roman" w:cs="Times New Roman" w:hAnsi="Times New Roman"/>
          <w:b/>
          <w:sz w:val="28"/>
          <w:szCs w:val="28"/>
        </w:rPr>
      </w:pPr>
    </w:p>
    <w:p w14:paraId="00000007">
      <w:pPr>
        <w:spacing w:line="360" w:lineRule="auto"/>
        <w:jc w:val="center"/>
        <w:rPr>
          <w:rFonts w:ascii="Times New Roman" w:cs="Times New Roman" w:hAnsi="Times New Roman"/>
          <w:b/>
          <w:sz w:val="28"/>
          <w:szCs w:val="28"/>
        </w:rPr>
      </w:pPr>
    </w:p>
    <w:p w14:paraId="00000008">
      <w:pPr>
        <w:spacing w:line="360" w:lineRule="auto"/>
        <w:jc w:val="center"/>
        <w:rPr>
          <w:rFonts w:ascii="Times New Roman" w:cs="Times New Roman" w:hAnsi="Times New Roman"/>
          <w:b/>
          <w:sz w:val="28"/>
          <w:szCs w:val="28"/>
        </w:rPr>
      </w:pPr>
      <w:r>
        <w:rPr>
          <w:rFonts w:ascii="Times New Roman" w:cs="Times New Roman" w:hAnsi="Times New Roman"/>
          <w:b/>
          <w:sz w:val="28"/>
          <w:szCs w:val="28"/>
        </w:rPr>
        <w:drawing xmlns:mc="http://schemas.openxmlformats.org/markup-compatibility/2006">
          <wp:inline>
            <wp:extent cx="5524500" cy="78416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Grp="0" noSelect="0" noChangeAspect="1" noMove="0"/>
                    </pic:cNvPicPr>
                  </pic:nvPicPr>
                  <pic:blipFill>
                    <a:blip r:embed="rId18"/>
                    <a:srcRect/>
                    <a:stretch>
                      <a:fillRect/>
                    </a:stretch>
                  </pic:blipFill>
                  <pic:spPr>
                    <a:xfrm>
                      <a:off x="0" y="0"/>
                      <a:ext cx="5524500" cy="7841615"/>
                    </a:xfrm>
                    <a:prstGeom prst="rect">
                      <a:avLst/>
                    </a:prstGeom>
                  </pic:spPr>
                </pic:pic>
              </a:graphicData>
            </a:graphic>
          </wp:inline>
        </w:drawing>
      </w:r>
    </w:p>
    <w:p w14:paraId="00000009">
      <w:pPr>
        <w:spacing w:line="360" w:lineRule="auto"/>
        <w:jc w:val="center"/>
        <w:rPr>
          <w:rFonts w:ascii="Times New Roman" w:cs="Times New Roman" w:hAnsi="Times New Roman"/>
          <w:b/>
          <w:sz w:val="28"/>
          <w:szCs w:val="28"/>
        </w:rPr>
      </w:pPr>
      <w:r>
        <w:rPr>
          <w:rFonts w:ascii="Times New Roman" w:cs="Times New Roman" w:hAnsi="Times New Roman"/>
          <w:b/>
          <w:sz w:val="28"/>
          <w:szCs w:val="28"/>
        </w:rPr>
        <w:t>СОДЕРЖАНИЕ</w:t>
      </w:r>
    </w:p>
    <w:p w14:paraId="0000000A">
      <w:pPr>
        <w:spacing w:after="0" w:line="360" w:lineRule="auto"/>
        <w:jc w:val="center"/>
        <w:rPr>
          <w:rFonts w:ascii="Times New Roman" w:cs="Times New Roman" w:hAnsi="Times New Roman"/>
          <w:b/>
          <w:sz w:val="28"/>
          <w:szCs w:val="28"/>
        </w:rPr>
      </w:pPr>
    </w:p>
    <w:p w14:paraId="0000000B">
      <w:pPr>
        <w:shd w:val="clear" w:color="auto" w:fill="ffffff"/>
        <w:spacing w:after="0" w:line="360" w:lineRule="auto"/>
        <w:rPr>
          <w:rFonts w:ascii="Times New Roman" w:cs="Times New Roman" w:eastAsia="Calibri" w:hAnsi="Times New Roman"/>
          <w:color w:val="000000"/>
          <w:sz w:val="28"/>
          <w:szCs w:val="28"/>
        </w:rPr>
      </w:pPr>
      <w:r>
        <w:rPr>
          <w:rFonts w:ascii="Times New Roman" w:cs="Times New Roman" w:eastAsia="Calibri" w:hAnsi="Times New Roman"/>
          <w:color w:val="000000"/>
          <w:sz w:val="28"/>
          <w:szCs w:val="28"/>
        </w:rPr>
        <w:t>Введение……………………………………………………………………...…...3</w:t>
      </w:r>
    </w:p>
    <w:p w14:paraId="0000000C">
      <w:pPr>
        <w:shd w:val="clear" w:color="auto" w:fill="ffffff"/>
        <w:spacing w:after="0" w:line="360" w:lineRule="auto"/>
        <w:rPr>
          <w:rFonts w:ascii="Times New Roman" w:cs="Times New Roman" w:eastAsia="Calibri" w:hAnsi="Times New Roman"/>
          <w:color w:val="000000"/>
          <w:sz w:val="28"/>
          <w:szCs w:val="28"/>
        </w:rPr>
      </w:pPr>
      <w:r>
        <w:rPr>
          <w:rFonts w:ascii="Times New Roman" w:cs="Times New Roman" w:eastAsia="Calibri" w:hAnsi="Times New Roman"/>
          <w:color w:val="000000"/>
          <w:sz w:val="28"/>
          <w:szCs w:val="28"/>
        </w:rPr>
        <w:t>1 Теоретические основы онлайн-экспорта в  международном бизнесе…........5</w:t>
      </w:r>
    </w:p>
    <w:p w14:paraId="0000000D">
      <w:pPr>
        <w:shd w:val="clear" w:color="auto" w:fill="ffffff"/>
        <w:spacing w:after="0" w:line="360" w:lineRule="auto"/>
        <w:rPr>
          <w:rFonts w:ascii="Times New Roman" w:cs="Times New Roman" w:eastAsia="Calibri" w:hAnsi="Times New Roman"/>
          <w:color w:val="000000"/>
          <w:sz w:val="28"/>
          <w:szCs w:val="28"/>
        </w:rPr>
      </w:pPr>
      <w:r>
        <w:rPr>
          <w:rFonts w:ascii="Times New Roman" w:cs="Times New Roman" w:eastAsia="Calibri" w:hAnsi="Times New Roman"/>
          <w:color w:val="000000"/>
          <w:sz w:val="28"/>
          <w:szCs w:val="28"/>
        </w:rPr>
        <w:t xml:space="preserve">   1.1 </w:t>
      </w:r>
      <w:r>
        <w:rPr>
          <w:rFonts w:ascii="Times New Roman" w:cs="Times New Roman" w:hAnsi="Times New Roman"/>
          <w:color w:val="000000"/>
          <w:sz w:val="28"/>
          <w:szCs w:val="28"/>
        </w:rPr>
        <w:t>Сущность и развитие онлайн-торговли в международном бизнесе</w:t>
      </w:r>
      <w:r>
        <w:rPr>
          <w:rFonts w:ascii="Times New Roman" w:cs="Times New Roman" w:eastAsia="Calibri" w:hAnsi="Times New Roman"/>
          <w:color w:val="000000"/>
          <w:sz w:val="28"/>
          <w:szCs w:val="28"/>
        </w:rPr>
        <w:t>….....5</w:t>
      </w:r>
    </w:p>
    <w:p w14:paraId="0000000E">
      <w:pPr>
        <w:shd w:val="clear" w:color="auto" w:fill="ffffff"/>
        <w:spacing w:after="0" w:line="360" w:lineRule="auto"/>
        <w:rPr>
          <w:rFonts w:ascii="Times New Roman" w:cs="Times New Roman" w:eastAsia="Calibri" w:hAnsi="Times New Roman"/>
          <w:color w:val="000000"/>
          <w:sz w:val="28"/>
          <w:szCs w:val="28"/>
        </w:rPr>
      </w:pPr>
      <w:r>
        <w:rPr>
          <w:rFonts w:ascii="Times New Roman" w:cs="Times New Roman" w:eastAsia="Calibri" w:hAnsi="Times New Roman"/>
          <w:color w:val="000000"/>
          <w:sz w:val="28"/>
          <w:szCs w:val="28"/>
        </w:rPr>
        <w:t xml:space="preserve">   1.2</w:t>
      </w:r>
      <w:r>
        <w:t xml:space="preserve"> </w:t>
      </w:r>
      <w:r>
        <w:rPr>
          <w:rFonts w:ascii="Times New Roman" w:cs="Times New Roman" w:hAnsi="Times New Roman"/>
          <w:color w:val="000000"/>
          <w:sz w:val="28"/>
          <w:szCs w:val="28"/>
        </w:rPr>
        <w:t xml:space="preserve">Преимущества и вызовы </w:t>
      </w:r>
      <w:r>
        <w:rPr>
          <w:rFonts w:ascii="Times New Roman" w:cs="Times New Roman" w:hAnsi="Times New Roman"/>
          <w:color w:val="000000"/>
          <w:sz w:val="28"/>
          <w:szCs w:val="28"/>
        </w:rPr>
        <w:t>онлайн-торговли для компаний-экспортеров..........................................................................................</w:t>
      </w:r>
      <w:r>
        <w:rPr>
          <w:rFonts w:ascii="Times New Roman" w:cs="Times New Roman" w:eastAsia="Calibri" w:hAnsi="Times New Roman"/>
          <w:color w:val="000000"/>
          <w:sz w:val="28"/>
          <w:szCs w:val="28"/>
        </w:rPr>
        <w:t>10</w:t>
      </w:r>
    </w:p>
    <w:p w14:paraId="0000000F">
      <w:pPr>
        <w:shd w:val="clear" w:color="auto" w:fill="ffffff"/>
        <w:spacing w:after="0" w:line="360" w:lineRule="auto"/>
        <w:rPr>
          <w:rFonts w:ascii="Times New Roman" w:cs="Times New Roman" w:eastAsia="Calibri" w:hAnsi="Times New Roman"/>
          <w:color w:val="000000"/>
          <w:sz w:val="28"/>
          <w:szCs w:val="28"/>
        </w:rPr>
      </w:pPr>
      <w:r>
        <w:rPr>
          <w:rFonts w:ascii="Times New Roman" w:cs="Times New Roman" w:eastAsia="Calibri" w:hAnsi="Times New Roman"/>
          <w:color w:val="000000"/>
          <w:sz w:val="28"/>
          <w:szCs w:val="28"/>
        </w:rPr>
        <w:t xml:space="preserve">   1.3</w:t>
      </w:r>
      <w:r>
        <w:t xml:space="preserve"> </w:t>
      </w:r>
      <w:r>
        <w:rPr>
          <w:rFonts w:ascii="Times New Roman" w:cs="Times New Roman" w:hAnsi="Times New Roman"/>
          <w:color w:val="000000"/>
          <w:sz w:val="28"/>
          <w:szCs w:val="28"/>
        </w:rPr>
        <w:t>Типы платформ и моделей онлайн-экспорта..</w:t>
      </w:r>
      <w:r>
        <w:rPr>
          <w:rFonts w:ascii="Times New Roman" w:cs="Times New Roman" w:eastAsia="Calibri" w:hAnsi="Times New Roman"/>
          <w:color w:val="000000"/>
          <w:sz w:val="28"/>
          <w:szCs w:val="28"/>
        </w:rPr>
        <w:t>...........................................13</w:t>
      </w:r>
    </w:p>
    <w:p w14:paraId="00000010">
      <w:pPr>
        <w:shd w:val="clear" w:color="auto" w:fill="ffffff"/>
        <w:spacing w:after="0" w:line="360" w:lineRule="auto"/>
        <w:rPr>
          <w:rFonts w:ascii="Times New Roman" w:cs="Times New Roman" w:eastAsia="Times New Roman" w:hAnsi="Times New Roman"/>
          <w:sz w:val="28"/>
          <w:szCs w:val="28"/>
        </w:rPr>
      </w:pPr>
      <w:r>
        <w:rPr>
          <w:rFonts w:ascii="Times New Roman" w:cs="Times New Roman" w:eastAsia="Calibri" w:hAnsi="Times New Roman"/>
          <w:color w:val="000000"/>
          <w:sz w:val="28"/>
          <w:szCs w:val="28"/>
        </w:rPr>
        <w:t>2</w:t>
      </w:r>
      <w:r>
        <w:t xml:space="preserve"> </w:t>
      </w:r>
      <w:r>
        <w:rPr>
          <w:rFonts w:ascii="Times New Roman" w:cs="Times New Roman" w:hAnsi="Times New Roman"/>
          <w:color w:val="000000"/>
          <w:sz w:val="28"/>
          <w:szCs w:val="28"/>
        </w:rPr>
        <w:t>Оценка</w:t>
      </w:r>
      <w:r>
        <w:rPr>
          <w:rFonts w:ascii="Times New Roman" w:cs="Times New Roman" w:hAnsi="Times New Roman"/>
          <w:color w:val="000000"/>
          <w:sz w:val="28"/>
          <w:szCs w:val="28"/>
        </w:rPr>
        <w:t xml:space="preserve"> возможностей онлайн-торговли для российских экспортеров</w:t>
      </w:r>
      <w:r>
        <w:rPr>
          <w:rFonts w:ascii="Times New Roman" w:cs="Times New Roman" w:eastAsia="Calibri" w:hAnsi="Times New Roman"/>
          <w:color w:val="000000"/>
          <w:sz w:val="28"/>
          <w:szCs w:val="28"/>
        </w:rPr>
        <w:t>….....18</w:t>
      </w:r>
    </w:p>
    <w:p w14:paraId="00000011">
      <w:pPr>
        <w:shd w:val="clear" w:color="auto" w:fill="ffffff"/>
        <w:spacing w:after="0" w:line="360" w:lineRule="auto"/>
        <w:rPr>
          <w:rFonts w:ascii="Times New Roman" w:cs="Times New Roman" w:eastAsia="Calibri" w:hAnsi="Times New Roman"/>
          <w:color w:val="000000"/>
          <w:sz w:val="28"/>
          <w:szCs w:val="28"/>
        </w:rPr>
      </w:pPr>
      <w:r>
        <w:rPr>
          <w:rFonts w:ascii="Times New Roman" w:cs="Times New Roman" w:eastAsia="Calibri" w:hAnsi="Times New Roman"/>
          <w:color w:val="000000"/>
          <w:sz w:val="28"/>
          <w:szCs w:val="28"/>
        </w:rPr>
        <w:t xml:space="preserve">   2.1 </w:t>
      </w:r>
      <w:r>
        <w:rPr>
          <w:rFonts w:ascii="Times New Roman" w:cs="Times New Roman" w:hAnsi="Times New Roman"/>
          <w:color w:val="000000"/>
          <w:sz w:val="28"/>
          <w:szCs w:val="28"/>
        </w:rPr>
        <w:t>Анализ текущего состояния онлайн-экспорта российских компаний.Проблемы и пути их решения</w:t>
      </w:r>
      <w:r>
        <w:rPr>
          <w:rFonts w:ascii="Times New Roman" w:cs="Times New Roman" w:eastAsia="Calibri" w:hAnsi="Times New Roman"/>
          <w:color w:val="000000"/>
          <w:sz w:val="28"/>
          <w:szCs w:val="28"/>
        </w:rPr>
        <w:t>………………………………............18</w:t>
      </w:r>
    </w:p>
    <w:p w14:paraId="00000012">
      <w:pPr>
        <w:spacing w:after="0" w:line="360" w:lineRule="auto"/>
        <w:rPr>
          <w:rFonts w:ascii="Times New Roman" w:cs="Times New Roman" w:hAnsi="Times New Roman"/>
          <w:color w:val="000000" w:themeColor="text1"/>
          <w:sz w:val="28"/>
          <w:szCs w:val="28"/>
        </w:rPr>
      </w:pPr>
      <w:r>
        <w:rPr>
          <w:rFonts w:ascii="Times New Roman" w:cs="Times New Roman" w:eastAsia="Calibri" w:hAnsi="Times New Roman"/>
          <w:color w:val="000000"/>
          <w:sz w:val="28"/>
          <w:szCs w:val="28"/>
        </w:rPr>
        <w:t xml:space="preserve">   2.2 </w:t>
      </w:r>
      <w:r>
        <w:rPr>
          <w:rFonts w:ascii="Times New Roman" w:cs="Times New Roman" w:hAnsi="Times New Roman"/>
          <w:b w:val="off"/>
          <w:bCs w:val="off"/>
          <w:color w:val="000000"/>
          <w:sz w:val="28"/>
          <w:szCs w:val="32"/>
        </w:rPr>
        <w:t>Анализ деятельности российского экспортера в сфере онлайн-экспорта</w:t>
      </w:r>
      <w:r>
        <w:rPr>
          <w:rFonts w:ascii="Times New Roman" w:cs="Times New Roman" w:hAnsi="Times New Roman"/>
          <w:color w:val="000000" w:themeColor="text1"/>
          <w:sz w:val="28"/>
          <w:szCs w:val="28"/>
        </w:rPr>
        <w:t>....................................................................................................22</w:t>
      </w:r>
    </w:p>
    <w:p w14:paraId="00000013">
      <w:pPr>
        <w:spacing w:after="0" w:line="360" w:lineRule="auto"/>
        <w:rPr>
          <w:rFonts w:ascii="Times New Roman" w:cs="Times New Roman" w:eastAsia="Calibri" w:hAnsi="Times New Roman"/>
          <w:color w:val="000000"/>
          <w:sz w:val="28"/>
          <w:szCs w:val="28"/>
        </w:rPr>
      </w:pPr>
      <w:r>
        <w:rPr>
          <w:rFonts w:ascii="Times New Roman" w:cs="Times New Roman" w:eastAsia="Calibri" w:hAnsi="Times New Roman"/>
          <w:color w:val="000000"/>
          <w:sz w:val="28"/>
          <w:szCs w:val="28"/>
        </w:rPr>
        <w:t xml:space="preserve">   2.3 </w:t>
      </w:r>
      <w:r>
        <w:rPr>
          <w:rFonts w:ascii="Times New Roman" w:cs="Times New Roman" w:hAnsi="Times New Roman"/>
          <w:sz w:val="28"/>
          <w:szCs w:val="28"/>
        </w:rPr>
        <w:t>Разработка рекомендаций по оптимизации онлайн-экспорта для российских компаний</w:t>
      </w:r>
      <w:r>
        <w:rPr>
          <w:rFonts w:ascii="Times New Roman" w:cs="Times New Roman" w:eastAsia="Calibri" w:hAnsi="Times New Roman"/>
          <w:color w:val="000000"/>
          <w:sz w:val="28"/>
          <w:szCs w:val="28"/>
        </w:rPr>
        <w:t>…………………………………….............................…...28</w:t>
      </w:r>
    </w:p>
    <w:p w14:paraId="00000014">
      <w:pPr>
        <w:shd w:val="clear" w:color="auto" w:fill="ffffff"/>
        <w:spacing w:after="0" w:line="360" w:lineRule="auto"/>
        <w:rPr>
          <w:rFonts w:ascii="Times New Roman" w:cs="Times New Roman" w:eastAsia="Calibri" w:hAnsi="Times New Roman"/>
          <w:color w:val="000000"/>
          <w:sz w:val="28"/>
          <w:szCs w:val="28"/>
        </w:rPr>
      </w:pPr>
      <w:r>
        <w:rPr>
          <w:rFonts w:ascii="Times New Roman" w:cs="Times New Roman" w:eastAsia="Calibri" w:hAnsi="Times New Roman"/>
          <w:color w:val="000000"/>
          <w:sz w:val="28"/>
          <w:szCs w:val="28"/>
        </w:rPr>
        <w:t>Заключение</w:t>
      </w:r>
      <w:r>
        <w:rPr>
          <w:rFonts w:ascii="Times New Roman" w:cs="Times New Roman" w:eastAsia="Times New Roman" w:hAnsi="Times New Roman"/>
          <w:sz w:val="28"/>
          <w:szCs w:val="28"/>
        </w:rPr>
        <w:t>………………………</w:t>
      </w:r>
      <w:r>
        <w:rPr>
          <w:rFonts w:ascii="Times New Roman" w:cs="Times New Roman" w:eastAsia="Times New Roman" w:hAnsi="Times New Roman"/>
          <w:sz w:val="28"/>
          <w:szCs w:val="28"/>
        </w:rPr>
        <w:t>……………………………………………….30</w:t>
      </w:r>
    </w:p>
    <w:p w14:paraId="00000015">
      <w:pPr>
        <w:spacing w:line="360" w:lineRule="auto"/>
        <w:rPr>
          <w:rFonts w:ascii="Times New Roman" w:cs="Times New Roman" w:eastAsia="Calibri" w:hAnsi="Times New Roman"/>
        </w:rPr>
      </w:pPr>
      <w:r>
        <w:rPr>
          <w:rFonts w:ascii="Times New Roman" w:cs="Times New Roman" w:eastAsia="Calibri" w:hAnsi="Times New Roman"/>
          <w:color w:val="000000"/>
          <w:sz w:val="28"/>
          <w:szCs w:val="28"/>
        </w:rPr>
        <w:t>Список использованных источников</w:t>
      </w:r>
      <w:r>
        <w:rPr>
          <w:rFonts w:ascii="Times New Roman" w:cs="Times New Roman" w:eastAsia="Calibri" w:hAnsi="Times New Roman"/>
          <w:sz w:val="28"/>
          <w:szCs w:val="28"/>
        </w:rPr>
        <w:t>…………………………………………...31</w:t>
      </w:r>
    </w:p>
    <w:p w14:paraId="00000016">
      <w:r>
        <w:rPr/>
        <w:br w:type="page"/>
      </w:r>
    </w:p>
    <w:p w14:paraId="00000017">
      <w:pPr>
        <w:spacing w:after="0" w:line="360" w:lineRule="auto"/>
        <w:ind w:firstLine="709"/>
        <w:jc w:val="center"/>
        <w:rPr>
          <w:rFonts w:ascii="Times New Roman" w:cs="Times New Roman" w:hAnsi="Times New Roman"/>
          <w:b/>
          <w:bCs/>
          <w:sz w:val="28"/>
          <w:szCs w:val="28"/>
        </w:rPr>
      </w:pPr>
      <w:r>
        <w:rPr>
          <w:rFonts w:ascii="Times New Roman" w:cs="Times New Roman" w:hAnsi="Times New Roman"/>
          <w:b/>
          <w:bCs/>
          <w:sz w:val="28"/>
          <w:szCs w:val="28"/>
        </w:rPr>
        <w:t>ВВЕДЕНИЕ</w:t>
      </w:r>
    </w:p>
    <w:p w14:paraId="00000018">
      <w:pPr>
        <w:spacing w:after="0" w:line="360" w:lineRule="auto"/>
        <w:ind w:firstLine="709"/>
        <w:jc w:val="center"/>
        <w:rPr>
          <w:rFonts w:ascii="Times New Roman" w:cs="Times New Roman" w:hAnsi="Times New Roman"/>
          <w:b/>
          <w:bCs/>
          <w:sz w:val="28"/>
          <w:szCs w:val="28"/>
        </w:rPr>
      </w:pPr>
    </w:p>
    <w:p w14:paraId="00000019">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6"/>
        </w:rPr>
      </w:pPr>
      <w:r>
        <w:rPr>
          <w:rFonts w:ascii="Times New Roman" w:cs="Times New Roman" w:hAnsi="Times New Roman"/>
          <w:color w:val="000000"/>
          <w:sz w:val="28"/>
          <w:szCs w:val="26"/>
        </w:rPr>
        <w:t xml:space="preserve">В условиях стремительного развития цифровых технологий и </w:t>
      </w:r>
      <w:r>
        <w:rPr>
          <w:rFonts w:ascii="Times New Roman" w:cs="Times New Roman" w:hAnsi="Times New Roman"/>
          <w:color w:val="000000"/>
          <w:sz w:val="28"/>
          <w:szCs w:val="26"/>
        </w:rPr>
        <w:t xml:space="preserve">глобализации международной торговли всё более значимую роль начинает играть онлайн-экспорт как эффективный инструмент выхода российских компаний на зарубежные рынки. Онлайн-экспорт способствует расширению географии продаж, снижению транзакционных издержек </w:t>
      </w:r>
      <w:r>
        <w:rPr>
          <w:rFonts w:ascii="Times New Roman" w:cs="Times New Roman" w:hAnsi="Times New Roman"/>
          <w:color w:val="000000"/>
          <w:sz w:val="28"/>
          <w:szCs w:val="26"/>
        </w:rPr>
        <w:t>и повышению конкурентоспособности отечественных товаров и услуг на мировой арене.</w:t>
      </w:r>
    </w:p>
    <w:p w14:paraId="0000001A">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6"/>
        </w:rPr>
      </w:pPr>
      <w:r>
        <w:rPr>
          <w:rFonts w:ascii="Times New Roman" w:cs="Times New Roman" w:hAnsi="Times New Roman"/>
          <w:color w:val="000000"/>
          <w:sz w:val="28"/>
          <w:szCs w:val="26"/>
        </w:rPr>
        <w:t xml:space="preserve">Организационные модели онлайн-экспорта варьируются от использования собственных интернет-магазинов до работы через маркетплейсы и </w:t>
      </w:r>
      <w:r>
        <w:rPr>
          <w:rFonts w:ascii="Times New Roman" w:cs="Times New Roman" w:hAnsi="Times New Roman"/>
          <w:color w:val="000000"/>
          <w:sz w:val="28"/>
          <w:szCs w:val="26"/>
          <w:lang w:val="en-US"/>
        </w:rPr>
        <w:t>B</w:t>
      </w:r>
      <w:r>
        <w:rPr>
          <w:rFonts w:ascii="Times New Roman" w:cs="Times New Roman" w:hAnsi="Times New Roman"/>
          <w:color w:val="000000"/>
          <w:sz w:val="28"/>
          <w:szCs w:val="26"/>
        </w:rPr>
        <w:t>2</w:t>
      </w:r>
      <w:r>
        <w:rPr>
          <w:rFonts w:ascii="Times New Roman" w:cs="Times New Roman" w:hAnsi="Times New Roman"/>
          <w:color w:val="000000"/>
          <w:sz w:val="28"/>
          <w:szCs w:val="26"/>
          <w:lang w:val="en-US"/>
        </w:rPr>
        <w:t>B</w:t>
      </w:r>
      <w:r>
        <w:rPr>
          <w:rFonts w:ascii="Times New Roman" w:cs="Times New Roman" w:hAnsi="Times New Roman"/>
          <w:color w:val="000000"/>
          <w:sz w:val="28"/>
          <w:szCs w:val="26"/>
        </w:rPr>
        <w:t xml:space="preserve">-платформы, каждая из которых имеет свои </w:t>
      </w:r>
      <w:r>
        <w:rPr>
          <w:rFonts w:ascii="Times New Roman" w:cs="Times New Roman" w:hAnsi="Times New Roman"/>
          <w:color w:val="000000"/>
          <w:sz w:val="28"/>
          <w:szCs w:val="26"/>
        </w:rPr>
        <w:t>особенности, преимущества и ограничения. Данная курсовая работа посвящена анализу современных моделей онлайн-экспорта российских компаний, выявлению проблем и разработке рекомендаций по оптимизации экспортной деятельности в цифровой среде.</w:t>
      </w:r>
    </w:p>
    <w:p w14:paraId="0000001B">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6"/>
        </w:rPr>
      </w:pPr>
      <w:r>
        <w:rPr>
          <w:rFonts w:ascii="Times New Roman" w:cs="Times New Roman" w:hAnsi="Times New Roman"/>
          <w:color w:val="000000"/>
          <w:sz w:val="28"/>
          <w:szCs w:val="26"/>
        </w:rPr>
        <w:t>Актуальность тем</w:t>
      </w:r>
      <w:r>
        <w:rPr>
          <w:rFonts w:ascii="Times New Roman" w:cs="Times New Roman" w:hAnsi="Times New Roman"/>
          <w:color w:val="000000"/>
          <w:sz w:val="28"/>
          <w:szCs w:val="26"/>
        </w:rPr>
        <w:t>ы обусловлена быстрыми изменениями в международной коммерческой деятельности, ростом электронной торговли и необходимостью адаптации российских предприятий к новым условиям ведения бизнеса на зарубежных рынках. Кроме того, цифровизация экспортных процессов</w:t>
      </w:r>
      <w:r>
        <w:rPr>
          <w:rFonts w:ascii="Times New Roman" w:cs="Times New Roman" w:hAnsi="Times New Roman"/>
          <w:color w:val="000000"/>
          <w:sz w:val="28"/>
          <w:szCs w:val="26"/>
        </w:rPr>
        <w:t xml:space="preserve"> становится важным фактором повышения эффективности и устойчивости внешнеэкономической деятельности.</w:t>
      </w:r>
    </w:p>
    <w:p w14:paraId="0000001C">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6"/>
        </w:rPr>
      </w:pPr>
      <w:r>
        <w:rPr>
          <w:rFonts w:ascii="Times New Roman" w:cs="Times New Roman" w:hAnsi="Times New Roman"/>
          <w:color w:val="000000"/>
          <w:sz w:val="28"/>
          <w:szCs w:val="26"/>
        </w:rPr>
        <w:t>Целью курсовой работы является теоретическое обоснование возможностей</w:t>
      </w:r>
      <w:r>
        <w:rPr>
          <w:rFonts w:ascii="Times New Roman" w:cs="Times New Roman" w:hAnsi="Times New Roman"/>
          <w:color w:val="000000"/>
          <w:sz w:val="28"/>
          <w:szCs w:val="26"/>
        </w:rPr>
        <w:t xml:space="preserve"> онлайн-экспорта, а также разработка рекомендаций по их оптимиз</w:t>
      </w:r>
      <w:r>
        <w:rPr>
          <w:rFonts w:ascii="Times New Roman" w:cs="Times New Roman" w:hAnsi="Times New Roman"/>
          <w:color w:val="000000"/>
          <w:sz w:val="28"/>
          <w:szCs w:val="26"/>
        </w:rPr>
        <w:t xml:space="preserve">ации для </w:t>
      </w:r>
      <w:r>
        <w:rPr>
          <w:rFonts w:ascii="Times New Roman" w:cs="Times New Roman" w:hAnsi="Times New Roman"/>
          <w:color w:val="000000"/>
          <w:sz w:val="28"/>
          <w:szCs w:val="26"/>
        </w:rPr>
        <w:t xml:space="preserve">развития деятельности российских экспортеров </w:t>
      </w:r>
    </w:p>
    <w:p w14:paraId="0000001D">
      <w:pPr>
        <w:pBdr>
          <w:top w:val="none" w:sz="4" w:space="0"/>
          <w:left w:val="none" w:sz="4" w:space="0"/>
          <w:bottom w:val="none" w:sz="4" w:space="0"/>
          <w:right w:val="none" w:sz="4" w:space="0"/>
          <w:between w:val="none" w:sz="4" w:space="0"/>
          <w:bar w:val="none" w:sz="4" w:space="0"/>
        </w:pBdr>
        <w:spacing w:after="0" w:line="360" w:lineRule="auto"/>
        <w:ind w:left="-75" w:firstLine="709"/>
        <w:jc w:val="both"/>
        <w:rPr>
          <w:rFonts w:ascii="Times New Roman" w:cs="Times New Roman" w:hAnsi="Times New Roman"/>
          <w:color w:val="000000"/>
          <w:sz w:val="28"/>
          <w:szCs w:val="26"/>
        </w:rPr>
      </w:pPr>
      <w:r>
        <w:rPr>
          <w:rFonts w:ascii="Times New Roman" w:cs="Times New Roman" w:hAnsi="Times New Roman"/>
          <w:color w:val="000000"/>
          <w:sz w:val="28"/>
          <w:szCs w:val="26"/>
        </w:rPr>
        <w:t>Для достижения поставленной цели необходимо решить следующие задачи:</w:t>
      </w:r>
      <w:r>
        <w:rPr>
          <w:rFonts w:ascii="Times New Roman" w:cs="Times New Roman" w:hAnsi="Times New Roman"/>
          <w:color w:val="000000"/>
          <w:sz w:val="28"/>
          <w:szCs w:val="26"/>
        </w:rPr>
        <w:br w:type="textWrapping"/>
      </w:r>
      <w:r>
        <w:rPr>
          <w:rFonts w:ascii="Times New Roman" w:cs="Times New Roman" w:hAnsi="Times New Roman"/>
          <w:color w:val="000000"/>
          <w:sz w:val="28"/>
          <w:szCs w:val="26"/>
        </w:rPr>
        <w:tab/>
      </w:r>
      <w:r>
        <w:t xml:space="preserve">– </w:t>
      </w:r>
      <w:r>
        <w:rPr>
          <w:rFonts w:ascii="Times New Roman" w:cs="Times New Roman" w:hAnsi="Times New Roman"/>
          <w:color w:val="000000"/>
          <w:sz w:val="28"/>
          <w:szCs w:val="26"/>
        </w:rPr>
        <w:t xml:space="preserve"> изучить современные модели онлайн-экспорта и их ключевые характеристики;</w:t>
      </w:r>
      <w:r>
        <w:rPr>
          <w:rFonts w:ascii="Times New Roman" w:cs="Times New Roman" w:hAnsi="Times New Roman"/>
          <w:color w:val="000000"/>
          <w:sz w:val="28"/>
          <w:szCs w:val="26"/>
        </w:rPr>
        <w:br w:type="textWrapping"/>
      </w:r>
      <w:r>
        <w:rPr>
          <w:rFonts w:ascii="Times New Roman" w:cs="Times New Roman" w:hAnsi="Times New Roman"/>
          <w:color w:val="000000"/>
          <w:sz w:val="28"/>
          <w:szCs w:val="26"/>
        </w:rPr>
        <w:tab/>
      </w:r>
      <w:r>
        <w:t xml:space="preserve">–         </w:t>
      </w:r>
      <w:r>
        <w:rPr>
          <w:rFonts w:ascii="Times New Roman" w:cs="Times New Roman" w:hAnsi="Times New Roman"/>
          <w:color w:val="000000"/>
          <w:sz w:val="28"/>
          <w:szCs w:val="26"/>
        </w:rPr>
        <w:t xml:space="preserve">проанализировать </w:t>
      </w:r>
      <w:r>
        <w:rPr>
          <w:rFonts w:ascii="Times New Roman" w:cs="Times New Roman" w:hAnsi="Times New Roman"/>
          <w:color w:val="000000"/>
          <w:sz w:val="28"/>
          <w:szCs w:val="26"/>
        </w:rPr>
        <w:t xml:space="preserve">преимущества и вызовы для онлайн-экспортеров </w:t>
      </w:r>
      <w:r>
        <w:rPr>
          <w:rFonts w:ascii="Times New Roman" w:cs="Times New Roman" w:hAnsi="Times New Roman"/>
          <w:color w:val="000000"/>
          <w:sz w:val="28"/>
          <w:szCs w:val="26"/>
        </w:rPr>
        <w:t>;</w:t>
      </w:r>
      <w:r>
        <w:rPr>
          <w:rFonts w:ascii="Times New Roman" w:cs="Times New Roman" w:hAnsi="Times New Roman"/>
          <w:color w:val="000000"/>
          <w:sz w:val="28"/>
          <w:szCs w:val="26"/>
        </w:rPr>
        <w:br w:type="textWrapping"/>
      </w:r>
      <w:r>
        <w:rPr>
          <w:rFonts w:ascii="Times New Roman" w:cs="Times New Roman" w:hAnsi="Times New Roman"/>
          <w:color w:val="000000"/>
          <w:sz w:val="28"/>
          <w:szCs w:val="26"/>
        </w:rPr>
        <w:tab/>
      </w:r>
      <w:r>
        <w:t xml:space="preserve">–  </w:t>
      </w:r>
      <w:r>
        <w:rPr>
          <w:rFonts w:ascii="Times New Roman" w:cs="Times New Roman" w:hAnsi="Times New Roman"/>
          <w:sz w:val="28"/>
          <w:szCs w:val="28"/>
        </w:rPr>
        <w:t>п</w:t>
      </w:r>
      <w:r>
        <w:rPr>
          <w:rFonts w:ascii="Times New Roman" w:cs="Times New Roman" w:hAnsi="Times New Roman"/>
          <w:b w:val="off"/>
          <w:bCs w:val="off"/>
          <w:color w:val="000000"/>
          <w:sz w:val="28"/>
          <w:szCs w:val="32"/>
        </w:rPr>
        <w:t>роанализировать</w:t>
      </w:r>
      <w:r>
        <w:rPr>
          <w:rFonts w:ascii="Times New Roman" w:cs="Times New Roman" w:hAnsi="Times New Roman"/>
          <w:b w:val="off"/>
          <w:bCs w:val="off"/>
          <w:color w:val="000000"/>
          <w:sz w:val="28"/>
          <w:szCs w:val="32"/>
        </w:rPr>
        <w:t xml:space="preserve"> деятельность российского экспортера в сфере онлайн-экспорта</w:t>
      </w:r>
      <w:r>
        <w:rPr>
          <w:rFonts w:ascii="Times New Roman" w:cs="Times New Roman" w:hAnsi="Times New Roman"/>
          <w:b w:val="off"/>
          <w:bCs w:val="off"/>
          <w:color w:val="000000"/>
          <w:sz w:val="28"/>
          <w:szCs w:val="26"/>
        </w:rPr>
        <w:t xml:space="preserve"> </w:t>
      </w:r>
      <w:r>
        <w:rPr>
          <w:rFonts w:ascii="Times New Roman" w:cs="Times New Roman" w:hAnsi="Times New Roman"/>
          <w:color w:val="000000"/>
          <w:sz w:val="28"/>
          <w:szCs w:val="26"/>
        </w:rPr>
        <w:br w:type="textWrapping"/>
      </w:r>
      <w:r>
        <w:rPr>
          <w:rFonts w:ascii="Times New Roman" w:cs="Times New Roman" w:hAnsi="Times New Roman"/>
          <w:color w:val="000000"/>
          <w:sz w:val="28"/>
          <w:szCs w:val="26"/>
        </w:rPr>
        <w:tab/>
      </w:r>
      <w:r>
        <w:t xml:space="preserve">– </w:t>
      </w:r>
      <w:r>
        <w:rPr>
          <w:rFonts w:ascii="Times New Roman" w:cs="Times New Roman" w:hAnsi="Times New Roman"/>
          <w:color w:val="000000"/>
          <w:sz w:val="28"/>
          <w:szCs w:val="26"/>
        </w:rPr>
        <w:t xml:space="preserve">  выявить основные проблемы и барьеры развития онлайн-экспорта;</w:t>
      </w:r>
      <w:r>
        <w:rPr>
          <w:rFonts w:ascii="Times New Roman" w:cs="Times New Roman" w:hAnsi="Times New Roman"/>
          <w:color w:val="000000"/>
          <w:sz w:val="28"/>
          <w:szCs w:val="26"/>
        </w:rPr>
        <w:br w:type="textWrapping"/>
      </w:r>
      <w:r>
        <w:rPr>
          <w:rFonts w:ascii="Times New Roman" w:cs="Times New Roman" w:hAnsi="Times New Roman"/>
          <w:color w:val="000000"/>
          <w:sz w:val="28"/>
          <w:szCs w:val="26"/>
        </w:rPr>
        <w:tab/>
      </w:r>
      <w:r>
        <w:t xml:space="preserve">–   </w:t>
      </w:r>
      <w:r>
        <w:rPr>
          <w:rFonts w:ascii="Times New Roman" w:cs="Times New Roman" w:hAnsi="Times New Roman"/>
          <w:color w:val="000000"/>
          <w:sz w:val="28"/>
          <w:szCs w:val="26"/>
        </w:rPr>
        <w:t xml:space="preserve">   разработать рекомендации по оптимизации экспортной деятельности в цифрово</w:t>
      </w:r>
      <w:r>
        <w:rPr>
          <w:rFonts w:ascii="Times New Roman" w:cs="Times New Roman" w:hAnsi="Times New Roman"/>
          <w:color w:val="000000"/>
          <w:sz w:val="28"/>
          <w:szCs w:val="26"/>
        </w:rPr>
        <w:t xml:space="preserve">й среде.  </w:t>
      </w:r>
    </w:p>
    <w:p w14:paraId="0000001E">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360" w:lineRule="auto"/>
        <w:ind w:left="0" w:right="0" w:firstLine="0"/>
        <w:jc w:val="both"/>
        <w:rPr>
          <w:rFonts w:ascii="Times New Roman" w:cs="Times New Roman" w:hAnsi="Times New Roman"/>
          <w:color w:val="000000"/>
          <w:sz w:val="28"/>
          <w:szCs w:val="26"/>
        </w:rPr>
      </w:pPr>
      <w:r>
        <w:rPr>
          <w:rFonts w:ascii="Times New Roman" w:cs="Times New Roman" w:hAnsi="Times New Roman"/>
          <w:color w:val="000000"/>
          <w:sz w:val="28"/>
          <w:szCs w:val="26"/>
        </w:rPr>
        <w:t xml:space="preserve">Объектом исследования являются </w:t>
      </w:r>
      <w:r>
        <w:rPr>
          <w:rFonts w:ascii="Times New Roman" w:cs="Times New Roman" w:hAnsi="Times New Roman"/>
          <w:color w:val="000000"/>
          <w:sz w:val="28"/>
          <w:szCs w:val="28"/>
          <w:rtl w:val="off"/>
          <w:lang w:val="en-US"/>
        </w:rPr>
        <w:t>процессы и модели онлайн-торговли, используемые российскими экспортёрами в международной коммерческой деятельности.</w:t>
      </w:r>
      <w:r>
        <w:rPr>
          <w:rFonts w:ascii="Times New Roman" w:cs="Times New Roman" w:hAnsi="Times New Roman"/>
          <w:color w:val="000000"/>
          <w:sz w:val="28"/>
          <w:szCs w:val="28"/>
          <w:rtl w:val="off"/>
          <w:lang w:val="en-US"/>
        </w:rPr>
        <w:t xml:space="preserve"> </w:t>
        <w:tab/>
        <w:tab/>
        <w:tab/>
        <w:tab/>
        <w:tab/>
        <w:tab/>
        <w:tab/>
        <w:tab/>
        <w:tab/>
        <w:tab/>
      </w:r>
      <w:r>
        <w:rPr>
          <w:rFonts w:ascii="Times New Roman" w:cs="Times New Roman" w:hAnsi="Times New Roman"/>
          <w:color w:val="000000"/>
          <w:sz w:val="28"/>
          <w:szCs w:val="26"/>
        </w:rPr>
        <w:t xml:space="preserve">Предметом исследования выступают </w:t>
      </w:r>
      <w:r>
        <w:rPr>
          <w:rFonts w:ascii="Times New Roman" w:cs="Times New Roman" w:hAnsi="Times New Roman"/>
          <w:color w:val="000000"/>
          <w:sz w:val="28"/>
          <w:szCs w:val="28"/>
          <w:rtl w:val="off"/>
          <w:lang w:val="en-US"/>
        </w:rPr>
        <w:t>совокупность экономических и организационных отношений, формирующихся в процессе осуществления экспортных операций российскими компаниями с использованием онлайн-торговых платформ и цифровых инструментов</w:t>
      </w:r>
      <w:r>
        <w:rPr>
          <w:rFonts w:ascii="Times New Roman" w:cs="Times New Roman" w:hAnsi="Times New Roman"/>
          <w:color w:val="000000"/>
          <w:sz w:val="28"/>
          <w:szCs w:val="28"/>
          <w:rtl w:val="off"/>
          <w:lang w:val="en-US"/>
        </w:rPr>
        <w:t xml:space="preserve"> </w:t>
        <w:tab/>
        <w:tab/>
        <w:tab/>
        <w:tab/>
        <w:tab/>
      </w:r>
      <w:r>
        <w:rPr>
          <w:rFonts w:ascii="Times New Roman" w:cs="Times New Roman" w:hAnsi="Times New Roman"/>
          <w:color w:val="000000"/>
          <w:sz w:val="28"/>
          <w:szCs w:val="26"/>
        </w:rPr>
        <w:t xml:space="preserve">В работе использованы </w:t>
      </w:r>
      <w:r>
        <w:rPr>
          <w:rFonts w:ascii="Times New Roman" w:cs="Times New Roman" w:hAnsi="Times New Roman"/>
          <w:color w:val="000000"/>
          <w:sz w:val="28"/>
          <w:szCs w:val="26"/>
        </w:rPr>
        <w:t>методы системного и сравнительного анализа, синтеза, моделирования, а также анализ статистических и нормативных данных. В качестве информационной базы использованы научные публикации, отчёты аналитических агентств, нормативно-правовые акты и материалы цифр</w:t>
      </w:r>
      <w:r>
        <w:rPr>
          <w:rFonts w:ascii="Times New Roman" w:cs="Times New Roman" w:hAnsi="Times New Roman"/>
          <w:color w:val="000000"/>
          <w:sz w:val="28"/>
          <w:szCs w:val="26"/>
        </w:rPr>
        <w:t>овых платформ.</w:t>
      </w:r>
    </w:p>
    <w:p w14:paraId="0000001F">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6"/>
        </w:rPr>
      </w:pPr>
      <w:r>
        <w:rPr>
          <w:rFonts w:ascii="Times New Roman" w:cs="Times New Roman" w:hAnsi="Times New Roman"/>
          <w:color w:val="000000"/>
          <w:sz w:val="28"/>
          <w:szCs w:val="26"/>
        </w:rPr>
        <w:t>Курсовая работа состоит из введения, двух глав, заключения и списка использованных источников. Во введении обоснована актуальность темы, сформулированы цели и задачи исследования, указаны объект и предмет. Первая глава раскрывает теоретическ</w:t>
      </w:r>
      <w:r>
        <w:rPr>
          <w:rFonts w:ascii="Times New Roman" w:cs="Times New Roman" w:hAnsi="Times New Roman"/>
          <w:color w:val="000000"/>
          <w:sz w:val="28"/>
          <w:szCs w:val="26"/>
        </w:rPr>
        <w:t>ие основы,развитие онлайн-</w:t>
      </w:r>
      <w:r>
        <w:rPr>
          <w:rFonts w:ascii="Times New Roman" w:cs="Times New Roman" w:hAnsi="Times New Roman"/>
          <w:color w:val="000000"/>
          <w:sz w:val="28"/>
          <w:szCs w:val="26"/>
        </w:rPr>
        <w:t>торговли</w:t>
      </w:r>
      <w:r>
        <w:rPr>
          <w:rFonts w:ascii="Times New Roman" w:cs="Times New Roman" w:hAnsi="Times New Roman"/>
          <w:color w:val="000000"/>
          <w:sz w:val="28"/>
          <w:szCs w:val="26"/>
        </w:rPr>
        <w:t xml:space="preserve"> и современные модели онлайн-экспорта. Вторая глава посвящена практическому анализу, </w:t>
      </w:r>
      <w:r>
        <w:rPr>
          <w:rFonts w:ascii="Times New Roman" w:cs="Times New Roman" w:hAnsi="Times New Roman"/>
          <w:color w:val="000000"/>
          <w:sz w:val="28"/>
          <w:szCs w:val="26"/>
        </w:rPr>
        <w:t xml:space="preserve">включая </w:t>
      </w:r>
      <w:r>
        <w:rPr>
          <w:rFonts w:ascii="Times New Roman" w:cs="Times New Roman" w:hAnsi="Times New Roman"/>
          <w:color w:val="000000"/>
          <w:sz w:val="28"/>
          <w:szCs w:val="26"/>
        </w:rPr>
        <w:t>а</w:t>
      </w:r>
      <w:r>
        <w:rPr>
          <w:rFonts w:ascii="Times New Roman" w:cs="Times New Roman" w:hAnsi="Times New Roman"/>
          <w:color w:val="000000"/>
          <w:sz w:val="28"/>
          <w:szCs w:val="28"/>
        </w:rPr>
        <w:t>нализ текущего состояния онлайн-</w:t>
      </w:r>
      <w:r>
        <w:rPr>
          <w:rFonts w:ascii="Times New Roman" w:cs="Times New Roman" w:hAnsi="Times New Roman"/>
          <w:color w:val="000000"/>
          <w:sz w:val="28"/>
          <w:szCs w:val="28"/>
        </w:rPr>
        <w:t>торговли</w:t>
      </w:r>
      <w:r>
        <w:rPr>
          <w:rFonts w:ascii="Times New Roman" w:cs="Times New Roman" w:hAnsi="Times New Roman"/>
          <w:color w:val="000000"/>
          <w:sz w:val="28"/>
          <w:szCs w:val="28"/>
        </w:rPr>
        <w:t xml:space="preserve"> российских экспортеров</w:t>
      </w:r>
      <w:r>
        <w:rPr>
          <w:rFonts w:ascii="Times New Roman" w:cs="Times New Roman" w:hAnsi="Times New Roman"/>
          <w:color w:val="000000"/>
          <w:sz w:val="28"/>
          <w:szCs w:val="26"/>
        </w:rPr>
        <w:t xml:space="preserve">, </w:t>
      </w:r>
      <w:r>
        <w:rPr>
          <w:rFonts w:ascii="Times New Roman" w:cs="Times New Roman" w:hAnsi="Times New Roman"/>
          <w:color w:val="000000"/>
          <w:sz w:val="28"/>
          <w:szCs w:val="26"/>
        </w:rPr>
        <w:t>анализу российского экспортера</w:t>
      </w:r>
      <w:r>
        <w:rPr>
          <w:rFonts w:ascii="Times New Roman" w:cs="Times New Roman" w:hAnsi="Times New Roman"/>
          <w:color w:val="000000"/>
          <w:sz w:val="28"/>
          <w:szCs w:val="26"/>
        </w:rPr>
        <w:t xml:space="preserve"> и разработку рекомендаций по оптимизации. В заключении подведены итоги и сделаны выводы по резу</w:t>
      </w:r>
      <w:r>
        <w:rPr>
          <w:rFonts w:ascii="Times New Roman" w:cs="Times New Roman" w:hAnsi="Times New Roman"/>
          <w:color w:val="000000"/>
          <w:sz w:val="28"/>
          <w:szCs w:val="26"/>
        </w:rPr>
        <w:t>льтатам исследования.</w:t>
      </w:r>
    </w:p>
    <w:p w14:paraId="00000020">
      <w:pPr>
        <w:spacing w:after="0" w:line="360" w:lineRule="auto"/>
        <w:ind w:firstLine="709"/>
        <w:jc w:val="both"/>
        <w:rPr>
          <w:rFonts w:ascii="Times New Roman" w:cs="Times New Roman" w:hAnsi="Times New Roman"/>
          <w:color w:val="000000"/>
          <w:sz w:val="28"/>
          <w:szCs w:val="28"/>
        </w:rPr>
      </w:pPr>
    </w:p>
    <w:p w14:paraId="00000021">
      <w:pPr>
        <w:spacing w:before="100" w:after="100" w:line="240" w:lineRule="auto"/>
        <w:jc w:val="both"/>
        <w:rPr>
          <w:rFonts w:ascii="Times New Roman" w:cs="Times New Roman" w:hAnsi="Times New Roman"/>
          <w:b/>
          <w:bCs/>
          <w:color w:val="000000"/>
          <w:sz w:val="28"/>
          <w:szCs w:val="28"/>
        </w:rPr>
      </w:pPr>
    </w:p>
    <w:p w14:paraId="00000022">
      <w:pPr>
        <w:spacing w:before="100" w:after="100" w:line="240" w:lineRule="auto"/>
        <w:jc w:val="both"/>
        <w:rPr>
          <w:rFonts w:ascii="Times New Roman" w:cs="Times New Roman" w:hAnsi="Times New Roman"/>
          <w:b/>
          <w:bCs/>
          <w:color w:val="000000"/>
          <w:sz w:val="28"/>
          <w:szCs w:val="28"/>
        </w:rPr>
      </w:pPr>
    </w:p>
    <w:p w14:paraId="00000023">
      <w:pPr>
        <w:spacing w:before="100" w:after="100" w:line="240" w:lineRule="auto"/>
        <w:jc w:val="both"/>
        <w:rPr>
          <w:rFonts w:ascii="Times New Roman" w:cs="Times New Roman" w:hAnsi="Times New Roman"/>
          <w:b/>
          <w:bCs/>
          <w:color w:val="000000"/>
          <w:sz w:val="28"/>
          <w:szCs w:val="28"/>
        </w:rPr>
      </w:pPr>
    </w:p>
    <w:p w14:paraId="00000024">
      <w:pPr>
        <w:spacing w:after="0" w:line="360" w:lineRule="auto"/>
        <w:ind w:firstLine="709"/>
        <w:jc w:val="both"/>
        <w:rPr>
          <w:rFonts w:ascii="Times New Roman" w:cs="Times New Roman" w:hAnsi="Times New Roman"/>
          <w:b/>
          <w:bCs/>
          <w:sz w:val="28"/>
          <w:szCs w:val="28"/>
        </w:rPr>
      </w:pPr>
    </w:p>
    <w:p w14:paraId="00000025">
      <w:pPr>
        <w:spacing w:after="0" w:line="360" w:lineRule="auto"/>
        <w:ind w:firstLine="709"/>
        <w:jc w:val="both"/>
        <w:rPr>
          <w:rFonts w:ascii="Times New Roman" w:cs="Times New Roman" w:hAnsi="Times New Roman"/>
          <w:b/>
          <w:bCs/>
          <w:sz w:val="28"/>
          <w:szCs w:val="28"/>
        </w:rPr>
      </w:pPr>
      <w:r>
        <w:rPr>
          <w:rFonts w:ascii="Times New Roman" w:cs="Times New Roman" w:hAnsi="Times New Roman"/>
          <w:b/>
          <w:bCs/>
          <w:sz w:val="28"/>
          <w:szCs w:val="28"/>
        </w:rPr>
        <w:t>1 Теоретические основы онлайн-торговли в международном бизнесе</w:t>
      </w:r>
    </w:p>
    <w:p w14:paraId="00000026">
      <w:pPr>
        <w:spacing w:after="0" w:line="360" w:lineRule="auto"/>
        <w:ind w:firstLine="709"/>
        <w:jc w:val="both"/>
        <w:rPr>
          <w:rFonts w:ascii="Times New Roman" w:cs="Times New Roman" w:hAnsi="Times New Roman"/>
          <w:b/>
          <w:bCs/>
          <w:sz w:val="28"/>
          <w:szCs w:val="28"/>
        </w:rPr>
      </w:pPr>
    </w:p>
    <w:p w14:paraId="00000027">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b/>
          <w:bCs/>
          <w:sz w:val="32"/>
          <w:szCs w:val="32"/>
        </w:rPr>
      </w:pPr>
      <w:r>
        <w:rPr>
          <w:rFonts w:ascii="Times New Roman" w:cs="Times New Roman" w:hAnsi="Times New Roman"/>
          <w:b/>
          <w:bCs/>
          <w:sz w:val="28"/>
          <w:szCs w:val="28"/>
        </w:rPr>
        <w:t xml:space="preserve"> 1.1 Сущность и развитие онлайн-торговли в международном бизнесе</w:t>
      </w:r>
    </w:p>
    <w:p w14:paraId="00000028">
      <w:pPr>
        <w:pBdr>
          <w:top w:val="none" w:sz="4" w:space="0"/>
          <w:left w:val="none" w:sz="4" w:space="0"/>
          <w:bottom w:val="none" w:sz="4" w:space="0"/>
          <w:right w:val="none" w:sz="4" w:space="0"/>
          <w:between w:val="none" w:sz="4" w:space="0"/>
          <w:bar w:val="none" w:sz="4" w:space="0"/>
        </w:pBdr>
        <w:spacing w:after="0" w:line="360" w:lineRule="auto"/>
        <w:ind w:firstLine="709"/>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14:paraId="00000029">
      <w:pP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Онлайн-торговля, или электронная коммерция (e-commerce), представляет собой процесс купли-продажи товаров и услуг с использованием информационно-коммуникационных технологий и глобальной сети Интернет. В международном бизнесе онлайн-торговля выступает как и</w:t>
      </w:r>
      <w:r>
        <w:rPr>
          <w:rFonts w:ascii="Times New Roman" w:cs="Times New Roman" w:hAnsi="Times New Roman"/>
          <w:color w:val="000000"/>
          <w:sz w:val="28"/>
          <w:szCs w:val="28"/>
        </w:rPr>
        <w:t>нновационный канал реализации продукции, позволяющий компаниям преодолевать географические и административные барьеры, выходить на новые рынки и оптимизировать бизнес-процессы. Основное отличие электронной коммерции от традиционной торговли заключается в ц</w:t>
      </w:r>
      <w:r>
        <w:rPr>
          <w:rFonts w:ascii="Times New Roman" w:cs="Times New Roman" w:hAnsi="Times New Roman"/>
          <w:color w:val="000000"/>
          <w:sz w:val="28"/>
          <w:szCs w:val="28"/>
        </w:rPr>
        <w:t>ифровом формате взаимодействия между продавцом и покупателем, что обеспечивает круглосуточный доступ к торговым площадкам, автоматизацию операций и снижение транзакционных издержек [3].</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t>Сущность онлайн-торговли заключается в интеграции различных биз</w:t>
      </w:r>
      <w:r>
        <w:rPr>
          <w:rFonts w:ascii="Times New Roman" w:cs="Times New Roman" w:hAnsi="Times New Roman"/>
          <w:color w:val="000000"/>
          <w:sz w:val="28"/>
          <w:szCs w:val="28"/>
        </w:rPr>
        <w:t>нес-процессов – от маркетинга и продаж до логистики и обслуживания клиентов – с помощью цифровых платформ и сервисов. Это позволяет компаниям не только расширять клиентскую базу за счет выхода на международные рынки, но и быстро адаптироваться к изменениям</w:t>
      </w:r>
      <w:r>
        <w:rPr>
          <w:rFonts w:ascii="Times New Roman" w:cs="Times New Roman" w:hAnsi="Times New Roman"/>
          <w:color w:val="000000"/>
          <w:sz w:val="28"/>
          <w:szCs w:val="28"/>
        </w:rPr>
        <w:t xml:space="preserve"> спроса, используя данные аналитики и обратную связь в реальном времени. </w:t>
      </w:r>
    </w:p>
    <w:p w14:paraId="0000002A">
      <w:pP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Для российских экспортеров онлайн-торговля открывает новые возможности</w:t>
      </w:r>
      <w:r>
        <w:rPr>
          <w:rFonts w:ascii="Times New Roman" w:cs="Times New Roman" w:hAnsi="Times New Roman"/>
          <w:color w:val="000000"/>
          <w:sz w:val="28"/>
          <w:szCs w:val="28"/>
        </w:rPr>
        <w:tab/>
        <w:t>диверсификации рынков сбыта, повышения конкурентоспособности и устойчивости бизнеса в условиях глобальной эконо</w:t>
      </w:r>
      <w:r>
        <w:rPr>
          <w:rFonts w:ascii="Times New Roman" w:cs="Times New Roman" w:hAnsi="Times New Roman"/>
          <w:color w:val="000000"/>
          <w:sz w:val="28"/>
          <w:szCs w:val="28"/>
        </w:rPr>
        <w:t>мики.</w:t>
      </w:r>
      <w:r>
        <w:rPr>
          <w:rFonts w:ascii="Times New Roman" w:cs="Times New Roman" w:hAnsi="Times New Roman"/>
          <w:color w:val="000000"/>
          <w:sz w:val="28"/>
          <w:szCs w:val="28"/>
        </w:rPr>
        <w:tab/>
      </w:r>
    </w:p>
    <w:p w14:paraId="0000002B">
      <w:pP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Развитие онлайн-торговли прошло несколько ключевых этапов, каждый из которых характеризуется внедрением новых технологий, расширением функционала и изменением форм взаимодействия между продавцами и покупателями. </w:t>
      </w:r>
    </w:p>
    <w:p w14:paraId="0000002C">
      <w:pP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Рассмотрим эти этапы более подробно:</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14:paraId="0000002D">
      <w:pPr>
        <w:pStyle w:val="BodyTextIndent"/>
        <w:rPr/>
      </w:pPr>
      <w:r>
        <w:t xml:space="preserve">1. Ранний этап: 1960–1970-е годы – автоматизация бизнес-процессов и электронный обмен данными (EDI)  . Первые шаги в развитии электронной коммерции были сделаны в 1960-х годах, когда компании начали использовать электронные системы для обмена деловой </w:t>
      </w:r>
      <w:r>
        <w:t xml:space="preserve">информацией. Одной из первых таких систем стал Electronic Data Interchange (EDI) – стандарт для обмена коммерческими документами (заказами, счетами, накладными) в электронном виде. EDI позволил автоматизировать многие бизнес-процессы, такие как управление </w:t>
      </w:r>
      <w:r>
        <w:t xml:space="preserve">запасами и обработка заказов, что значительно повысило эффективность работы компаний и ускорило деловые операции, устранив необходимость в бумажных документах и ручной обработке данных.      </w:t>
      </w:r>
      <w:r>
        <w:tab/>
      </w:r>
      <w:r>
        <w:tab/>
        <w:t xml:space="preserve">В 1970-х годах банки начали предоставлять услуги дистанционных </w:t>
      </w:r>
      <w:r>
        <w:t>финансовых операций по телефону и компьютеру, что стало прообразом современных онлайн-платежей. В 1979 году Майкл Олдрич продемонстрировал первую систему онлайн-покупок, а в 1981 году в Великобритании была создана Thomson Holidays UK – первая система онлай</w:t>
      </w:r>
      <w:r>
        <w:t xml:space="preserve">н-шоппинга для бизнеса, позволяющая заказывать услуги удаленно.   </w:t>
      </w:r>
      <w:r>
        <w:tab/>
      </w:r>
      <w:r>
        <w:tab/>
        <w:t>2. Промежуточный этап: 1980-е годы – развитие телеторговли и систем предшественников интернета. В 1980-х годах появились первые системы, которые можно считать предшественниками современног</w:t>
      </w:r>
      <w:r>
        <w:t xml:space="preserve">о интернета и онлайн-торговли.                     </w:t>
      </w:r>
      <w:r>
        <w:tab/>
      </w:r>
      <w:r>
        <w:tab/>
      </w:r>
      <w:r>
        <w:tab/>
      </w:r>
      <w:r>
        <w:tab/>
      </w:r>
      <w:r>
        <w:tab/>
      </w:r>
      <w:r>
        <w:tab/>
      </w:r>
      <w:r>
        <w:tab/>
      </w:r>
      <w:r>
        <w:tab/>
      </w:r>
      <w:r>
        <w:tab/>
        <w:t>Во Франции в 1982 году была запущена система Minitel – электронный сервис, предоставлявший доступ к каталогам товаров и услуг, позволяющий пользователям делать заказы через терминалы, подключённые</w:t>
      </w:r>
      <w:r>
        <w:t xml:space="preserve"> к телефонной сети. Minitel стал одной из первых массовых систем онлайн-заказов и оказал значительное влияние на развитие электронной коммерции.       </w:t>
      </w:r>
      <w:r>
        <w:tab/>
      </w:r>
      <w:r>
        <w:tab/>
      </w:r>
      <w:r>
        <w:tab/>
      </w:r>
      <w:r>
        <w:tab/>
        <w:t>Также в этот период почтовые заказы и каталоги стали популярным способом совершения покупок на рассто</w:t>
      </w:r>
      <w:r>
        <w:t xml:space="preserve">янии: покупатели получали информацию о товарах, а заказы оформляли по телефону или почте. Это создало предпосылки для дальнейшего перехода к цифровым каналам продаж.           </w:t>
      </w:r>
      <w:r>
        <w:tab/>
        <w:t>3. Ключевой этап: 1990-е годы – появление интернета и первых интернет-магазинов</w:t>
      </w:r>
      <w:r>
        <w:t xml:space="preserve">.Настоящий прорыв в развитии онлайн-торговли произошёл с появлением интернета, открытого для широкой публики в 1991 году. Интернет предоставил новую платформу для коммерческой деятельности, позволив создавать виртуальные магазины и маркетплейсы с доступом </w:t>
      </w:r>
      <w:r>
        <w:t>к глобальной аудитории.  В 1995 году были основаны такие крупные интернет-компании, как Amazon и eBay, которые заложили фундамент современной электронной коммерции [8]</w:t>
      </w:r>
      <w:r>
        <w:tab/>
        <w:t>.</w:t>
      </w:r>
      <w:r>
        <w:tab/>
      </w:r>
      <w:r>
        <w:tab/>
      </w:r>
      <w:r>
        <w:tab/>
      </w:r>
      <w:r>
        <w:tab/>
      </w:r>
      <w:r>
        <w:tab/>
      </w:r>
      <w:r>
        <w:tab/>
        <w:t>Amazon начал с продажи книг и быстро расширил ассортимент, а eBay предложил модель он</w:t>
      </w:r>
      <w:r>
        <w:t>лайн-аукциона, ставшую популярной по всему миру. В России в 1998 году появился маркетплейс Ozon, ставший одним из первых отечественных интернет-магазинов. В этот период также началось активное развитие платежных систем и технологий безопасности, что способ</w:t>
      </w:r>
      <w:r>
        <w:t xml:space="preserve">ствовало росту доверия потребителей к онлайн-покупкам                       </w:t>
      </w:r>
      <w:r>
        <w:tab/>
      </w:r>
      <w:r>
        <w:tab/>
      </w:r>
      <w:r>
        <w:tab/>
      </w:r>
      <w:r>
        <w:tab/>
        <w:t xml:space="preserve"> 4. Современный этап: 2000-е – настоящее время – массовое распространение и интеграция цифровых технологий. В 2000-х годах электронная коммерция получила мощное развитие благод</w:t>
      </w:r>
      <w:r>
        <w:t xml:space="preserve">аря распространению широкополосного интернета, мобильных устройств и социальных сетей. Появились и получили широкое распространение глобальные платежные системы, такие как PayPal, обеспечивающие удобные и безопасные онлайн-платежи [11].                    </w:t>
      </w:r>
      <w:r>
        <w:tab/>
      </w:r>
      <w:r>
        <w:tab/>
      </w:r>
      <w:r>
        <w:tab/>
      </w:r>
      <w:r>
        <w:tab/>
      </w:r>
      <w:r>
        <w:tab/>
      </w:r>
      <w:r>
        <w:tab/>
      </w:r>
      <w:r>
        <w:tab/>
      </w:r>
      <w:r>
        <w:tab/>
        <w:t>Современный этап характеризуется высокой степенью интеграции электронной коммерции с другими бизнес-процессами: автоматизацией маркетинга, логистики, управления запасами, клиентского сервиса. Появились новые форматы – маркетплейсы, мобильные приложения,</w:t>
      </w:r>
      <w:r>
        <w:t xml:space="preserve"> социальная коммерция (social commerce), омниканальные продажи. Для российских компаний этот этап ознаменовался активным выходом на международные платформы и использованием цифровых инструментов для расширения экспортной деятельности. </w:t>
      </w:r>
      <w:r>
        <w:tab/>
      </w:r>
      <w:r>
        <w:tab/>
      </w:r>
      <w:r>
        <w:tab/>
      </w:r>
      <w:r>
        <w:tab/>
      </w:r>
    </w:p>
    <w:p w14:paraId="0000002E">
      <w:pPr>
        <w:spacing w:after="0" w:line="360" w:lineRule="auto"/>
        <w:ind w:firstLine="709"/>
        <w:jc w:val="both"/>
        <w:rPr>
          <w:rFonts w:ascii="Times New Roman" w:cs="Times New Roman" w:hAnsi="Times New Roman"/>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Электронная ком</w:t>
      </w:r>
      <w:r>
        <w:rPr>
          <w:rFonts w:ascii="Times New Roman" w:cs="Times New Roman" w:hAnsi="Times New Roman"/>
          <w:color w:val="000000"/>
          <w:sz w:val="28"/>
          <w:szCs w:val="28"/>
        </w:rPr>
        <w:t>мерция стала неотъемлемой частью стратегии развития многих предприятий, позволяя быстро адаптироваться к изменяющимся условиям рынка и увеличивать конкурентоспособность.Таким образом, развитие онлайн-торговли прошло путь от простых систем электронного обме</w:t>
      </w:r>
      <w:r>
        <w:rPr>
          <w:rFonts w:ascii="Times New Roman" w:cs="Times New Roman" w:hAnsi="Times New Roman"/>
          <w:color w:val="000000"/>
          <w:sz w:val="28"/>
          <w:szCs w:val="28"/>
        </w:rPr>
        <w:t>на данными и телеторговли до глобальных цифровых платформ, которые сегодня формируют основу международного бизнеса и открывают новые возможности</w:t>
      </w:r>
      <w:r>
        <w:rPr>
          <w:rFonts w:ascii="Times New Roman" w:cs="Times New Roman" w:hAnsi="Times New Roman"/>
          <w:color w:val="000000"/>
          <w:sz w:val="28"/>
          <w:szCs w:val="28"/>
        </w:rPr>
        <w:tab/>
        <w:t>для</w:t>
      </w:r>
      <w:r>
        <w:rPr>
          <w:rFonts w:ascii="Times New Roman" w:cs="Times New Roman" w:hAnsi="Times New Roman"/>
          <w:color w:val="000000"/>
          <w:sz w:val="28"/>
          <w:szCs w:val="28"/>
        </w:rPr>
        <w:tab/>
        <w:t>российских</w:t>
      </w:r>
      <w:r>
        <w:rPr>
          <w:rFonts w:ascii="Times New Roman" w:cs="Times New Roman" w:hAnsi="Times New Roman"/>
          <w:color w:val="000000"/>
          <w:sz w:val="28"/>
          <w:szCs w:val="28"/>
        </w:rPr>
        <w:tab/>
      </w:r>
      <w:r>
        <w:rPr>
          <w:rFonts w:ascii="Times New Roman" w:cs="Times New Roman" w:hAnsi="Times New Roman"/>
          <w:color w:val="000000"/>
          <w:sz w:val="28"/>
          <w:szCs w:val="28"/>
        </w:rPr>
        <w:tab/>
        <w:t xml:space="preserve">экспортеров.                                                                                   </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ab/>
        <w:t>Развитие онлайн-торговли тесно связано с прогрессом в области информационных технологий: широким распространением интернета, мобильных устройств, цифровых платежных систем и облачных сервисов. Эти технологии обеспечивают удоб</w:t>
      </w:r>
      <w:r>
        <w:rPr>
          <w:rFonts w:ascii="Times New Roman" w:cs="Times New Roman" w:hAnsi="Times New Roman"/>
          <w:color w:val="000000"/>
          <w:sz w:val="28"/>
          <w:szCs w:val="28"/>
        </w:rPr>
        <w:t xml:space="preserve">ство, скорость и безопасность сделок, а также позволяют компаниям собирать и анализировать большие объемы данных о поведении потребителей, что способствует более точному таргетированию и персонализации предложений.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t>Институциональные меры т</w:t>
      </w:r>
      <w:r>
        <w:rPr>
          <w:rFonts w:ascii="Times New Roman" w:cs="Times New Roman" w:hAnsi="Times New Roman"/>
          <w:color w:val="000000"/>
          <w:sz w:val="28"/>
          <w:szCs w:val="28"/>
        </w:rPr>
        <w:t>акже сыграли важную роль в развитии электронной коммерции. Например, в 1998 году Всемирная торговая организация (ВТО) приняла решение освободить от таможенных пошлин данные и программные продукты, приобретенные через интернет, что стимулировало рост междун</w:t>
      </w:r>
      <w:r>
        <w:rPr>
          <w:rFonts w:ascii="Times New Roman" w:cs="Times New Roman" w:hAnsi="Times New Roman"/>
          <w:color w:val="000000"/>
          <w:sz w:val="28"/>
          <w:szCs w:val="28"/>
        </w:rPr>
        <w:t>ародной онлайн-торговли[12].</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t xml:space="preserve">В ряде стран, включая США, были введены моратории на налогообложение интернет-продаж, что создало благоприятные условия для развития электронной коммерции.    В России развитие онлайн-торговли сопровождалось появлением первых </w:t>
      </w:r>
      <w:r>
        <w:rPr>
          <w:rFonts w:ascii="Times New Roman" w:cs="Times New Roman" w:hAnsi="Times New Roman"/>
          <w:color w:val="000000"/>
          <w:sz w:val="28"/>
          <w:szCs w:val="28"/>
        </w:rPr>
        <w:t>систем интернет-банкинга (например, «Интернет Сервис Банк» в 1998 году) и постепенным формированием законодательной базы, регулирующей электронные сделки и защиту прав потребителей в цифровой среде.   Онлайн-торговля сегодня играет ключевую роль в междунар</w:t>
      </w:r>
      <w:r>
        <w:rPr>
          <w:rFonts w:ascii="Times New Roman" w:cs="Times New Roman" w:hAnsi="Times New Roman"/>
          <w:color w:val="000000"/>
          <w:sz w:val="28"/>
          <w:szCs w:val="28"/>
        </w:rPr>
        <w:t xml:space="preserve">одном бизнесе, кардинально меняя традиционные модели экспорта и расширяя возможности российских компаний на глобальном рынке.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t xml:space="preserve">В последние годы объем мировой электронной коммерции стремительно </w:t>
      </w:r>
      <w:r>
        <w:rPr>
          <w:rFonts w:ascii="Times New Roman" w:cs="Times New Roman" w:hAnsi="Times New Roman"/>
          <w:color w:val="000000"/>
          <w:sz w:val="28"/>
          <w:szCs w:val="28"/>
        </w:rPr>
        <w:t>растет: по прогнозам, к 2025 году он дос</w:t>
      </w:r>
      <w:r>
        <w:rPr>
          <w:rFonts w:ascii="Times New Roman" w:cs="Times New Roman" w:hAnsi="Times New Roman"/>
          <w:color w:val="000000"/>
          <w:sz w:val="28"/>
          <w:szCs w:val="28"/>
        </w:rPr>
        <w:t>тигнет порядка 7,4 триллиона долларов, что составит около  всех розничных продаж в мире. Для российских экспортеров это открывает уникальные перспективы, позволяя напрямую выходить на зарубежных потребителей без необходимости создания сложной физической ин</w:t>
      </w:r>
      <w:r>
        <w:rPr>
          <w:rFonts w:ascii="Times New Roman" w:cs="Times New Roman" w:hAnsi="Times New Roman"/>
          <w:color w:val="000000"/>
          <w:sz w:val="28"/>
          <w:szCs w:val="28"/>
        </w:rPr>
        <w:t xml:space="preserve">фраструктуры за рубежом [6].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t>Одним из главных преимуществ онлайн-торговли является возможность быстро и эффективно расширять географию продаж. Российские компании могут предлагать свои товары и услуги на международных маркетплейсах и через собс</w:t>
      </w:r>
      <w:r>
        <w:rPr>
          <w:rFonts w:ascii="Times New Roman" w:cs="Times New Roman" w:hAnsi="Times New Roman"/>
          <w:color w:val="000000"/>
          <w:sz w:val="28"/>
          <w:szCs w:val="28"/>
        </w:rPr>
        <w:t>твенные интернет-платформы, что снижает барьеры входа на новые рынки и уменьшает затраты, связанные с традиционными методами экспорта.</w:t>
      </w:r>
      <w:r>
        <w:rPr>
          <w:rFonts w:ascii="Times New Roman" w:cs="Times New Roman" w:hAnsi="Times New Roman"/>
          <w:color w:val="000000"/>
          <w:sz w:val="28"/>
          <w:szCs w:val="28"/>
        </w:rPr>
        <w:tab/>
        <w:t xml:space="preserve">При этом онлайн-каналы позволяют оперативно реагировать на изменения спроса, адаптировать ассортимент и ценовую политику </w:t>
      </w:r>
      <w:r>
        <w:rPr>
          <w:rFonts w:ascii="Times New Roman" w:cs="Times New Roman" w:hAnsi="Times New Roman"/>
          <w:color w:val="000000"/>
          <w:sz w:val="28"/>
          <w:szCs w:val="28"/>
        </w:rPr>
        <w:t xml:space="preserve">под конкретные рынки, что повышает конкурентоспособность.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t>Важным аспектом является интеграция онлайн-торговли с современными логистическими решениями. По данным исследований, именно логистика становится ключевым фактором успеха в международной элек</w:t>
      </w:r>
      <w:r>
        <w:rPr>
          <w:rFonts w:ascii="Times New Roman" w:cs="Times New Roman" w:hAnsi="Times New Roman"/>
          <w:color w:val="000000"/>
          <w:sz w:val="28"/>
          <w:szCs w:val="28"/>
        </w:rPr>
        <w:t>тронной коммерции, обеспечивая быструю и надежную доставку товаров, гибкие условия получения и возврата заказов. Для российских экспортеров это означает необходимость развития партнерств с международными курьерскими службами и оптимизации цепочек поставок,</w:t>
      </w:r>
      <w:r>
        <w:rPr>
          <w:rFonts w:ascii="Times New Roman" w:cs="Times New Roman" w:hAnsi="Times New Roman"/>
          <w:color w:val="000000"/>
          <w:sz w:val="28"/>
          <w:szCs w:val="28"/>
        </w:rPr>
        <w:t xml:space="preserve"> что позволяет повысить уровень сервиса и удовлетворенность зарубежных клиентов.   Кроме того, рост онлайн-торговли способствует цифровой трансформации бизнеса в России [13].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t>Многие компании внедряют искусственный интеллект, анал</w:t>
      </w:r>
      <w:r>
        <w:rPr>
          <w:rFonts w:ascii="Times New Roman" w:cs="Times New Roman" w:hAnsi="Times New Roman"/>
          <w:color w:val="000000"/>
          <w:sz w:val="28"/>
          <w:szCs w:val="28"/>
        </w:rPr>
        <w:t>итику больших данных и автоматизацию процессов, что позволяет более точно прогнозировать спрос, персонализировать предложения и улучшать взаимодействие с клиентами. Такие технологии особенно важны для выхода на международные рынки, где потребители предъявл</w:t>
      </w:r>
      <w:r>
        <w:rPr>
          <w:rFonts w:ascii="Times New Roman" w:cs="Times New Roman" w:hAnsi="Times New Roman"/>
          <w:color w:val="000000"/>
          <w:sz w:val="28"/>
          <w:szCs w:val="28"/>
        </w:rPr>
        <w:t xml:space="preserve">яют высокие требования к качеству сервиса и скорости обслуживания.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t xml:space="preserve">Российский рынок электронной коммерции также демонстрирует </w:t>
      </w:r>
      <w:r>
        <w:rPr>
          <w:rFonts w:ascii="Times New Roman" w:cs="Times New Roman" w:hAnsi="Times New Roman"/>
          <w:color w:val="000000"/>
          <w:sz w:val="28"/>
          <w:szCs w:val="28"/>
        </w:rPr>
        <w:t>высокие темпы роста – по данным Data Insight, динамика роста онлайн-продаж в России составляет около 36%, а к конц</w:t>
      </w:r>
      <w:r>
        <w:rPr>
          <w:rFonts w:ascii="Times New Roman" w:cs="Times New Roman" w:hAnsi="Times New Roman"/>
          <w:color w:val="000000"/>
          <w:sz w:val="28"/>
          <w:szCs w:val="28"/>
        </w:rPr>
        <w:t xml:space="preserve">у 2024 года объем рынка может превысить 10 триллионов рублей. Это создает благоприятные условия для экспортеров, которые могут использовать внутренние успехи для выхода на зарубежные площадки. При этом важным трендом становится омниканальность – сочетание </w:t>
      </w:r>
      <w:r>
        <w:rPr>
          <w:rFonts w:ascii="Times New Roman" w:cs="Times New Roman" w:hAnsi="Times New Roman"/>
          <w:color w:val="000000"/>
          <w:sz w:val="28"/>
          <w:szCs w:val="28"/>
        </w:rPr>
        <w:t xml:space="preserve">онлайн и офлайн-каналов, что позволяет компаниям формировать более устойчивые и гибкие бизнес-модели.     </w:t>
      </w:r>
      <w:r>
        <w:rPr>
          <w:rFonts w:ascii="Times New Roman" w:cs="Times New Roman" w:hAnsi="Times New Roman"/>
          <w:color w:val="000000"/>
          <w:sz w:val="28"/>
          <w:szCs w:val="28"/>
        </w:rPr>
        <w:tab/>
        <w:t>Международное сотрудничество и нормативно-правовые инициативы также играют значительную роль. В 2024 году 91 страна договорилась о продлении моратори</w:t>
      </w:r>
      <w:r>
        <w:rPr>
          <w:rFonts w:ascii="Times New Roman" w:cs="Times New Roman" w:hAnsi="Times New Roman"/>
          <w:color w:val="000000"/>
          <w:sz w:val="28"/>
          <w:szCs w:val="28"/>
        </w:rPr>
        <w:t>я на налогообложение трансграничной электронной торговли, что облегчает перемещение цифровых товаров и услуг и стимулирует развитие малого и среднего бизнеса в сфере онлайн-торговли. Такие меры способствуют снижению бюрократических барьеров и создают более</w:t>
      </w:r>
      <w:r>
        <w:rPr>
          <w:rFonts w:ascii="Times New Roman" w:cs="Times New Roman" w:hAnsi="Times New Roman"/>
          <w:color w:val="000000"/>
          <w:sz w:val="28"/>
          <w:szCs w:val="28"/>
        </w:rPr>
        <w:t xml:space="preserve"> прозрачные условия для российских экспортеров на мировом рынке.</w:t>
      </w:r>
      <w:r>
        <w:rPr>
          <w:rFonts w:ascii="Times New Roman" w:cs="Times New Roman" w:hAnsi="Times New Roman"/>
          <w:color w:val="000000"/>
          <w:sz w:val="28"/>
          <w:szCs w:val="28"/>
        </w:rPr>
        <w:tab/>
        <w:t>Таким образом, онлайн-торговля становится не просто дополнительным каналом продаж, а стратегическим инструментом развития международной деятельности российских компаний. Она позволяет расширя</w:t>
      </w:r>
      <w:r>
        <w:rPr>
          <w:rFonts w:ascii="Times New Roman" w:cs="Times New Roman" w:hAnsi="Times New Roman"/>
          <w:color w:val="000000"/>
          <w:sz w:val="28"/>
          <w:szCs w:val="28"/>
        </w:rPr>
        <w:t>ть рынки сбыта, оптимизировать бизнес-процессы и повышать конкурентоспособность в условиях глобальной цифровой экономики.</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t>Для успешного использования этих возможностей российским экспортерам необходимо активно внедрять современные цифровые технологии,</w:t>
      </w:r>
      <w:r>
        <w:rPr>
          <w:rFonts w:ascii="Times New Roman" w:cs="Times New Roman" w:hAnsi="Times New Roman"/>
          <w:color w:val="000000"/>
          <w:sz w:val="28"/>
          <w:szCs w:val="28"/>
        </w:rPr>
        <w:t xml:space="preserve"> развивать логистику и адаптироваться к международным стандартам и требованиям потребителей.</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14:paraId="0000002F">
      <w:pPr>
        <w:spacing w:line="360" w:lineRule="auto"/>
        <w:ind w:firstLine="709"/>
        <w:jc w:val="both"/>
        <w:rPr>
          <w:rFonts w:ascii="Times New Roman" w:cs="Times New Roman" w:hAnsi="Times New Roman"/>
          <w:color w:val="000000"/>
          <w:sz w:val="28"/>
          <w:szCs w:val="28"/>
        </w:rPr>
      </w:pPr>
      <w:r>
        <w:rPr>
          <w:rFonts w:ascii="Times New Roman" w:cs="Times New Roman" w:hAnsi="Times New Roman"/>
          <w:b/>
          <w:bCs/>
          <w:sz w:val="28"/>
          <w:szCs w:val="28"/>
        </w:rPr>
        <w:t>1.2 Преимущества и вызовы онлайн-торговли для компаний-экспортеров</w:t>
      </w:r>
      <w:r>
        <w:rPr>
          <w:rFonts w:ascii="Times New Roman" w:cs="Times New Roman" w:hAnsi="Times New Roman"/>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14:paraId="00000030">
      <w:pPr>
        <w:spacing w:before="100" w:after="100" w:line="240" w:lineRule="auto"/>
        <w:jc w:val="both"/>
        <w:rPr>
          <w:rFonts w:ascii="Arial" w:cs="Arial" w:hAnsi="Arial"/>
          <w:color w:val="000000" w:themeColor="text1"/>
        </w:rPr>
      </w:pPr>
    </w:p>
    <w:p w14:paraId="00000031">
      <w:pPr>
        <w:pStyle w:val="BodyTextIndent2"/>
        <w:rPr/>
      </w:pPr>
      <w:r>
        <w:t>Онлайн-торговля открывает перед российскими экспортерами значительные возможност</w:t>
      </w:r>
      <w:r>
        <w:t>и для развития бизнеса и выхода на международные рынки.</w:t>
      </w:r>
      <w:r>
        <w:tab/>
      </w:r>
      <w:r>
        <w:tab/>
      </w:r>
      <w:r>
        <w:tab/>
      </w:r>
      <w:r>
        <w:tab/>
      </w:r>
      <w:r>
        <w:tab/>
      </w:r>
      <w:r>
        <w:tab/>
      </w:r>
      <w:r>
        <w:tab/>
      </w:r>
      <w:r>
        <w:tab/>
      </w:r>
      <w:r>
        <w:tab/>
      </w:r>
      <w:r>
        <w:tab/>
      </w:r>
      <w:r>
        <w:tab/>
      </w:r>
      <w:r>
        <w:tab/>
      </w:r>
      <w:r>
        <w:tab/>
        <w:t xml:space="preserve"> Одним из главных преимуществ такого подхода является возможность существенно снизить стартовые затраты и быстро протестировать спрос на новый продукт в различных странах без необходимости</w:t>
      </w:r>
      <w:r>
        <w:t xml:space="preserve"> физического присутствия или открытия представительств за рубежом. Многие маркетплейсы предоставляют бесплатный или относительно недорогой доступ к своей платформе, что позволяет компаниям сэкономить ресурсы на продвижение и логистику.</w:t>
      </w:r>
    </w:p>
    <w:p w14:paraId="00000032">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Е</w:t>
      </w:r>
      <w:r>
        <w:rPr>
          <w:rFonts w:ascii="Times New Roman" w:cs="Times New Roman" w:hAnsi="Times New Roman"/>
          <w:color w:val="000000"/>
          <w:sz w:val="28"/>
          <w:szCs w:val="28"/>
        </w:rPr>
        <w:t>ще одним важным плю</w:t>
      </w:r>
      <w:r>
        <w:rPr>
          <w:rFonts w:ascii="Times New Roman" w:cs="Times New Roman" w:hAnsi="Times New Roman"/>
          <w:color w:val="000000"/>
          <w:sz w:val="28"/>
          <w:szCs w:val="28"/>
        </w:rPr>
        <w:t>сом является широкий охват аудитории: товар становится доступен покупателям со всего мира, а коммуникация с потенциальными клиентами происходит в онлайн-формате, что сокращает временные и финансовые издержки, связанные с командировками и участием в выставк</w:t>
      </w:r>
      <w:r>
        <w:rPr>
          <w:rFonts w:ascii="Times New Roman" w:cs="Times New Roman" w:hAnsi="Times New Roman"/>
          <w:color w:val="000000"/>
          <w:sz w:val="28"/>
          <w:szCs w:val="28"/>
        </w:rPr>
        <w:t>ах. Для российских экспортеров это особенно актуально, поскольку позволяет быстро и эффективно выходить на новые рынки, используя современные интернет-технологии и цифровые каналы продаж.</w:t>
      </w:r>
    </w:p>
    <w:p w14:paraId="00000033">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Кроме того, онлайн-торговля способствует повышению гибкости бизнеса.</w:t>
      </w:r>
      <w:r>
        <w:rPr>
          <w:rFonts w:ascii="Times New Roman" w:cs="Times New Roman" w:hAnsi="Times New Roman"/>
          <w:color w:val="000000"/>
          <w:sz w:val="28"/>
          <w:szCs w:val="28"/>
        </w:rPr>
        <w:t xml:space="preserve"> Компании могут оперативно адаптировать ассортимент, цены и маркетинговые стратегии в зависимости от особенностей и спроса на конкретных рынках. Это особенно важно в условиях высокой конкуренции и быстро меняющихся предпочтений потребителей. Использование </w:t>
      </w:r>
      <w:r>
        <w:rPr>
          <w:rFonts w:ascii="Times New Roman" w:cs="Times New Roman" w:hAnsi="Times New Roman"/>
          <w:color w:val="000000"/>
          <w:sz w:val="28"/>
          <w:szCs w:val="28"/>
        </w:rPr>
        <w:t>аналитики больших данных и цифровых инструментов позволяет более точно прогнозировать спрос и оптимизировать запасы, что снижает риски и повышает эффективность деятельности.</w:t>
      </w:r>
    </w:p>
    <w:p w14:paraId="00000034">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Однако вместе с преимуществами онлайн-торговля несет и ряд вызовов для компаний-эк</w:t>
      </w:r>
      <w:r>
        <w:rPr>
          <w:rFonts w:ascii="Times New Roman" w:cs="Times New Roman" w:hAnsi="Times New Roman"/>
          <w:color w:val="000000"/>
          <w:sz w:val="28"/>
          <w:szCs w:val="28"/>
        </w:rPr>
        <w:t>спортеров. Одним из ключевых препятствий является необходимость глубокого понимания законодательных и таможенных требований стран, на которые осуществляется экспорт. Незнание местных правил, особенностей потребительского поведения и требований к качеству т</w:t>
      </w:r>
      <w:r>
        <w:rPr>
          <w:rFonts w:ascii="Times New Roman" w:cs="Times New Roman" w:hAnsi="Times New Roman"/>
          <w:color w:val="000000"/>
          <w:sz w:val="28"/>
          <w:szCs w:val="28"/>
        </w:rPr>
        <w:t>оваров может привести к неудачам и финансовым потерям.</w:t>
      </w:r>
    </w:p>
    <w:p w14:paraId="00000035">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Высокие требования к качеству сервиса также являются серьезным вызовом. В онлайн-торговле важна скорость ответа на запросы клиентов, </w:t>
      </w:r>
      <w:r>
        <w:rPr>
          <w:rFonts w:ascii="Times New Roman" w:cs="Times New Roman" w:hAnsi="Times New Roman"/>
          <w:color w:val="000000"/>
          <w:sz w:val="28"/>
          <w:szCs w:val="28"/>
        </w:rPr>
        <w:t>точность и полнота описания товаров, качество изображений, а также н</w:t>
      </w:r>
      <w:r>
        <w:rPr>
          <w:rFonts w:ascii="Times New Roman" w:cs="Times New Roman" w:hAnsi="Times New Roman"/>
          <w:color w:val="000000"/>
          <w:sz w:val="28"/>
          <w:szCs w:val="28"/>
        </w:rPr>
        <w:t>адежность и скорость доставки. Конкуренция на международных маркетплейсах очень высока, поэтому компании должны постоянно улучшать качество продукции и уровень обслуживания, чтобы удерживать и расширять клиентскую базу [17].</w:t>
      </w:r>
    </w:p>
    <w:p w14:paraId="00000036">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Логистические сложности и риски такж</w:t>
      </w:r>
      <w:r>
        <w:rPr>
          <w:rFonts w:ascii="Times New Roman" w:cs="Times New Roman" w:hAnsi="Times New Roman"/>
          <w:color w:val="000000"/>
          <w:sz w:val="28"/>
          <w:szCs w:val="28"/>
        </w:rPr>
        <w:t>е требуют особого внимания. Организация международных поставок, таможенное оформление, возврат товаров и управление цепочками поставок – все это требует значительных ресурсов и компетенций. Российским экспортерам приходится искать надежных партнеров и опти</w:t>
      </w:r>
      <w:r>
        <w:rPr>
          <w:rFonts w:ascii="Times New Roman" w:cs="Times New Roman" w:hAnsi="Times New Roman"/>
          <w:color w:val="000000"/>
          <w:sz w:val="28"/>
          <w:szCs w:val="28"/>
        </w:rPr>
        <w:t>мизировать логистику, чтобы обеспечить своевременную и качественную доставку товаров зарубежным покупателям.</w:t>
      </w:r>
    </w:p>
    <w:p w14:paraId="00000037">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Еще одним вызовом является необходимость инвестиций в цифровые технологии и маркетинг. Для успешной работы в онлайн-среде компаниям нужно создавать</w:t>
      </w:r>
      <w:r>
        <w:rPr>
          <w:rFonts w:ascii="Times New Roman" w:cs="Times New Roman" w:hAnsi="Times New Roman"/>
          <w:color w:val="000000"/>
          <w:sz w:val="28"/>
          <w:szCs w:val="28"/>
        </w:rPr>
        <w:t xml:space="preserve"> привлекательные интернет-магазины, использовать инструменты продвижения, работать с отзывами и обеспечивать безопасность платежей. Это требует не только финансовых вложений, но и квалифицированных кадров, что может быть проблемой для малого и среднего биз</w:t>
      </w:r>
      <w:r>
        <w:rPr>
          <w:rFonts w:ascii="Times New Roman" w:cs="Times New Roman" w:hAnsi="Times New Roman"/>
          <w:color w:val="000000"/>
          <w:sz w:val="28"/>
          <w:szCs w:val="28"/>
        </w:rPr>
        <w:t>неса. Понимание этих факторов и их влияние на экспортёра (представлены в таблице 1) помогают оптимизировать бизнес-процессы, минимизировать риски и использовать возможности для роста в условиях динамично развивающейся электронной коммерции</w:t>
      </w:r>
      <w:r>
        <w:rPr>
          <w:rFonts w:ascii="Times New Roman" w:cs="Times New Roman" w:hAnsi="Times New Roman"/>
          <w:color w:val="000000"/>
          <w:sz w:val="28"/>
          <w:szCs w:val="28"/>
        </w:rPr>
        <w:t>.</w:t>
      </w:r>
    </w:p>
    <w:p w14:paraId="00000038">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 w:val="28"/>
          <w:szCs w:val="28"/>
          <w:lang w:val="en-US"/>
        </w:rPr>
      </w:pPr>
    </w:p>
    <w:tbl>
      <w:tblPr>
        <w:tblpPr w:leftFromText="187" w:rightFromText="187" w:vertAnchor="page" w:horzAnchor="margin" w:tblpY="12457"/>
        <w:tblOverlap w:val="never"/>
        <w:tblW w:w="9596" w:type="dxa"/>
        <w:tblInd w:w="-14" w:type="dxa"/>
        <w:tblBorders>
          <w:top w:val="single" w:color="e5e7eb" w:sz="6" w:space="0"/>
          <w:left w:val="single" w:color="e5e7eb" w:sz="6" w:space="0"/>
          <w:bottom w:val="single" w:color="e5e7eb" w:sz="6" w:space="0"/>
          <w:right w:val="single" w:color="e5e7eb" w:sz="6" w:space="0"/>
          <w:insideH w:val="single" w:color="e5e7eb" w:sz="6" w:space="0"/>
          <w:insideV w:val="single" w:color="e5e7eb" w:sz="6" w:space="0"/>
        </w:tblBorders>
        <w:tblLayout w:type="fixed"/>
        <w:tblCellMar>
          <w:top w:w="10" w:type="dxa"/>
          <w:left w:w="10" w:type="dxa"/>
          <w:bottom w:w="10" w:type="dxa"/>
          <w:right w:w="10" w:type="dxa"/>
        </w:tblCellMar>
        <w:tblLook w:val="04A0"/>
      </w:tblPr>
      <w:tblGrid>
        <w:gridCol w:w="2654"/>
        <w:gridCol w:w="3219"/>
        <w:gridCol w:w="3723"/>
      </w:tblGrid>
      <w:tr>
        <w:trPr>
          <w:trHeight w:val="474"/>
        </w:trPr>
        <w:tc>
          <w:tcPr>
            <w:cnfStyle w:val="101000000000"/>
            <w:tcW w:w="2654" w:type="dxa"/>
            <w:tcBorders>
              <w:top w:val="single" w:color="auto" w:sz="4" w:space="0"/>
              <w:left w:val="single" w:color="auto" w:sz="4" w:space="0"/>
              <w:bottom w:val="single" w:color="auto" w:sz="4" w:space="0"/>
              <w:right w:val="single" w:color="auto" w:sz="4" w:space="0"/>
            </w:tcBorders>
          </w:tcPr>
          <w:p w14:paraId="00000039">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lang w:val="en-US"/>
              </w:rPr>
            </w:pPr>
            <w:r>
              <w:rPr>
                <w:rFonts w:ascii="Times New Roman" w:cs="Times New Roman" w:hAnsi="Times New Roman"/>
                <w:b/>
                <w:color w:val="000000"/>
                <w:szCs w:val="32"/>
                <w:lang w:val="en-US"/>
              </w:rPr>
              <w:t>Фактор</w:t>
            </w:r>
          </w:p>
        </w:tc>
        <w:tc>
          <w:tcPr>
            <w:cnfStyle w:val="100000000000"/>
            <w:tcW w:w="3219" w:type="dxa"/>
            <w:tcBorders>
              <w:top w:val="single" w:color="auto" w:sz="4" w:space="0"/>
              <w:left w:val="single" w:color="auto" w:sz="4" w:space="0"/>
              <w:bottom w:val="single" w:color="auto" w:sz="4" w:space="0"/>
              <w:right w:val="single" w:color="auto" w:sz="4" w:space="0"/>
            </w:tcBorders>
          </w:tcPr>
          <w:p w14:paraId="0000003A">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b/>
                <w:color w:val="000000"/>
                <w:szCs w:val="32"/>
                <w:lang w:val="en-US"/>
              </w:rPr>
              <w:t>Описание</w:t>
            </w:r>
          </w:p>
        </w:tc>
        <w:tc>
          <w:tcPr>
            <w:cnfStyle w:val="100000000000"/>
            <w:tcW w:w="3723" w:type="dxa"/>
            <w:tcBorders>
              <w:top w:val="single" w:color="auto" w:sz="4" w:space="0"/>
              <w:left w:val="single" w:color="auto" w:sz="4" w:space="0"/>
              <w:bottom w:val="single" w:color="auto" w:sz="4" w:space="0"/>
              <w:right w:val="single" w:color="auto" w:sz="4" w:space="0"/>
            </w:tcBorders>
          </w:tcPr>
          <w:p w14:paraId="0000003B">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b/>
                <w:color w:val="000000"/>
                <w:szCs w:val="32"/>
                <w:lang w:val="en-US"/>
              </w:rPr>
              <w:t>Влияние на экспортера</w:t>
            </w:r>
          </w:p>
        </w:tc>
      </w:tr>
      <w:tr>
        <w:trPr>
          <w:trHeight w:val="474"/>
        </w:trPr>
        <w:tc>
          <w:tcPr>
            <w:cnfStyle w:val="001000100000"/>
            <w:tcW w:w="2654" w:type="dxa"/>
            <w:tcBorders>
              <w:top w:val="single" w:color="auto" w:sz="4" w:space="0"/>
              <w:left w:val="single" w:color="auto" w:sz="4" w:space="0"/>
              <w:bottom w:val="single" w:color="auto" w:sz="4" w:space="0"/>
              <w:right w:val="single" w:color="auto" w:sz="4" w:space="0"/>
            </w:tcBorders>
          </w:tcPr>
          <w:p w14:paraId="0000003C">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lang w:val="en-US"/>
              </w:rPr>
            </w:pPr>
            <w:r>
              <w:rPr>
                <w:rFonts w:ascii="Times New Roman" w:cs="Times New Roman" w:hAnsi="Times New Roman"/>
                <w:color w:val="000000"/>
                <w:szCs w:val="32"/>
                <w:lang w:val="en-US"/>
              </w:rPr>
              <w:t>Финансовые ресурсы и инвестиции</w:t>
            </w:r>
          </w:p>
        </w:tc>
        <w:tc>
          <w:tcPr>
            <w:cnfStyle w:val="000000100000"/>
            <w:tcW w:w="3219" w:type="dxa"/>
            <w:tcBorders>
              <w:top w:val="single" w:color="auto" w:sz="4" w:space="0"/>
              <w:left w:val="single" w:color="auto" w:sz="4" w:space="0"/>
              <w:bottom w:val="single" w:color="auto" w:sz="4" w:space="0"/>
              <w:right w:val="single" w:color="auto" w:sz="4" w:space="0"/>
            </w:tcBorders>
          </w:tcPr>
          <w:p w14:paraId="0000003D">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Вложения в разработку сайтов, продвижение, обучение персонала</w:t>
            </w:r>
          </w:p>
        </w:tc>
        <w:tc>
          <w:tcPr>
            <w:cnfStyle w:val="000000100000"/>
            <w:tcW w:w="3723" w:type="dxa"/>
            <w:tcBorders>
              <w:top w:val="single" w:color="auto" w:sz="4" w:space="0"/>
              <w:left w:val="single" w:color="auto" w:sz="4" w:space="0"/>
              <w:bottom w:val="single" w:color="auto" w:sz="4" w:space="0"/>
              <w:right w:val="single" w:color="auto" w:sz="4" w:space="0"/>
            </w:tcBorders>
          </w:tcPr>
          <w:p w14:paraId="0000003E">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Определяют масштаб и эффективность выхода на международный рынок</w:t>
            </w:r>
          </w:p>
        </w:tc>
      </w:tr>
      <w:tr>
        <w:trPr>
          <w:trHeight w:val="474"/>
        </w:trPr>
        <w:tc>
          <w:tcPr>
            <w:cnfStyle w:val="001000010000"/>
            <w:tcW w:w="2654" w:type="dxa"/>
            <w:tcBorders>
              <w:top w:val="single" w:color="auto" w:sz="4" w:space="0"/>
              <w:left w:val="single" w:color="auto" w:sz="4" w:space="0"/>
              <w:bottom w:val="single" w:color="auto" w:sz="4" w:space="0"/>
              <w:right w:val="single" w:color="auto" w:sz="4" w:space="0"/>
            </w:tcBorders>
          </w:tcPr>
          <w:p w14:paraId="0000003F">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lang w:val="en-US"/>
              </w:rPr>
            </w:pPr>
            <w:r>
              <w:rPr>
                <w:rFonts w:ascii="Times New Roman" w:cs="Times New Roman" w:hAnsi="Times New Roman"/>
                <w:color w:val="000000"/>
                <w:szCs w:val="32"/>
                <w:lang w:val="en-US"/>
              </w:rPr>
              <w:t>Валютные и политические риски</w:t>
            </w:r>
          </w:p>
        </w:tc>
        <w:tc>
          <w:tcPr>
            <w:cnfStyle w:val="000000010000"/>
            <w:tcW w:w="3219" w:type="dxa"/>
            <w:tcBorders>
              <w:top w:val="single" w:color="auto" w:sz="4" w:space="0"/>
              <w:left w:val="single" w:color="auto" w:sz="4" w:space="0"/>
              <w:bottom w:val="single" w:color="auto" w:sz="4" w:space="0"/>
              <w:right w:val="single" w:color="auto" w:sz="4" w:space="0"/>
            </w:tcBorders>
          </w:tcPr>
          <w:p w14:paraId="00000040">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Колебания валютных курсов, санкции, изменения в международных отношениях</w:t>
            </w:r>
          </w:p>
        </w:tc>
        <w:tc>
          <w:tcPr>
            <w:cnfStyle w:val="000000010000"/>
            <w:tcW w:w="3723" w:type="dxa"/>
            <w:tcBorders>
              <w:top w:val="single" w:color="auto" w:sz="4" w:space="0"/>
              <w:left w:val="single" w:color="auto" w:sz="4" w:space="0"/>
              <w:bottom w:val="single" w:color="auto" w:sz="4" w:space="0"/>
              <w:right w:val="single" w:color="auto" w:sz="4" w:space="0"/>
            </w:tcBorders>
          </w:tcPr>
          <w:p w14:paraId="00000041">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Могут привести к финансовым потерям и ограничению доступа к рынкам</w:t>
            </w:r>
          </w:p>
        </w:tc>
      </w:tr>
    </w:tbl>
    <w:p w14:paraId="00000042">
      <w:pPr>
        <w:pStyle w:val="BodyText"/>
        <w:rPr/>
      </w:pPr>
      <w:r>
        <w:t>Таблица 1 – Основные факторы, влияющие на успешность онлайн-экспорта российских компаний [11].</w:t>
      </w:r>
    </w:p>
    <w:tbl>
      <w:tblPr>
        <w:tblpPr w:leftFromText="187" w:rightFromText="187" w:vertAnchor="page" w:horzAnchor="page" w:tblpX="1741" w:tblpY="1537"/>
        <w:tblOverlap w:val="never"/>
        <w:tblW w:w="9426" w:type="dxa"/>
        <w:tblBorders>
          <w:top w:val="single" w:color="e5e7eb" w:sz="6" w:space="0"/>
          <w:left w:val="single" w:color="e5e7eb" w:sz="6" w:space="0"/>
          <w:bottom w:val="single" w:color="e5e7eb" w:sz="6" w:space="0"/>
          <w:right w:val="single" w:color="e5e7eb" w:sz="6" w:space="0"/>
          <w:insideH w:val="single" w:color="e5e7eb" w:sz="6" w:space="0"/>
          <w:insideV w:val="single" w:color="e5e7eb" w:sz="6" w:space="0"/>
        </w:tblBorders>
        <w:tblLayout w:type="fixed"/>
        <w:tblCellMar>
          <w:top w:w="10" w:type="dxa"/>
          <w:left w:w="10" w:type="dxa"/>
          <w:bottom w:w="10" w:type="dxa"/>
          <w:right w:w="10" w:type="dxa"/>
        </w:tblCellMar>
        <w:tblLook w:val="04A0"/>
      </w:tblPr>
      <w:tblGrid>
        <w:gridCol w:w="2279"/>
        <w:gridCol w:w="3666"/>
        <w:gridCol w:w="3481"/>
      </w:tblGrid>
      <w:tr>
        <w:trPr>
          <w:cnfStyle w:val="100000000000"/>
          <w:trHeight w:val="624" w:hRule="atLeast"/>
        </w:trPr>
        <w:tc>
          <w:tcPr>
            <w:cnfStyle w:val="101000000000"/>
            <w:tcW w:w="2279" w:type="dxa"/>
            <w:tcBorders>
              <w:top w:val="single" w:color="auto" w:sz="4" w:space="0"/>
              <w:left w:val="single" w:color="auto" w:sz="4" w:space="0"/>
              <w:bottom w:val="single" w:color="auto" w:sz="4" w:space="0"/>
              <w:right w:val="single" w:color="auto" w:sz="4" w:space="0"/>
            </w:tcBorders>
          </w:tcPr>
          <w:p w14:paraId="00000043">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lang w:val="en-US"/>
              </w:rPr>
            </w:pPr>
            <w:r>
              <w:rPr>
                <w:rFonts w:ascii="Times New Roman" w:cs="Times New Roman" w:hAnsi="Times New Roman"/>
                <w:b/>
                <w:color w:val="000000"/>
                <w:szCs w:val="32"/>
                <w:lang w:val="en-US"/>
              </w:rPr>
              <w:t>Фактор</w:t>
            </w:r>
          </w:p>
        </w:tc>
        <w:tc>
          <w:tcPr>
            <w:cnfStyle w:val="100000000000"/>
            <w:tcW w:w="3666" w:type="dxa"/>
            <w:tcBorders>
              <w:top w:val="single" w:color="auto" w:sz="4" w:space="0"/>
              <w:left w:val="single" w:color="auto" w:sz="4" w:space="0"/>
              <w:bottom w:val="single" w:color="auto" w:sz="4" w:space="0"/>
              <w:right w:val="single" w:color="auto" w:sz="4" w:space="0"/>
            </w:tcBorders>
          </w:tcPr>
          <w:p w14:paraId="00000044">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b/>
                <w:color w:val="000000"/>
                <w:szCs w:val="32"/>
                <w:lang w:val="en-US"/>
              </w:rPr>
              <w:t>Описание</w:t>
            </w:r>
          </w:p>
        </w:tc>
        <w:tc>
          <w:tcPr>
            <w:cnfStyle w:val="100000000000"/>
            <w:tcW w:w="3481" w:type="dxa"/>
            <w:tcBorders>
              <w:top w:val="single" w:color="auto" w:sz="4" w:space="0"/>
              <w:left w:val="single" w:color="auto" w:sz="4" w:space="0"/>
              <w:bottom w:val="single" w:color="auto" w:sz="4" w:space="0"/>
              <w:right w:val="single" w:color="auto" w:sz="4" w:space="0"/>
            </w:tcBorders>
          </w:tcPr>
          <w:p w14:paraId="00000045">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b/>
                <w:color w:val="000000"/>
                <w:szCs w:val="32"/>
                <w:lang w:val="en-US"/>
              </w:rPr>
              <w:t>Влияние на экспортера</w:t>
            </w:r>
          </w:p>
        </w:tc>
      </w:tr>
      <w:tr>
        <w:trPr>
          <w:cnfStyle w:val="000000100000"/>
          <w:trHeight w:val="1313"/>
        </w:trPr>
        <w:tc>
          <w:tcPr>
            <w:cnfStyle w:val="001000100000"/>
            <w:tcW w:w="2279" w:type="dxa"/>
            <w:tcBorders>
              <w:top w:val="single" w:color="auto" w:sz="4" w:space="0"/>
              <w:left w:val="single" w:color="auto" w:sz="4" w:space="0"/>
              <w:bottom w:val="single" w:color="auto" w:sz="4" w:space="0"/>
              <w:right w:val="single" w:color="auto" w:sz="4" w:space="0"/>
            </w:tcBorders>
          </w:tcPr>
          <w:p w14:paraId="00000046">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lang w:val="en-US"/>
              </w:rPr>
            </w:pPr>
            <w:r>
              <w:rPr>
                <w:rFonts w:ascii="Times New Roman" w:cs="Times New Roman" w:hAnsi="Times New Roman"/>
                <w:color w:val="000000"/>
                <w:szCs w:val="32"/>
                <w:lang w:val="en-US"/>
              </w:rPr>
              <w:t>Потребительские предпочтения</w:t>
            </w:r>
          </w:p>
        </w:tc>
        <w:tc>
          <w:tcPr>
            <w:cnfStyle w:val="000000100000"/>
            <w:tcW w:w="3666" w:type="dxa"/>
            <w:tcBorders>
              <w:top w:val="single" w:color="auto" w:sz="4" w:space="0"/>
              <w:left w:val="single" w:color="auto" w:sz="4" w:space="0"/>
              <w:bottom w:val="single" w:color="auto" w:sz="4" w:space="0"/>
              <w:right w:val="single" w:color="auto" w:sz="4" w:space="0"/>
            </w:tcBorders>
          </w:tcPr>
          <w:p w14:paraId="00000047">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Культурные особенности, уровень доверия к онлайн-покупкам, требования к качеству товаров</w:t>
            </w:r>
          </w:p>
        </w:tc>
        <w:tc>
          <w:tcPr>
            <w:cnfStyle w:val="000000100000"/>
            <w:tcW w:w="3481" w:type="dxa"/>
            <w:tcBorders>
              <w:top w:val="single" w:color="auto" w:sz="4" w:space="0"/>
              <w:left w:val="single" w:color="auto" w:sz="4" w:space="0"/>
              <w:bottom w:val="single" w:color="auto" w:sz="4" w:space="0"/>
              <w:right w:val="single" w:color="auto" w:sz="4" w:space="0"/>
            </w:tcBorders>
          </w:tcPr>
          <w:p w14:paraId="00000048">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Требуют адаптации ассортимента и маркетинговых стратегий</w:t>
            </w:r>
          </w:p>
        </w:tc>
      </w:tr>
      <w:tr>
        <w:trPr>
          <w:cnfStyle w:val="000000010000"/>
          <w:trHeight w:val="1037"/>
        </w:trPr>
        <w:tc>
          <w:tcPr>
            <w:cnfStyle w:val="001000010000"/>
            <w:tcW w:w="2279" w:type="dxa"/>
            <w:tcBorders>
              <w:top w:val="single" w:color="auto" w:sz="4" w:space="0"/>
              <w:left w:val="single" w:color="auto" w:sz="4" w:space="0"/>
              <w:bottom w:val="single" w:color="auto" w:sz="4" w:space="0"/>
              <w:right w:val="single" w:color="auto" w:sz="4" w:space="0"/>
            </w:tcBorders>
          </w:tcPr>
          <w:p w14:paraId="00000049">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lang w:val="en-US"/>
              </w:rPr>
            </w:pPr>
            <w:r>
              <w:rPr>
                <w:rFonts w:ascii="Times New Roman" w:cs="Times New Roman" w:hAnsi="Times New Roman"/>
                <w:color w:val="000000"/>
                <w:szCs w:val="32"/>
                <w:lang w:val="en-US"/>
              </w:rPr>
              <w:t>Конкурентная среда</w:t>
            </w:r>
          </w:p>
        </w:tc>
        <w:tc>
          <w:tcPr>
            <w:cnfStyle w:val="000000010000"/>
            <w:tcW w:w="3666" w:type="dxa"/>
            <w:tcBorders>
              <w:top w:val="single" w:color="auto" w:sz="4" w:space="0"/>
              <w:left w:val="single" w:color="auto" w:sz="4" w:space="0"/>
              <w:bottom w:val="single" w:color="auto" w:sz="4" w:space="0"/>
              <w:right w:val="single" w:color="auto" w:sz="4" w:space="0"/>
            </w:tcBorders>
          </w:tcPr>
          <w:p w14:paraId="0000004A">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Наличие крупных международных игроков, ценовая конкуренция</w:t>
            </w:r>
          </w:p>
        </w:tc>
        <w:tc>
          <w:tcPr>
            <w:cnfStyle w:val="000000010000"/>
            <w:tcW w:w="3481" w:type="dxa"/>
            <w:tcBorders>
              <w:top w:val="single" w:color="auto" w:sz="4" w:space="0"/>
              <w:left w:val="single" w:color="auto" w:sz="4" w:space="0"/>
              <w:bottom w:val="single" w:color="auto" w:sz="4" w:space="0"/>
              <w:right w:val="single" w:color="auto" w:sz="4" w:space="0"/>
            </w:tcBorders>
          </w:tcPr>
          <w:p w14:paraId="0000004B">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Требует улучшения качества сервиса и уникальных предложений</w:t>
            </w:r>
          </w:p>
        </w:tc>
      </w:tr>
      <w:tr>
        <w:trPr>
          <w:cnfStyle w:val="000000100000"/>
          <w:trHeight w:val="966"/>
        </w:trPr>
        <w:tc>
          <w:tcPr>
            <w:cnfStyle w:val="001000100000"/>
            <w:tcW w:w="2279" w:type="dxa"/>
            <w:tcBorders>
              <w:top w:val="single" w:color="auto" w:sz="4" w:space="0"/>
              <w:left w:val="single" w:color="auto" w:sz="4" w:space="0"/>
              <w:bottom w:val="single" w:color="auto" w:sz="4" w:space="0"/>
              <w:right w:val="single" w:color="auto" w:sz="4" w:space="0"/>
            </w:tcBorders>
          </w:tcPr>
          <w:p w14:paraId="0000004C">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lang w:val="en-US"/>
              </w:rPr>
            </w:pPr>
            <w:r>
              <w:rPr>
                <w:rFonts w:ascii="Times New Roman" w:cs="Times New Roman" w:hAnsi="Times New Roman"/>
                <w:color w:val="000000"/>
                <w:szCs w:val="32"/>
                <w:lang w:val="en-US"/>
              </w:rPr>
              <w:t>Технологическая инфраструктура</w:t>
            </w:r>
          </w:p>
        </w:tc>
        <w:tc>
          <w:tcPr>
            <w:cnfStyle w:val="000000100000"/>
            <w:tcW w:w="3666" w:type="dxa"/>
            <w:tcBorders>
              <w:top w:val="single" w:color="auto" w:sz="4" w:space="0"/>
              <w:left w:val="single" w:color="auto" w:sz="4" w:space="0"/>
              <w:bottom w:val="single" w:color="auto" w:sz="4" w:space="0"/>
              <w:right w:val="single" w:color="auto" w:sz="4" w:space="0"/>
            </w:tcBorders>
          </w:tcPr>
          <w:p w14:paraId="0000004D">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Наличие высокоскоростного интернета, мобильных устройств, платежных систем</w:t>
            </w:r>
          </w:p>
        </w:tc>
        <w:tc>
          <w:tcPr>
            <w:cnfStyle w:val="000000100000"/>
            <w:tcW w:w="3481" w:type="dxa"/>
            <w:tcBorders>
              <w:top w:val="single" w:color="auto" w:sz="4" w:space="0"/>
              <w:left w:val="single" w:color="auto" w:sz="4" w:space="0"/>
              <w:bottom w:val="single" w:color="auto" w:sz="4" w:space="0"/>
              <w:right w:val="single" w:color="auto" w:sz="4" w:space="0"/>
            </w:tcBorders>
          </w:tcPr>
          <w:p w14:paraId="0000004E">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 xml:space="preserve">Обеспечивает </w:t>
            </w:r>
            <w:r>
              <w:rPr>
                <w:rFonts w:ascii="Times New Roman" w:cs="Times New Roman" w:hAnsi="Times New Roman"/>
                <w:color w:val="000000"/>
                <w:szCs w:val="32"/>
              </w:rPr>
              <w:t>доступность и удобство онлайн-продаж</w:t>
            </w:r>
          </w:p>
        </w:tc>
      </w:tr>
      <w:tr>
        <w:trPr>
          <w:cnfStyle w:val="000000010000"/>
          <w:trHeight w:val="1313"/>
        </w:trPr>
        <w:tc>
          <w:tcPr>
            <w:cnfStyle w:val="001000010000"/>
            <w:tcW w:w="2279" w:type="dxa"/>
            <w:tcBorders>
              <w:top w:val="single" w:color="auto" w:sz="4" w:space="0"/>
              <w:left w:val="single" w:color="auto" w:sz="4" w:space="0"/>
              <w:bottom w:val="single" w:color="auto" w:sz="4" w:space="0"/>
              <w:right w:val="single" w:color="auto" w:sz="4" w:space="0"/>
            </w:tcBorders>
          </w:tcPr>
          <w:p w14:paraId="0000004F">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lang w:val="en-US"/>
              </w:rPr>
            </w:pPr>
            <w:r>
              <w:rPr>
                <w:rFonts w:ascii="Times New Roman" w:cs="Times New Roman" w:hAnsi="Times New Roman"/>
                <w:color w:val="000000"/>
                <w:szCs w:val="32"/>
                <w:lang w:val="en-US"/>
              </w:rPr>
              <w:t>Законодательство и регулирование</w:t>
            </w:r>
          </w:p>
        </w:tc>
        <w:tc>
          <w:tcPr>
            <w:cnfStyle w:val="000000010000"/>
            <w:tcW w:w="3666" w:type="dxa"/>
            <w:tcBorders>
              <w:top w:val="single" w:color="auto" w:sz="4" w:space="0"/>
              <w:left w:val="single" w:color="auto" w:sz="4" w:space="0"/>
              <w:bottom w:val="single" w:color="auto" w:sz="4" w:space="0"/>
              <w:right w:val="single" w:color="auto" w:sz="4" w:space="0"/>
            </w:tcBorders>
          </w:tcPr>
          <w:p w14:paraId="00000050">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Правила защиты прав потребителей, налогообложения, таможенные процедуры</w:t>
            </w:r>
          </w:p>
        </w:tc>
        <w:tc>
          <w:tcPr>
            <w:cnfStyle w:val="000000010000"/>
            <w:tcW w:w="3481" w:type="dxa"/>
            <w:tcBorders>
              <w:top w:val="single" w:color="auto" w:sz="4" w:space="0"/>
              <w:left w:val="single" w:color="auto" w:sz="4" w:space="0"/>
              <w:bottom w:val="single" w:color="auto" w:sz="4" w:space="0"/>
              <w:right w:val="single" w:color="auto" w:sz="4" w:space="0"/>
            </w:tcBorders>
          </w:tcPr>
          <w:p w14:paraId="00000051">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Определяет легальность и безопасность операций</w:t>
            </w:r>
          </w:p>
        </w:tc>
      </w:tr>
      <w:tr>
        <w:trPr>
          <w:cnfStyle w:val="000000100000"/>
          <w:trHeight w:val="976"/>
        </w:trPr>
        <w:tc>
          <w:tcPr>
            <w:cnfStyle w:val="001000100000"/>
            <w:tcW w:w="2279" w:type="dxa"/>
            <w:tcBorders>
              <w:top w:val="single" w:color="auto" w:sz="4" w:space="0"/>
              <w:left w:val="single" w:color="auto" w:sz="4" w:space="0"/>
              <w:bottom w:val="single" w:color="auto" w:sz="4" w:space="0"/>
              <w:right w:val="single" w:color="auto" w:sz="4" w:space="0"/>
            </w:tcBorders>
          </w:tcPr>
          <w:p w14:paraId="00000052">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lang w:val="en-US"/>
              </w:rPr>
            </w:pPr>
            <w:r>
              <w:rPr>
                <w:rFonts w:ascii="Times New Roman" w:cs="Times New Roman" w:hAnsi="Times New Roman"/>
                <w:color w:val="000000"/>
                <w:szCs w:val="32"/>
                <w:lang w:val="en-US"/>
              </w:rPr>
              <w:t>Логистика и фулфилмент</w:t>
            </w:r>
          </w:p>
        </w:tc>
        <w:tc>
          <w:tcPr>
            <w:cnfStyle w:val="000000100000"/>
            <w:tcW w:w="3666" w:type="dxa"/>
            <w:tcBorders>
              <w:top w:val="single" w:color="auto" w:sz="4" w:space="0"/>
              <w:left w:val="single" w:color="auto" w:sz="4" w:space="0"/>
              <w:bottom w:val="single" w:color="auto" w:sz="4" w:space="0"/>
              <w:right w:val="single" w:color="auto" w:sz="4" w:space="0"/>
            </w:tcBorders>
          </w:tcPr>
          <w:p w14:paraId="00000053">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 xml:space="preserve">Организация доставки, складские </w:t>
            </w:r>
            <w:r>
              <w:rPr>
                <w:rFonts w:ascii="Times New Roman" w:cs="Times New Roman" w:hAnsi="Times New Roman"/>
                <w:color w:val="000000"/>
                <w:szCs w:val="32"/>
              </w:rPr>
              <w:t>услуги, обработка возвратов</w:t>
            </w:r>
          </w:p>
        </w:tc>
        <w:tc>
          <w:tcPr>
            <w:cnfStyle w:val="000000100000"/>
            <w:tcW w:w="3481" w:type="dxa"/>
            <w:tcBorders>
              <w:top w:val="single" w:color="auto" w:sz="4" w:space="0"/>
              <w:left w:val="single" w:color="auto" w:sz="4" w:space="0"/>
              <w:bottom w:val="single" w:color="auto" w:sz="4" w:space="0"/>
              <w:right w:val="single" w:color="auto" w:sz="4" w:space="0"/>
            </w:tcBorders>
          </w:tcPr>
          <w:p w14:paraId="00000054">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Влияет на скорость и качество обслуживания клиентов</w:t>
            </w:r>
          </w:p>
        </w:tc>
      </w:tr>
      <w:tr>
        <w:trPr>
          <w:cnfStyle w:val="000000010000"/>
          <w:trHeight w:val="1313"/>
        </w:trPr>
        <w:tc>
          <w:tcPr>
            <w:cnfStyle w:val="001000010000"/>
            <w:tcW w:w="2279" w:type="dxa"/>
            <w:tcBorders>
              <w:top w:val="single" w:color="auto" w:sz="4" w:space="0"/>
              <w:left w:val="single" w:color="auto" w:sz="4" w:space="0"/>
              <w:bottom w:val="single" w:color="auto" w:sz="4" w:space="0"/>
              <w:right w:val="single" w:color="auto" w:sz="4" w:space="0"/>
            </w:tcBorders>
          </w:tcPr>
          <w:p w14:paraId="00000055">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lang w:val="en-US"/>
              </w:rPr>
            </w:pPr>
            <w:r>
              <w:rPr>
                <w:rFonts w:ascii="Times New Roman" w:cs="Times New Roman" w:hAnsi="Times New Roman"/>
                <w:color w:val="000000"/>
                <w:szCs w:val="32"/>
                <w:lang w:val="en-US"/>
              </w:rPr>
              <w:t>Маркетинговые возможности</w:t>
            </w:r>
          </w:p>
        </w:tc>
        <w:tc>
          <w:tcPr>
            <w:cnfStyle w:val="000000010000"/>
            <w:tcW w:w="3666" w:type="dxa"/>
            <w:tcBorders>
              <w:top w:val="single" w:color="auto" w:sz="4" w:space="0"/>
              <w:left w:val="single" w:color="auto" w:sz="4" w:space="0"/>
              <w:bottom w:val="single" w:color="auto" w:sz="4" w:space="0"/>
              <w:right w:val="single" w:color="auto" w:sz="4" w:space="0"/>
            </w:tcBorders>
          </w:tcPr>
          <w:p w14:paraId="00000056">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Использование цифровых каналов, аналитика данных, персонализация предложений</w:t>
            </w:r>
          </w:p>
        </w:tc>
        <w:tc>
          <w:tcPr>
            <w:cnfStyle w:val="000000010000"/>
            <w:tcW w:w="3481" w:type="dxa"/>
            <w:tcBorders>
              <w:top w:val="single" w:color="auto" w:sz="4" w:space="0"/>
              <w:left w:val="single" w:color="auto" w:sz="4" w:space="0"/>
              <w:bottom w:val="single" w:color="auto" w:sz="4" w:space="0"/>
              <w:right w:val="single" w:color="auto" w:sz="4" w:space="0"/>
            </w:tcBorders>
          </w:tcPr>
          <w:p w14:paraId="00000057">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Повышает узнаваемость бренда и конверсию продаж</w:t>
            </w:r>
          </w:p>
        </w:tc>
      </w:tr>
    </w:tbl>
    <w:p w14:paraId="00000058">
      <w:pPr>
        <w:pBdr>
          <w:top w:val="none" w:sz="4" w:space="0"/>
          <w:left w:val="none" w:sz="4" w:space="0"/>
          <w:bottom w:val="none" w:sz="4" w:space="0"/>
          <w:right w:val="none" w:sz="4" w:space="0"/>
          <w:between w:val="none" w:sz="4" w:space="0"/>
          <w:bar w:val="none" w:sz="4" w:space="0"/>
        </w:pBdr>
        <w:spacing w:after="0" w:line="240" w:lineRule="auto"/>
        <w:jc w:val="both"/>
        <w:rPr>
          <w:rFonts w:ascii="Times New Roman" w:cs="Times New Roman" w:hAnsi="Times New Roman"/>
          <w:color w:val="000000"/>
          <w:sz w:val="28"/>
          <w:szCs w:val="28"/>
        </w:rPr>
      </w:pPr>
      <w:r>
        <w:rPr>
          <w:rFonts w:ascii="Times New Roman" w:cs="Times New Roman" w:hAnsi="Times New Roman"/>
          <w:color w:val="000000"/>
          <w:sz w:val="28"/>
          <w:szCs w:val="28"/>
        </w:rPr>
        <w:t>Продолжение Таблицы 1</w:t>
      </w:r>
    </w:p>
    <w:p w14:paraId="00000059">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p>
    <w:p w14:paraId="0000005A">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В целом, несмотря на существующие сложности, потенциал онлайн-торговли для российских экспортеров огромен. </w:t>
      </w:r>
      <w:r>
        <w:rPr>
          <w:rFonts w:ascii="Times New Roman" w:cs="Times New Roman" w:hAnsi="Times New Roman"/>
          <w:color w:val="000000"/>
          <w:sz w:val="28"/>
          <w:szCs w:val="28"/>
        </w:rPr>
        <w:t xml:space="preserve">Рост объемов экспортных онлайн-продаж в России за последние годы подтверждает эффективность этого канала. </w:t>
      </w:r>
    </w:p>
    <w:p w14:paraId="0000005B">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b/>
          <w:bCs/>
          <w:color w:val="000000"/>
          <w:sz w:val="28"/>
          <w:szCs w:val="28"/>
        </w:rPr>
      </w:pPr>
      <w:r>
        <w:rPr>
          <w:rFonts w:ascii="Times New Roman" w:cs="Times New Roman" w:hAnsi="Times New Roman"/>
          <w:color w:val="000000"/>
          <w:sz w:val="28"/>
          <w:szCs w:val="28"/>
        </w:rPr>
        <w:t>При правильном подходе и поддержке со стор</w:t>
      </w:r>
      <w:r>
        <w:rPr>
          <w:rFonts w:ascii="Times New Roman" w:cs="Times New Roman" w:hAnsi="Times New Roman"/>
          <w:color w:val="000000"/>
          <w:sz w:val="28"/>
          <w:szCs w:val="28"/>
        </w:rPr>
        <w:t>оны государственных и частных институтов компании могут значительно расширить свои рынки сбыта, повысить конкурентоспособность и обеспечить устойчивое развитие на международной арене.</w:t>
      </w:r>
    </w:p>
    <w:p w14:paraId="0000005C">
      <w:pPr>
        <w:spacing w:before="100" w:after="100" w:line="240" w:lineRule="auto"/>
        <w:jc w:val="center"/>
        <w:rPr>
          <w:rFonts w:ascii="Times New Roman" w:cs="Times New Roman" w:hAnsi="Times New Roman"/>
          <w:b/>
          <w:bCs/>
          <w:color w:val="000000"/>
          <w:sz w:val="28"/>
          <w:szCs w:val="28"/>
        </w:rPr>
      </w:pPr>
    </w:p>
    <w:p w14:paraId="0000005D">
      <w:pPr>
        <w:spacing w:before="100" w:after="100" w:line="240" w:lineRule="auto"/>
        <w:ind w:firstLine="709"/>
        <w:jc w:val="center"/>
        <w:rPr>
          <w:rFonts w:ascii="Times New Roman" w:cs="Times New Roman" w:hAnsi="Times New Roman"/>
          <w:b/>
          <w:bCs/>
          <w:color w:val="000000" w:themeColor="text1"/>
          <w:sz w:val="28"/>
          <w:szCs w:val="28"/>
        </w:rPr>
      </w:pPr>
      <w:r>
        <w:rPr>
          <w:rFonts w:ascii="Times New Roman" w:cs="Times New Roman" w:hAnsi="Times New Roman"/>
          <w:b/>
          <w:bCs/>
          <w:color w:val="000000"/>
          <w:sz w:val="28"/>
          <w:szCs w:val="28"/>
        </w:rPr>
        <w:t>1.3. Типы платформ и моделей онлайн-экспорта</w:t>
      </w:r>
    </w:p>
    <w:p w14:paraId="0000005E">
      <w:pPr>
        <w:spacing w:before="100" w:after="100" w:line="240" w:lineRule="auto"/>
        <w:ind w:firstLine="709"/>
        <w:jc w:val="center"/>
        <w:rPr>
          <w:rFonts w:ascii="Times New Roman" w:cs="Times New Roman" w:hAnsi="Times New Roman"/>
          <w:b/>
          <w:bCs/>
          <w:color w:val="000000" w:themeColor="text1"/>
          <w:sz w:val="28"/>
          <w:szCs w:val="28"/>
        </w:rPr>
      </w:pPr>
    </w:p>
    <w:p w14:paraId="0000005F">
      <w:pPr>
        <w:tabs>
          <w:tab w:val="left" w:pos="2391"/>
        </w:tabs>
        <w:spacing w:before="100" w:after="100" w:line="240" w:lineRule="auto"/>
        <w:ind w:firstLine="709"/>
        <w:rPr>
          <w:rFonts w:ascii="Arial" w:cs="Arial" w:hAnsi="Arial"/>
          <w:color w:val="000000" w:themeColor="text1"/>
        </w:rPr>
      </w:pPr>
      <w:r>
        <w:rPr>
          <w:rFonts w:ascii="Arial" w:cs="Arial" w:hAnsi="Arial"/>
          <w:color w:val="000000" w:themeColor="text1"/>
        </w:rPr>
        <w:t xml:space="preserve"> </w:t>
      </w:r>
      <w:r>
        <w:rPr>
          <w:rFonts w:ascii="Times New Roman" w:cs="Times New Roman" w:hAnsi="Times New Roman"/>
          <w:color w:val="000000"/>
          <w:sz w:val="28"/>
          <w:szCs w:val="28"/>
        </w:rPr>
        <w:t>Современный международный бизнес активно использует различные</w:t>
      </w:r>
    </w:p>
    <w:p w14:paraId="00000060">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цифровые платформы и модели онлайн-экспорта, которые предоставляют </w:t>
      </w:r>
      <w:r>
        <w:rPr>
          <w:rFonts w:ascii="Times New Roman" w:cs="Times New Roman" w:hAnsi="Times New Roman"/>
          <w:color w:val="000000"/>
          <w:sz w:val="28"/>
          <w:szCs w:val="28"/>
        </w:rPr>
        <w:t xml:space="preserve">российским экспортерам новые возможности для выхода на зарубежные рынки и расширения клиентской базы. </w:t>
      </w:r>
    </w:p>
    <w:p w14:paraId="00000061">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Понимание особенностей э</w:t>
      </w:r>
      <w:r>
        <w:rPr>
          <w:rFonts w:ascii="Times New Roman" w:cs="Times New Roman" w:hAnsi="Times New Roman"/>
          <w:color w:val="000000"/>
          <w:sz w:val="28"/>
          <w:szCs w:val="28"/>
        </w:rPr>
        <w:t>тих платформ и моделей является важным этапом для успешной реализации экспортных стратегий в условиях цифровой экономики.</w:t>
      </w:r>
    </w:p>
    <w:p w14:paraId="00000062">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Одним из ключевых типов платформ являются маркетплейсы – крупные интернет-площадки, объединяющие множество продавцов и покупателей из </w:t>
      </w:r>
      <w:r>
        <w:rPr>
          <w:rFonts w:ascii="Times New Roman" w:cs="Times New Roman" w:hAnsi="Times New Roman"/>
          <w:color w:val="000000"/>
          <w:sz w:val="28"/>
          <w:szCs w:val="28"/>
        </w:rPr>
        <w:t xml:space="preserve">разных стран. </w:t>
      </w:r>
    </w:p>
    <w:p w14:paraId="00000063">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Маркетплейсы, такие как </w:t>
      </w:r>
      <w:r>
        <w:rPr>
          <w:rFonts w:ascii="Times New Roman" w:cs="Times New Roman" w:hAnsi="Times New Roman"/>
          <w:color w:val="000000"/>
          <w:sz w:val="28"/>
          <w:szCs w:val="28"/>
          <w:lang w:val="en-US"/>
        </w:rPr>
        <w:t>Amazon</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lang w:val="en-US"/>
        </w:rPr>
        <w:t>eBay</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lang w:val="en-US"/>
        </w:rPr>
        <w:t>AliExpress</w:t>
      </w:r>
      <w:r>
        <w:rPr>
          <w:rFonts w:ascii="Times New Roman" w:cs="Times New Roman" w:hAnsi="Times New Roman"/>
          <w:color w:val="000000"/>
          <w:sz w:val="28"/>
          <w:szCs w:val="28"/>
        </w:rPr>
        <w:t xml:space="preserve"> и локальные аналоги, предоставляют экспортерам доступ к широкой аудитории, а также инфраструктуру для управления продажами, логистикой и платежами. </w:t>
      </w:r>
    </w:p>
    <w:p w14:paraId="00000064">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Для российских компаний участие в маркетпле</w:t>
      </w:r>
      <w:r>
        <w:rPr>
          <w:rFonts w:ascii="Times New Roman" w:cs="Times New Roman" w:hAnsi="Times New Roman"/>
          <w:color w:val="000000"/>
          <w:sz w:val="28"/>
          <w:szCs w:val="28"/>
        </w:rPr>
        <w:t>йсах снижает барьеры входа на иностранные рынки, поскольку платформа берет на себя часть административных и технических функций.</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Однако при этом экспортеры сталкиваются с высокой конкуренцией и необходимостью адаптации товаров и маркетинговых стратегий по</w:t>
      </w:r>
      <w:r>
        <w:rPr>
          <w:rFonts w:ascii="Times New Roman" w:cs="Times New Roman" w:hAnsi="Times New Roman"/>
          <w:color w:val="000000"/>
          <w:sz w:val="28"/>
          <w:szCs w:val="28"/>
        </w:rPr>
        <w:t>д требования конкретного рынка.</w:t>
      </w:r>
    </w:p>
    <w:p w14:paraId="00000065">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Другой важной категорией являются специализированные цифровые платформы, созданные для поддержки экспортной деятельности. </w:t>
      </w:r>
    </w:p>
    <w:p w14:paraId="00000066">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Примером такой платформы является российская цифровая платформа «Мой экспорт», запущенная в 2020 году в рамках национального проекта «Международная кооперация и экспорт».</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Эта платформа функционирует как единое окно, предоставляя компаниям доступ к государст</w:t>
      </w:r>
      <w:r>
        <w:rPr>
          <w:rFonts w:ascii="Times New Roman" w:cs="Times New Roman" w:hAnsi="Times New Roman"/>
          <w:color w:val="000000"/>
          <w:sz w:val="28"/>
          <w:szCs w:val="28"/>
        </w:rPr>
        <w:t xml:space="preserve">венным и бизнес-услугам, необходимым для выхода на внешние рынки [7]. </w:t>
      </w:r>
    </w:p>
    <w:p w14:paraId="00000067">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«Мой экспорт» упрощает процессы получения разрешений, сертификации, поиска партнеров и участия в международных выставках, что значительно снижает административные барьеры для российских экс</w:t>
      </w:r>
      <w:r>
        <w:rPr>
          <w:rFonts w:ascii="Times New Roman" w:cs="Times New Roman" w:hAnsi="Times New Roman"/>
          <w:color w:val="000000"/>
          <w:sz w:val="28"/>
          <w:szCs w:val="28"/>
        </w:rPr>
        <w:t xml:space="preserve">портеров. </w:t>
      </w:r>
    </w:p>
    <w:p w14:paraId="00000068">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Кроме того, платформа интегрирует платежные сервисы и инструменты для управления экспортными контрактами, обеспечивая бесшовность бизнес-процессов. </w:t>
      </w:r>
    </w:p>
    <w:p w14:paraId="00000069">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С точки зрения моделей онлайн-экспорта можно выделить несколько основных с разлинчыми преимущест</w:t>
      </w:r>
      <w:r>
        <w:rPr>
          <w:rFonts w:ascii="Times New Roman" w:cs="Times New Roman" w:hAnsi="Times New Roman"/>
          <w:color w:val="000000"/>
          <w:sz w:val="28"/>
          <w:szCs w:val="28"/>
        </w:rPr>
        <w:t>вами и рисками (они представлены в таблице 2)</w:t>
      </w:r>
    </w:p>
    <w:p w14:paraId="0000006A">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8"/>
          <w:szCs w:val="28"/>
        </w:rPr>
      </w:pPr>
    </w:p>
    <w:p w14:paraId="0000006B">
      <w:pPr>
        <w:pBdr>
          <w:top w:val="none" w:sz="4" w:space="0"/>
          <w:left w:val="none" w:sz="4" w:space="0"/>
          <w:bottom w:val="none" w:sz="4" w:space="0"/>
          <w:right w:val="none" w:sz="4" w:space="0"/>
          <w:between w:val="none" w:sz="4" w:space="0"/>
          <w:bar w:val="none" w:sz="4" w:space="0"/>
        </w:pBdr>
        <w:spacing w:after="0" w:line="240" w:lineRule="auto"/>
        <w:rPr>
          <w:rFonts w:ascii="Segoe UI"/>
          <w:color w:val="000000"/>
        </w:rPr>
      </w:pPr>
      <w:r>
        <w:rPr>
          <w:rFonts w:ascii="Times New Roman" w:cs="Times New Roman" w:hAnsi="Times New Roman"/>
          <w:color w:val="000000"/>
          <w:sz w:val="28"/>
          <w:szCs w:val="28"/>
        </w:rPr>
        <w:t>Таблица 2</w:t>
      </w:r>
      <w:r>
        <w:rPr>
          <w:rFonts w:ascii="Times New Roman" w:cs="Times New Roman" w:hAnsi="Times New Roman"/>
          <w:color w:val="000000"/>
          <w:sz w:val="28"/>
          <w:szCs w:val="28"/>
          <w:lang w:val="en-US"/>
        </w:rPr>
        <w:t>–</w:t>
      </w:r>
      <w:r>
        <w:rPr>
          <w:rFonts w:ascii="Times New Roman" w:cs="Times New Roman" w:hAnsi="Times New Roman"/>
          <w:color w:val="000000"/>
          <w:sz w:val="28"/>
          <w:szCs w:val="28"/>
        </w:rPr>
        <w:t>Модели онлайн экспорта[7]</w:t>
      </w:r>
    </w:p>
    <w:tbl>
      <w:tblPr>
        <w:tblW w:w="9457" w:type="dxa"/>
        <w:tblInd w:w="-7" w:type="dxa"/>
        <w:tblBorders>
          <w:top w:val="single" w:color="e5e7eb" w:sz="6" w:space="0"/>
          <w:left w:val="single" w:color="e5e7eb" w:sz="6" w:space="0"/>
          <w:bottom w:val="single" w:color="e5e7eb" w:sz="6" w:space="0"/>
          <w:right w:val="single" w:color="e5e7eb" w:sz="6" w:space="0"/>
          <w:insideH w:val="single" w:color="e5e7eb" w:sz="6" w:space="0"/>
          <w:insideV w:val="single" w:color="e5e7eb" w:sz="6" w:space="0"/>
        </w:tblBorders>
        <w:tblLayout w:type="fixed"/>
        <w:tblCellMar>
          <w:top w:w="10" w:type="dxa"/>
          <w:left w:w="10" w:type="dxa"/>
          <w:bottom w:w="10" w:type="dxa"/>
          <w:right w:w="10" w:type="dxa"/>
        </w:tblCellMar>
        <w:tblLook w:val="04A0"/>
      </w:tblPr>
      <w:tblGrid>
        <w:gridCol w:w="2168"/>
        <w:gridCol w:w="2386"/>
        <w:gridCol w:w="1820"/>
        <w:gridCol w:w="3083"/>
      </w:tblGrid>
      <w:tr>
        <w:trPr/>
        <w:tc>
          <w:tcPr>
            <w:cnfStyle w:val="101000000000"/>
            <w:tcW w:w="2168" w:type="dxa"/>
            <w:tcBorders>
              <w:top w:val="single" w:color="auto" w:sz="4" w:space="0"/>
              <w:left w:val="single" w:color="auto" w:sz="4" w:space="0"/>
              <w:bottom w:val="single" w:color="auto" w:sz="4" w:space="0"/>
              <w:right w:val="single" w:color="auto" w:sz="4" w:space="0"/>
            </w:tcBorders>
          </w:tcPr>
          <w:p w14:paraId="0000006C">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bCs/>
                <w:color w:val="000000"/>
                <w:szCs w:val="32"/>
                <w:lang w:val="en-US"/>
              </w:rPr>
            </w:pPr>
            <w:r>
              <w:rPr>
                <w:rFonts w:ascii="Times New Roman" w:cs="Times New Roman" w:hAnsi="Times New Roman"/>
                <w:b/>
                <w:bCs/>
                <w:color w:val="000000"/>
                <w:szCs w:val="32"/>
                <w:lang w:val="en-US"/>
              </w:rPr>
              <w:t>Модель онлайн-экспорта</w:t>
            </w:r>
          </w:p>
        </w:tc>
        <w:tc>
          <w:tcPr>
            <w:cnfStyle w:val="100000000000"/>
            <w:tcW w:w="2386" w:type="dxa"/>
            <w:tcBorders>
              <w:top w:val="single" w:color="auto" w:sz="4" w:space="0"/>
              <w:left w:val="single" w:color="auto" w:sz="4" w:space="0"/>
              <w:bottom w:val="single" w:color="auto" w:sz="4" w:space="0"/>
              <w:right w:val="single" w:color="auto" w:sz="4" w:space="0"/>
            </w:tcBorders>
          </w:tcPr>
          <w:p w14:paraId="0000006D">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bCs/>
                <w:color w:val="000000"/>
                <w:szCs w:val="32"/>
              </w:rPr>
            </w:pPr>
            <w:r>
              <w:rPr>
                <w:rFonts w:ascii="Times New Roman" w:cs="Times New Roman" w:hAnsi="Times New Roman"/>
                <w:b/>
                <w:bCs/>
                <w:color w:val="000000"/>
                <w:szCs w:val="32"/>
                <w:lang w:val="en-US"/>
              </w:rPr>
              <w:t>Описание</w:t>
            </w:r>
          </w:p>
        </w:tc>
        <w:tc>
          <w:tcPr>
            <w:cnfStyle w:val="100000000000"/>
            <w:tcW w:w="1820" w:type="dxa"/>
            <w:tcBorders>
              <w:top w:val="single" w:color="auto" w:sz="4" w:space="0"/>
              <w:left w:val="single" w:color="auto" w:sz="4" w:space="0"/>
              <w:bottom w:val="single" w:color="auto" w:sz="4" w:space="0"/>
              <w:right w:val="single" w:color="auto" w:sz="4" w:space="0"/>
            </w:tcBorders>
          </w:tcPr>
          <w:p w14:paraId="0000006E">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bCs/>
                <w:color w:val="000000"/>
                <w:szCs w:val="32"/>
              </w:rPr>
            </w:pPr>
            <w:r>
              <w:rPr>
                <w:rFonts w:ascii="Times New Roman" w:cs="Times New Roman" w:hAnsi="Times New Roman"/>
                <w:b/>
                <w:bCs/>
                <w:color w:val="000000"/>
                <w:szCs w:val="32"/>
                <w:lang w:val="en-US"/>
              </w:rPr>
              <w:t>Преимущества</w:t>
            </w:r>
          </w:p>
        </w:tc>
        <w:tc>
          <w:tcPr>
            <w:cnfStyle w:val="100000000000"/>
            <w:tcW w:w="3083" w:type="dxa"/>
            <w:tcBorders>
              <w:top w:val="single" w:color="auto" w:sz="4" w:space="0"/>
              <w:left w:val="single" w:color="auto" w:sz="4" w:space="0"/>
              <w:bottom w:val="single" w:color="auto" w:sz="4" w:space="0"/>
              <w:right w:val="single" w:color="auto" w:sz="4" w:space="0"/>
            </w:tcBorders>
          </w:tcPr>
          <w:p w14:paraId="0000006F">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bCs/>
                <w:color w:val="000000"/>
                <w:szCs w:val="32"/>
              </w:rPr>
            </w:pPr>
            <w:r>
              <w:rPr>
                <w:rFonts w:ascii="Times New Roman" w:cs="Times New Roman" w:hAnsi="Times New Roman"/>
                <w:b/>
                <w:bCs/>
                <w:color w:val="000000"/>
                <w:szCs w:val="32"/>
                <w:lang w:val="en-US"/>
              </w:rPr>
              <w:t>Ограничения и риски</w:t>
            </w:r>
          </w:p>
        </w:tc>
      </w:tr>
      <w:tr>
        <w:trPr/>
        <w:tc>
          <w:tcPr>
            <w:cnfStyle w:val="001000100000"/>
            <w:tcW w:w="2168" w:type="dxa"/>
            <w:tcBorders>
              <w:top w:val="single" w:color="auto" w:sz="4" w:space="0"/>
              <w:left w:val="single" w:color="auto" w:sz="4" w:space="0"/>
              <w:bottom w:val="single" w:color="auto" w:sz="4" w:space="0"/>
              <w:right w:val="single" w:color="auto" w:sz="4" w:space="0"/>
            </w:tcBorders>
          </w:tcPr>
          <w:p w14:paraId="00000070">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lang w:val="en-US"/>
              </w:rPr>
            </w:pPr>
            <w:r>
              <w:rPr>
                <w:rFonts w:ascii="Times New Roman" w:cs="Times New Roman" w:hAnsi="Times New Roman"/>
                <w:color w:val="000000"/>
                <w:szCs w:val="32"/>
                <w:lang w:val="en-US"/>
              </w:rPr>
              <w:t>Прямые продажи (D2C)</w:t>
            </w:r>
          </w:p>
        </w:tc>
        <w:tc>
          <w:tcPr>
            <w:cnfStyle w:val="000000100000"/>
            <w:tcW w:w="2386" w:type="dxa"/>
            <w:tcBorders>
              <w:top w:val="single" w:color="auto" w:sz="4" w:space="0"/>
              <w:left w:val="single" w:color="auto" w:sz="4" w:space="0"/>
              <w:bottom w:val="single" w:color="auto" w:sz="4" w:space="0"/>
              <w:right w:val="single" w:color="auto" w:sz="4" w:space="0"/>
            </w:tcBorders>
          </w:tcPr>
          <w:p w14:paraId="00000071">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Продажа товаров через собственный интернет-магазин компании</w:t>
            </w:r>
          </w:p>
        </w:tc>
        <w:tc>
          <w:tcPr>
            <w:cnfStyle w:val="000000100000"/>
            <w:tcW w:w="1820" w:type="dxa"/>
            <w:tcBorders>
              <w:top w:val="single" w:color="auto" w:sz="4" w:space="0"/>
              <w:left w:val="single" w:color="auto" w:sz="4" w:space="0"/>
              <w:bottom w:val="single" w:color="auto" w:sz="4" w:space="0"/>
              <w:right w:val="single" w:color="auto" w:sz="4" w:space="0"/>
            </w:tcBorders>
          </w:tcPr>
          <w:p w14:paraId="00000072">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Полный контроль над брендом и клиентским опытом; возможность персонализации</w:t>
            </w:r>
          </w:p>
        </w:tc>
        <w:tc>
          <w:tcPr>
            <w:cnfStyle w:val="000000100000"/>
            <w:tcW w:w="3083" w:type="dxa"/>
            <w:tcBorders>
              <w:top w:val="single" w:color="auto" w:sz="4" w:space="0"/>
              <w:left w:val="single" w:color="auto" w:sz="4" w:space="0"/>
              <w:bottom w:val="single" w:color="auto" w:sz="4" w:space="0"/>
              <w:right w:val="single" w:color="auto" w:sz="4" w:space="0"/>
            </w:tcBorders>
          </w:tcPr>
          <w:p w14:paraId="00000073">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Высокие затраты на создание и продвижение; сложность организации международной логистики</w:t>
            </w:r>
          </w:p>
        </w:tc>
      </w:tr>
      <w:tr>
        <w:trPr/>
        <w:tc>
          <w:tcPr>
            <w:cnfStyle w:val="001000010000"/>
            <w:tcW w:w="2168" w:type="dxa"/>
            <w:tcBorders>
              <w:top w:val="single" w:color="auto" w:sz="4" w:space="0"/>
              <w:left w:val="single" w:color="auto" w:sz="4" w:space="0"/>
              <w:bottom w:val="single" w:color="auto" w:sz="4" w:space="0"/>
              <w:right w:val="single" w:color="auto" w:sz="4" w:space="0"/>
            </w:tcBorders>
          </w:tcPr>
          <w:p w14:paraId="00000074">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lang w:val="en-US"/>
              </w:rPr>
            </w:pPr>
            <w:r>
              <w:rPr>
                <w:rFonts w:ascii="Times New Roman" w:cs="Times New Roman" w:hAnsi="Times New Roman"/>
                <w:color w:val="000000"/>
                <w:szCs w:val="32"/>
                <w:lang w:val="en-US"/>
              </w:rPr>
              <w:t>Маркетплейсы</w:t>
            </w:r>
          </w:p>
        </w:tc>
        <w:tc>
          <w:tcPr>
            <w:cnfStyle w:val="000000010000"/>
            <w:tcW w:w="2386" w:type="dxa"/>
            <w:tcBorders>
              <w:top w:val="single" w:color="auto" w:sz="4" w:space="0"/>
              <w:left w:val="single" w:color="auto" w:sz="4" w:space="0"/>
              <w:bottom w:val="single" w:color="auto" w:sz="4" w:space="0"/>
              <w:right w:val="single" w:color="auto" w:sz="4" w:space="0"/>
            </w:tcBorders>
          </w:tcPr>
          <w:p w14:paraId="00000075">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Продажа через крупные платформы (</w:t>
            </w:r>
            <w:r>
              <w:rPr>
                <w:rFonts w:ascii="Times New Roman" w:cs="Times New Roman" w:hAnsi="Times New Roman"/>
                <w:color w:val="000000"/>
                <w:szCs w:val="32"/>
                <w:lang w:val="en-US"/>
              </w:rPr>
              <w:t>Amazon</w:t>
            </w:r>
            <w:r>
              <w:rPr>
                <w:rFonts w:ascii="Times New Roman" w:cs="Times New Roman" w:hAnsi="Times New Roman"/>
                <w:color w:val="000000"/>
                <w:szCs w:val="32"/>
              </w:rPr>
              <w:t xml:space="preserve">, </w:t>
            </w:r>
            <w:r>
              <w:rPr>
                <w:rFonts w:ascii="Times New Roman" w:cs="Times New Roman" w:hAnsi="Times New Roman"/>
                <w:color w:val="000000"/>
                <w:szCs w:val="32"/>
                <w:lang w:val="en-US"/>
              </w:rPr>
              <w:t>eBay</w:t>
            </w:r>
            <w:r>
              <w:rPr>
                <w:rFonts w:ascii="Times New Roman" w:cs="Times New Roman" w:hAnsi="Times New Roman"/>
                <w:color w:val="000000"/>
                <w:szCs w:val="32"/>
              </w:rPr>
              <w:t xml:space="preserve">, </w:t>
            </w:r>
            <w:r>
              <w:rPr>
                <w:rFonts w:ascii="Times New Roman" w:cs="Times New Roman" w:hAnsi="Times New Roman"/>
                <w:color w:val="000000"/>
                <w:szCs w:val="32"/>
                <w:lang w:val="en-US"/>
              </w:rPr>
              <w:t>AliExpress</w:t>
            </w:r>
            <w:r>
              <w:rPr>
                <w:rFonts w:ascii="Times New Roman" w:cs="Times New Roman" w:hAnsi="Times New Roman"/>
                <w:color w:val="000000"/>
                <w:szCs w:val="32"/>
              </w:rPr>
              <w:t xml:space="preserve"> и др.)</w:t>
            </w:r>
          </w:p>
        </w:tc>
        <w:tc>
          <w:tcPr>
            <w:cnfStyle w:val="000000010000"/>
            <w:tcW w:w="1820" w:type="dxa"/>
            <w:tcBorders>
              <w:top w:val="single" w:color="auto" w:sz="4" w:space="0"/>
              <w:left w:val="single" w:color="auto" w:sz="4" w:space="0"/>
              <w:bottom w:val="single" w:color="auto" w:sz="4" w:space="0"/>
              <w:right w:val="single" w:color="auto" w:sz="4" w:space="0"/>
            </w:tcBorders>
          </w:tcPr>
          <w:p w14:paraId="00000076">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 xml:space="preserve">Доступ к </w:t>
            </w:r>
            <w:r>
              <w:rPr>
                <w:rFonts w:ascii="Times New Roman" w:cs="Times New Roman" w:hAnsi="Times New Roman"/>
                <w:color w:val="000000"/>
                <w:szCs w:val="32"/>
              </w:rPr>
              <w:t>широкой аудитории; снижение барьеров входа; готовая инфраструктура</w:t>
            </w:r>
          </w:p>
        </w:tc>
        <w:tc>
          <w:tcPr>
            <w:cnfStyle w:val="000000010000"/>
            <w:tcW w:w="3083" w:type="dxa"/>
            <w:tcBorders>
              <w:top w:val="single" w:color="auto" w:sz="4" w:space="0"/>
              <w:left w:val="single" w:color="auto" w:sz="4" w:space="0"/>
              <w:bottom w:val="single" w:color="auto" w:sz="4" w:space="0"/>
              <w:right w:val="single" w:color="auto" w:sz="4" w:space="0"/>
            </w:tcBorders>
          </w:tcPr>
          <w:p w14:paraId="00000077">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Высокая конкуренция; необходимость адаптации под правила платформы; ограниченный контроль</w:t>
            </w:r>
          </w:p>
        </w:tc>
      </w:tr>
      <w:tr>
        <w:trPr/>
        <w:tc>
          <w:tcPr>
            <w:cnfStyle w:val="001000100000"/>
            <w:tcW w:w="2168" w:type="dxa"/>
            <w:tcBorders>
              <w:top w:val="single" w:color="auto" w:sz="4" w:space="0"/>
              <w:left w:val="single" w:color="auto" w:sz="4" w:space="0"/>
              <w:bottom w:val="single" w:color="auto" w:sz="4" w:space="0"/>
              <w:right w:val="single" w:color="auto" w:sz="4" w:space="0"/>
            </w:tcBorders>
          </w:tcPr>
          <w:p w14:paraId="00000078">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lang w:val="en-US"/>
              </w:rPr>
            </w:pPr>
            <w:r>
              <w:rPr>
                <w:rFonts w:ascii="Times New Roman" w:cs="Times New Roman" w:hAnsi="Times New Roman"/>
                <w:color w:val="000000"/>
                <w:szCs w:val="32"/>
                <w:lang w:val="en-US"/>
              </w:rPr>
              <w:t>B2B-платформы</w:t>
            </w:r>
          </w:p>
        </w:tc>
        <w:tc>
          <w:tcPr>
            <w:cnfStyle w:val="000000100000"/>
            <w:tcW w:w="2386" w:type="dxa"/>
            <w:tcBorders>
              <w:top w:val="single" w:color="auto" w:sz="4" w:space="0"/>
              <w:left w:val="single" w:color="auto" w:sz="4" w:space="0"/>
              <w:bottom w:val="single" w:color="auto" w:sz="4" w:space="0"/>
              <w:right w:val="single" w:color="auto" w:sz="4" w:space="0"/>
            </w:tcBorders>
          </w:tcPr>
          <w:p w14:paraId="00000079">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Электронные площадки для оптовых продаж и взаимодействия между компаниями</w:t>
            </w:r>
          </w:p>
        </w:tc>
        <w:tc>
          <w:tcPr>
            <w:cnfStyle w:val="000000100000"/>
            <w:tcW w:w="1820" w:type="dxa"/>
            <w:tcBorders>
              <w:top w:val="single" w:color="auto" w:sz="4" w:space="0"/>
              <w:left w:val="single" w:color="auto" w:sz="4" w:space="0"/>
              <w:bottom w:val="single" w:color="auto" w:sz="4" w:space="0"/>
              <w:right w:val="single" w:color="auto" w:sz="4" w:space="0"/>
            </w:tcBorders>
          </w:tcPr>
          <w:p w14:paraId="0000007A">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Упрощение поиска партнеров и заключения сделок; интеграция с логистикой и финансами</w:t>
            </w:r>
          </w:p>
        </w:tc>
        <w:tc>
          <w:tcPr>
            <w:cnfStyle w:val="000000100000"/>
            <w:tcW w:w="3083" w:type="dxa"/>
            <w:tcBorders>
              <w:top w:val="single" w:color="auto" w:sz="4" w:space="0"/>
              <w:left w:val="single" w:color="auto" w:sz="4" w:space="0"/>
              <w:bottom w:val="single" w:color="auto" w:sz="4" w:space="0"/>
              <w:right w:val="single" w:color="auto" w:sz="4" w:space="0"/>
            </w:tcBorders>
          </w:tcPr>
          <w:p w14:paraId="0000007B">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color w:val="000000"/>
                <w:szCs w:val="32"/>
              </w:rPr>
              <w:t>Требуют специфических компетенций; ограничены сегментом оптового рынка</w:t>
            </w:r>
          </w:p>
        </w:tc>
      </w:tr>
      <w:tr>
        <w:trPr/>
        <w:tc>
          <w:tcPr>
            <w:cnfStyle w:val="001000010000"/>
            <w:tcW w:w="2168" w:type="dxa"/>
            <w:tcBorders>
              <w:top w:val="single" w:color="auto" w:sz="4" w:space="0"/>
              <w:left w:val="single" w:color="auto" w:sz="4" w:space="0"/>
              <w:bottom w:val="single" w:color="auto" w:sz="4" w:space="0"/>
              <w:right w:val="single" w:color="auto" w:sz="4" w:space="0"/>
            </w:tcBorders>
          </w:tcPr>
          <w:p w14:paraId="0000007C">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lang w:val="en-US"/>
              </w:rPr>
            </w:pPr>
            <w:r>
              <w:rPr>
                <w:rFonts w:ascii="Times New Roman" w:cs="Times New Roman" w:hAnsi="Times New Roman"/>
              </w:rPr>
              <w:t>Агентская/партнерская модель</w:t>
            </w:r>
          </w:p>
        </w:tc>
        <w:tc>
          <w:tcPr>
            <w:cnfStyle w:val="000000010000"/>
            <w:tcW w:w="2386" w:type="dxa"/>
            <w:tcBorders>
              <w:top w:val="single" w:color="auto" w:sz="4" w:space="0"/>
              <w:left w:val="single" w:color="auto" w:sz="4" w:space="0"/>
              <w:bottom w:val="single" w:color="auto" w:sz="4" w:space="0"/>
              <w:right w:val="single" w:color="auto" w:sz="4" w:space="0"/>
            </w:tcBorders>
          </w:tcPr>
          <w:p w14:paraId="0000007D">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rPr>
              <w:t>Работа через локальных партнеров или агентов, которые продвигают и продают товары онлайн</w:t>
            </w:r>
          </w:p>
        </w:tc>
        <w:tc>
          <w:tcPr>
            <w:cnfStyle w:val="000000010000"/>
            <w:tcW w:w="1820" w:type="dxa"/>
            <w:tcBorders>
              <w:top w:val="single" w:color="auto" w:sz="4" w:space="0"/>
              <w:left w:val="single" w:color="auto" w:sz="4" w:space="0"/>
              <w:bottom w:val="single" w:color="auto" w:sz="4" w:space="0"/>
              <w:right w:val="single" w:color="auto" w:sz="4" w:space="0"/>
            </w:tcBorders>
          </w:tcPr>
          <w:p w14:paraId="0000007E">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rPr>
              <w:t>Снижение рисков и затрат; использование знаний местного рынка</w:t>
            </w:r>
          </w:p>
        </w:tc>
        <w:tc>
          <w:tcPr>
            <w:cnfStyle w:val="000000010000"/>
            <w:tcW w:w="3083" w:type="dxa"/>
            <w:tcBorders>
              <w:top w:val="single" w:color="auto" w:sz="4" w:space="0"/>
              <w:left w:val="single" w:color="auto" w:sz="4" w:space="0"/>
              <w:bottom w:val="single" w:color="auto" w:sz="4" w:space="0"/>
              <w:right w:val="single" w:color="auto" w:sz="4" w:space="0"/>
            </w:tcBorders>
          </w:tcPr>
          <w:p w14:paraId="0000007F">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rPr>
              <w:t>Зависимость от партнеров; ограниченный контроль над процессом</w:t>
            </w:r>
          </w:p>
        </w:tc>
      </w:tr>
      <w:tr>
        <w:trPr/>
        <w:tc>
          <w:tcPr>
            <w:cnfStyle w:val="001000100000"/>
            <w:tcW w:w="2168" w:type="dxa"/>
            <w:tcBorders>
              <w:top w:val="single" w:color="auto" w:sz="4" w:space="0"/>
              <w:left w:val="single" w:color="auto" w:sz="4" w:space="0"/>
              <w:bottom w:val="single" w:color="auto" w:sz="4" w:space="0"/>
              <w:right w:val="single" w:color="auto" w:sz="4" w:space="0"/>
            </w:tcBorders>
          </w:tcPr>
          <w:p w14:paraId="00000080">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rPr>
              <w:t>Цифровые экспортные платформы</w:t>
            </w:r>
          </w:p>
        </w:tc>
        <w:tc>
          <w:tcPr>
            <w:cnfStyle w:val="000000100000"/>
            <w:tcW w:w="2386" w:type="dxa"/>
            <w:tcBorders>
              <w:top w:val="single" w:color="auto" w:sz="4" w:space="0"/>
              <w:left w:val="single" w:color="auto" w:sz="4" w:space="0"/>
              <w:bottom w:val="single" w:color="auto" w:sz="4" w:space="0"/>
              <w:right w:val="single" w:color="auto" w:sz="4" w:space="0"/>
            </w:tcBorders>
          </w:tcPr>
          <w:p w14:paraId="00000081">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rPr>
              <w:t>Комплексные сервисы поддержки экспорта (например, «Мой экспорт»)</w:t>
            </w:r>
          </w:p>
        </w:tc>
        <w:tc>
          <w:tcPr>
            <w:cnfStyle w:val="000000100000"/>
            <w:tcW w:w="1820" w:type="dxa"/>
            <w:tcBorders>
              <w:top w:val="single" w:color="auto" w:sz="4" w:space="0"/>
              <w:left w:val="single" w:color="auto" w:sz="4" w:space="0"/>
              <w:bottom w:val="single" w:color="auto" w:sz="4" w:space="0"/>
              <w:right w:val="single" w:color="auto" w:sz="4" w:space="0"/>
            </w:tcBorders>
          </w:tcPr>
          <w:p w14:paraId="00000082">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rPr>
              <w:t>Облегчают оформление документов, поиск партнеров, интеграцию с маркетплейсами</w:t>
            </w:r>
          </w:p>
        </w:tc>
        <w:tc>
          <w:tcPr>
            <w:cnfStyle w:val="000000100000"/>
            <w:tcW w:w="3083" w:type="dxa"/>
            <w:tcBorders>
              <w:top w:val="single" w:color="auto" w:sz="4" w:space="0"/>
              <w:left w:val="single" w:color="auto" w:sz="4" w:space="0"/>
              <w:bottom w:val="single" w:color="auto" w:sz="4" w:space="0"/>
              <w:right w:val="single" w:color="auto" w:sz="4" w:space="0"/>
            </w:tcBorders>
          </w:tcPr>
          <w:p w14:paraId="00000083">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32"/>
              </w:rPr>
            </w:pPr>
            <w:r>
              <w:rPr>
                <w:rFonts w:ascii="Times New Roman" w:cs="Times New Roman" w:hAnsi="Times New Roman"/>
              </w:rPr>
              <w:t>Зависимость от качества и функционала платформы; возможные ограничения по ассортименту</w:t>
            </w:r>
          </w:p>
        </w:tc>
      </w:tr>
    </w:tbl>
    <w:p w14:paraId="00000084">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8"/>
          <w:szCs w:val="28"/>
        </w:rPr>
      </w:pPr>
    </w:p>
    <w:p w14:paraId="00000085">
      <w:pPr>
        <w:pStyle w:val="BodyTextIndent2"/>
        <w:rPr/>
      </w:pPr>
      <w:r>
        <w:t>Таким образом, выбор модели онлайн-экспорта зависит от специфики товара, целевых рынков, ресурсов компании и стратегических целей.</w:t>
      </w:r>
    </w:p>
    <w:p w14:paraId="00000086">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Р</w:t>
      </w:r>
      <w:r>
        <w:rPr>
          <w:rFonts w:ascii="Times New Roman" w:cs="Times New Roman" w:hAnsi="Times New Roman"/>
          <w:color w:val="000000"/>
          <w:sz w:val="28"/>
          <w:szCs w:val="28"/>
        </w:rPr>
        <w:t>оссийские экспортеры часто комбинируют несколько моделей, чтобы максимизировать охват аудитории и повысить эффективность про</w:t>
      </w:r>
      <w:r>
        <w:rPr>
          <w:rFonts w:ascii="Times New Roman" w:cs="Times New Roman" w:hAnsi="Times New Roman"/>
          <w:color w:val="000000"/>
          <w:sz w:val="28"/>
          <w:szCs w:val="28"/>
        </w:rPr>
        <w:t>даж.</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 xml:space="preserve">На основе </w:t>
      </w:r>
      <w:r>
        <w:rPr>
          <w:rFonts w:ascii="Times New Roman" w:cs="Times New Roman" w:hAnsi="Times New Roman"/>
          <w:color w:val="000000"/>
          <w:sz w:val="28"/>
          <w:szCs w:val="28"/>
        </w:rPr>
        <w:t>аналитики российского рынка онлайн-экспорта можно представить примерное распределение предпочтений российских компаний по выбору моделей онлайн-экспорта</w:t>
      </w:r>
      <w:r>
        <w:rPr>
          <w:rFonts w:ascii="Times New Roman" w:cs="Times New Roman" w:hAnsi="Times New Roman"/>
          <w:color w:val="000000"/>
          <w:sz w:val="28"/>
          <w:szCs w:val="28"/>
        </w:rPr>
        <w:t>.</w:t>
      </w:r>
    </w:p>
    <w:p w14:paraId="00000087">
      <w:pPr>
        <w:tabs>
          <w:tab w:val="left" w:pos="2391"/>
        </w:tabs>
        <w:spacing w:before="100" w:after="100" w:line="240" w:lineRule="auto"/>
        <w:rPr>
          <w:rFonts w:ascii="Arial" w:cs="Arial" w:hAnsi="Arial"/>
          <w:color w:val="000000" w:themeColor="text1"/>
        </w:rPr>
      </w:pPr>
      <w:r>
        <w:rPr>
          <w:rFonts w:ascii="Arial" w:cs="Arial" w:hAnsi="Arial"/>
          <w:color w:val="000000" w:themeColor="text1"/>
        </w:rPr>
        <w:drawing xmlns:mc="http://schemas.openxmlformats.org/markup-compatibility/2006">
          <wp:anchor allowOverlap="1" behindDoc="0" distT="0" distB="0" distL="118872" distR="118872" layoutInCell="1" locked="0" relativeHeight="251658240" simplePos="0">
            <wp:simplePos x="0" y="0"/>
            <wp:positionH relativeFrom="margin">
              <wp:align>left</wp:align>
            </wp:positionH>
            <wp:positionV relativeFrom="paragraph">
              <wp:posOffset>125519</wp:posOffset>
            </wp:positionV>
            <wp:extent cx="5675207" cy="1602952"/>
            <wp:effectExtent l="0" t="0" r="9526" b="9525"/>
            <wp:wrapNone/>
            <wp:docPr id="2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0000088">
      <w:pPr>
        <w:tabs>
          <w:tab w:val="left" w:pos="2391"/>
        </w:tabs>
        <w:spacing w:before="100" w:after="100" w:line="240" w:lineRule="auto"/>
        <w:rPr>
          <w:rFonts w:ascii="Arial" w:cs="Arial" w:hAnsi="Arial"/>
          <w:color w:val="000000" w:themeColor="text1"/>
        </w:rPr>
      </w:pPr>
    </w:p>
    <w:p w14:paraId="00000089">
      <w:pPr>
        <w:tabs>
          <w:tab w:val="left" w:pos="2391"/>
        </w:tabs>
        <w:spacing w:before="100" w:after="100" w:line="240" w:lineRule="auto"/>
        <w:rPr>
          <w:rFonts w:ascii="Arial" w:cs="Arial" w:hAnsi="Arial"/>
          <w:color w:val="000000" w:themeColor="text1"/>
        </w:rPr>
      </w:pPr>
    </w:p>
    <w:p w14:paraId="0000008A">
      <w:pPr>
        <w:tabs>
          <w:tab w:val="left" w:pos="2391"/>
        </w:tabs>
        <w:spacing w:before="100" w:after="100" w:line="240" w:lineRule="auto"/>
        <w:rPr>
          <w:rFonts w:ascii="Arial" w:cs="Arial" w:hAnsi="Arial"/>
          <w:color w:val="000000" w:themeColor="text1"/>
        </w:rPr>
      </w:pPr>
    </w:p>
    <w:p w14:paraId="0000008B">
      <w:pPr>
        <w:tabs>
          <w:tab w:val="left" w:pos="2391"/>
        </w:tabs>
        <w:spacing w:before="100" w:after="100" w:line="240" w:lineRule="auto"/>
        <w:rPr>
          <w:rFonts w:ascii="Arial" w:cs="Arial" w:hAnsi="Arial"/>
          <w:color w:val="000000" w:themeColor="text1"/>
        </w:rPr>
      </w:pPr>
    </w:p>
    <w:p w14:paraId="0000008C">
      <w:pPr>
        <w:tabs>
          <w:tab w:val="left" w:pos="2391"/>
        </w:tabs>
        <w:spacing w:before="100" w:after="100" w:line="240" w:lineRule="auto"/>
        <w:rPr>
          <w:rFonts w:ascii="Arial" w:cs="Arial" w:hAnsi="Arial"/>
          <w:color w:val="000000" w:themeColor="text1"/>
        </w:rPr>
      </w:pPr>
    </w:p>
    <w:p w14:paraId="0000008D">
      <w:pPr>
        <w:tabs>
          <w:tab w:val="left" w:pos="2391"/>
        </w:tabs>
        <w:spacing w:before="100" w:after="100" w:line="240" w:lineRule="auto"/>
        <w:rPr>
          <w:rFonts w:ascii="Times New Roman" w:cs="Times New Roman" w:hAnsi="Times New Roman"/>
          <w:color w:val="000000" w:themeColor="text1"/>
          <w:sz w:val="28"/>
          <w:szCs w:val="28"/>
        </w:rPr>
      </w:pPr>
    </w:p>
    <w:p w14:paraId="0000008E">
      <w:pPr>
        <w:tabs>
          <w:tab w:val="left" w:pos="2391"/>
        </w:tabs>
        <w:spacing w:before="100" w:after="100" w:line="240" w:lineRule="auto"/>
        <w:jc w:val="center"/>
        <w:rPr>
          <w:rFonts w:ascii="Times New Roman" w:cs="Times New Roman" w:hAnsi="Times New Roman"/>
          <w:color w:val="000000" w:themeColor="text1"/>
          <w:sz w:val="28"/>
          <w:szCs w:val="28"/>
        </w:rPr>
      </w:pPr>
      <w:r>
        <w:rPr>
          <w:rFonts w:ascii="Times New Roman" w:cs="Times New Roman" w:hAnsi="Times New Roman"/>
          <w:color w:val="000000" w:themeColor="text1"/>
          <w:sz w:val="28"/>
          <w:szCs w:val="28"/>
        </w:rPr>
        <w:t>Рисунок 1</w:t>
      </w:r>
      <w:r>
        <w:rPr>
          <w:rFonts w:ascii="Times New Roman" w:cs="Times New Roman" w:hAnsi="Times New Roman"/>
          <w:sz w:val="28"/>
          <w:szCs w:val="28"/>
        </w:rPr>
        <w:t>–</w:t>
      </w:r>
      <w:r>
        <w:rPr>
          <w:rFonts w:ascii="Times New Roman" w:cs="Times New Roman" w:hAnsi="Times New Roman"/>
          <w:color w:val="000000" w:themeColor="text1"/>
          <w:sz w:val="28"/>
          <w:szCs w:val="28"/>
        </w:rPr>
        <w:t xml:space="preserve"> предпочтения российских компаний по выбору моделей онлайн-экспорта </w:t>
      </w:r>
    </w:p>
    <w:p w14:paraId="0000008F">
      <w:pPr>
        <w:tabs>
          <w:tab w:val="left" w:pos="2391"/>
        </w:tabs>
        <w:spacing w:before="100" w:after="100" w:line="240" w:lineRule="auto"/>
        <w:jc w:val="center"/>
        <w:rPr>
          <w:rFonts w:ascii="Arial" w:cs="Arial" w:hAnsi="Arial"/>
          <w:color w:val="000000" w:themeColor="text1"/>
        </w:rPr>
      </w:pPr>
    </w:p>
    <w:p w14:paraId="00000090">
      <w:pPr>
        <w:pBdr>
          <w:top w:val="none" w:sz="4" w:space="0"/>
          <w:left w:val="none" w:sz="4" w:space="0"/>
          <w:bottom w:val="none" w:sz="4" w:space="0"/>
          <w:right w:val="none" w:sz="4" w:space="0"/>
          <w:between w:val="none" w:sz="4" w:space="0"/>
          <w:bar w:val="none" w:sz="4" w:space="0"/>
        </w:pBdr>
        <w:tabs>
          <w:tab w:val="left" w:pos="2391"/>
        </w:tabs>
        <w:spacing w:after="0" w:line="360" w:lineRule="auto"/>
        <w:ind w:firstLine="709"/>
        <w:jc w:val="both"/>
        <w:rPr>
          <w:rFonts w:ascii="Times New Roman" w:cs="Times New Roman" w:hAnsi="Times New Roman"/>
          <w:color w:val="000000" w:themeColor="text1"/>
          <w:sz w:val="28"/>
          <w:szCs w:val="28"/>
        </w:rPr>
      </w:pPr>
      <w:r>
        <w:rPr>
          <w:rFonts w:ascii="Times New Roman" w:cs="Times New Roman" w:hAnsi="Times New Roman"/>
          <w:color w:val="000000" w:themeColor="text1"/>
          <w:sz w:val="28"/>
          <w:szCs w:val="28"/>
        </w:rPr>
        <w:t>Диаграмма показывает, что маркетплейсы являются наиболее популярной моделью онлайн-экспорта среди российских компаний, что объясняется их широкой аудиторией и готовой инфраструктурой д</w:t>
      </w:r>
      <w:r>
        <w:rPr>
          <w:rFonts w:ascii="Times New Roman" w:cs="Times New Roman" w:hAnsi="Times New Roman"/>
          <w:color w:val="000000" w:themeColor="text1"/>
          <w:sz w:val="28"/>
          <w:szCs w:val="28"/>
        </w:rPr>
        <w:t xml:space="preserve">ля продаж и логистики. Прямые продажи через собственные интернет-магазины занимают второе место, поскольку позволяют компаниям сохранять полный контроль над брендом и взаимодействием с клиентами, хотя требуют больших инвестиций и усилий. </w:t>
      </w:r>
    </w:p>
    <w:p w14:paraId="00000091">
      <w:pPr>
        <w:pBdr>
          <w:top w:val="none" w:sz="4" w:space="0"/>
          <w:left w:val="none" w:sz="4" w:space="0"/>
          <w:bottom w:val="none" w:sz="4" w:space="0"/>
          <w:right w:val="none" w:sz="4" w:space="0"/>
          <w:between w:val="none" w:sz="4" w:space="0"/>
          <w:bar w:val="none" w:sz="4" w:space="0"/>
        </w:pBdr>
        <w:tabs>
          <w:tab w:val="left" w:pos="2391"/>
        </w:tabs>
        <w:spacing w:after="0" w:line="360" w:lineRule="auto"/>
        <w:ind w:firstLine="709"/>
        <w:jc w:val="both"/>
        <w:rPr>
          <w:rFonts w:ascii="Times New Roman" w:cs="Times New Roman" w:hAnsi="Times New Roman"/>
          <w:color w:val="000000" w:themeColor="text1"/>
          <w:sz w:val="28"/>
          <w:szCs w:val="28"/>
        </w:rPr>
      </w:pPr>
      <w:r>
        <w:rPr>
          <w:rFonts w:ascii="Times New Roman" w:cs="Times New Roman" w:hAnsi="Times New Roman"/>
          <w:color w:val="000000" w:themeColor="text1"/>
          <w:sz w:val="28"/>
          <w:szCs w:val="28"/>
        </w:rPr>
        <w:t>Цифровые экспортн</w:t>
      </w:r>
      <w:r>
        <w:rPr>
          <w:rFonts w:ascii="Times New Roman" w:cs="Times New Roman" w:hAnsi="Times New Roman"/>
          <w:color w:val="000000" w:themeColor="text1"/>
          <w:sz w:val="28"/>
          <w:szCs w:val="28"/>
        </w:rPr>
        <w:t xml:space="preserve">ые платформы, такие как «Мой экспорт», </w:t>
      </w:r>
      <w:r>
        <w:rPr>
          <w:rFonts w:ascii="Times New Roman" w:cs="Times New Roman" w:hAnsi="Times New Roman"/>
          <w:color w:val="000000" w:themeColor="text1"/>
          <w:sz w:val="28"/>
          <w:szCs w:val="28"/>
        </w:rPr>
        <w:t xml:space="preserve">набирают популярность, предоставляя </w:t>
      </w:r>
      <w:r>
        <w:rPr>
          <w:rFonts w:ascii="Times New Roman" w:cs="Times New Roman" w:hAnsi="Times New Roman"/>
          <w:color w:val="000000" w:themeColor="text1"/>
          <w:sz w:val="28"/>
          <w:szCs w:val="28"/>
        </w:rPr>
        <w:t>сервисы поддержки, но</w:t>
      </w:r>
      <w:r>
        <w:rPr>
          <w:rFonts w:ascii="Times New Roman" w:cs="Times New Roman" w:hAnsi="Times New Roman"/>
          <w:color w:val="000000" w:themeColor="text1"/>
          <w:sz w:val="28"/>
          <w:szCs w:val="28"/>
        </w:rPr>
        <w:t xml:space="preserve"> </w:t>
      </w:r>
      <w:r>
        <w:rPr>
          <w:rFonts w:ascii="Times New Roman" w:cs="Times New Roman" w:hAnsi="Times New Roman"/>
          <w:color w:val="000000" w:themeColor="text1"/>
          <w:sz w:val="28"/>
          <w:szCs w:val="28"/>
        </w:rPr>
        <w:t xml:space="preserve">уступают по распространённости маркетплейсам и прямым продажам. Модели </w:t>
      </w:r>
      <w:r>
        <w:rPr>
          <w:rFonts w:ascii="Times New Roman" w:cs="Times New Roman" w:hAnsi="Times New Roman"/>
          <w:color w:val="000000" w:themeColor="text1"/>
          <w:sz w:val="28"/>
          <w:szCs w:val="28"/>
          <w:lang w:val="en-US"/>
        </w:rPr>
        <w:t>B</w:t>
      </w:r>
      <w:r>
        <w:rPr>
          <w:rFonts w:ascii="Times New Roman" w:cs="Times New Roman" w:hAnsi="Times New Roman"/>
          <w:color w:val="000000" w:themeColor="text1"/>
          <w:sz w:val="28"/>
          <w:szCs w:val="28"/>
        </w:rPr>
        <w:t>2</w:t>
      </w:r>
      <w:r>
        <w:rPr>
          <w:rFonts w:ascii="Times New Roman" w:cs="Times New Roman" w:hAnsi="Times New Roman"/>
          <w:color w:val="000000" w:themeColor="text1"/>
          <w:sz w:val="28"/>
          <w:szCs w:val="28"/>
          <w:lang w:val="en-US"/>
        </w:rPr>
        <w:t>B</w:t>
      </w:r>
      <w:r>
        <w:rPr>
          <w:rFonts w:ascii="Times New Roman" w:cs="Times New Roman" w:hAnsi="Times New Roman"/>
          <w:color w:val="000000" w:themeColor="text1"/>
          <w:sz w:val="28"/>
          <w:szCs w:val="28"/>
        </w:rPr>
        <w:t>-платформ и агентской или партнерской работы используются</w:t>
      </w:r>
      <w:r>
        <w:rPr>
          <w:rFonts w:ascii="Times New Roman" w:cs="Times New Roman" w:hAnsi="Times New Roman"/>
          <w:color w:val="000000" w:themeColor="text1"/>
          <w:sz w:val="28"/>
          <w:szCs w:val="28"/>
        </w:rPr>
        <w:t xml:space="preserve"> реже, что связано с их </w:t>
      </w:r>
      <w:r>
        <w:rPr>
          <w:rFonts w:ascii="Times New Roman" w:cs="Times New Roman" w:hAnsi="Times New Roman"/>
          <w:color w:val="000000" w:themeColor="text1"/>
          <w:sz w:val="28"/>
          <w:szCs w:val="28"/>
        </w:rPr>
        <w:t>ориентированностью на оптовые продажи или работу через посредников.</w:t>
      </w:r>
    </w:p>
    <w:p w14:paraId="00000092">
      <w:pPr>
        <w:pBdr>
          <w:top w:val="none" w:sz="4" w:space="0"/>
          <w:left w:val="none" w:sz="4" w:space="0"/>
          <w:bottom w:val="none" w:sz="4" w:space="0"/>
          <w:right w:val="none" w:sz="4" w:space="0"/>
          <w:between w:val="none" w:sz="4" w:space="0"/>
          <w:bar w:val="none" w:sz="4" w:space="0"/>
        </w:pBdr>
        <w:tabs>
          <w:tab w:val="left" w:pos="2391"/>
        </w:tabs>
        <w:spacing w:after="0" w:line="360" w:lineRule="auto"/>
        <w:ind w:firstLine="709"/>
        <w:jc w:val="both"/>
        <w:rPr>
          <w:rFonts w:ascii="Arial" w:cs="Arial" w:hAnsi="Arial"/>
          <w:color w:val="000000" w:themeColor="text1"/>
        </w:rPr>
      </w:pPr>
      <w:r>
        <w:rPr>
          <w:rFonts w:ascii="Times New Roman" w:cs="Times New Roman" w:hAnsi="Times New Roman"/>
          <w:color w:val="000000" w:themeColor="text1"/>
          <w:sz w:val="28"/>
          <w:szCs w:val="28"/>
        </w:rPr>
        <w:t xml:space="preserve">Таким образом, российские экспортеры преимущественно выбирают модели, которые обеспечивают максимальный охват и доступ к международным </w:t>
      </w:r>
      <w:r>
        <w:rPr>
          <w:rFonts w:ascii="Times New Roman" w:cs="Times New Roman" w:hAnsi="Times New Roman"/>
          <w:color w:val="000000" w:themeColor="text1"/>
          <w:sz w:val="28"/>
          <w:szCs w:val="28"/>
        </w:rPr>
        <w:t>потребителям с минимальными барьерами входа</w:t>
      </w:r>
    </w:p>
    <w:p w14:paraId="00000093">
      <w:pPr>
        <w:pStyle w:val="BodyTextIndent3"/>
        <w:rPr/>
      </w:pPr>
    </w:p>
    <w:p w14:paraId="00000094">
      <w:pPr>
        <w:pStyle w:val="BodyTextIndent3"/>
        <w:rPr/>
      </w:pPr>
    </w:p>
    <w:p w14:paraId="00000095">
      <w:pPr>
        <w:pStyle w:val="BodyTextIndent3"/>
        <w:rPr/>
      </w:pPr>
    </w:p>
    <w:p w14:paraId="00000096">
      <w:pPr>
        <w:pStyle w:val="BodyTextIndent3"/>
        <w:rPr/>
      </w:pPr>
    </w:p>
    <w:p w14:paraId="00000097">
      <w:pPr>
        <w:pStyle w:val="BodyTextIndent3"/>
        <w:rPr/>
      </w:pPr>
    </w:p>
    <w:p w14:paraId="00000098">
      <w:pPr>
        <w:pStyle w:val="BodyTextIndent3"/>
        <w:rPr/>
      </w:pPr>
    </w:p>
    <w:p w14:paraId="00000099">
      <w:pPr>
        <w:pStyle w:val="BodyTextIndent3"/>
        <w:rPr/>
      </w:pPr>
    </w:p>
    <w:p w14:paraId="0000009A">
      <w:pPr>
        <w:pStyle w:val="BodyTextIndent3"/>
        <w:rPr/>
      </w:pPr>
    </w:p>
    <w:p w14:paraId="0000009B">
      <w:pPr>
        <w:pStyle w:val="BodyTextIndent3"/>
        <w:rPr/>
      </w:pPr>
    </w:p>
    <w:p w14:paraId="0000009C">
      <w:pPr>
        <w:pStyle w:val="BodyTextIndent3"/>
        <w:rPr/>
      </w:pPr>
    </w:p>
    <w:p w14:paraId="0000009D">
      <w:pPr>
        <w:pStyle w:val="BodyTextIndent3"/>
        <w:rPr/>
      </w:pPr>
    </w:p>
    <w:p w14:paraId="0000009E">
      <w:pPr>
        <w:pStyle w:val="BodyTextIndent3"/>
        <w:rPr/>
      </w:pPr>
    </w:p>
    <w:p w14:paraId="0000009F">
      <w:pPr>
        <w:pStyle w:val="BodyTextIndent3"/>
        <w:rPr/>
      </w:pPr>
    </w:p>
    <w:p w14:paraId="000000A0">
      <w:pPr>
        <w:pStyle w:val="BodyTextIndent3"/>
        <w:rPr/>
      </w:pPr>
    </w:p>
    <w:p w14:paraId="000000A1">
      <w:pPr>
        <w:pStyle w:val="BodyTextIndent3"/>
        <w:rPr/>
      </w:pPr>
    </w:p>
    <w:p w14:paraId="000000A2">
      <w:pPr>
        <w:pStyle w:val="BodyTextIndent3"/>
        <w:rPr/>
      </w:pPr>
    </w:p>
    <w:p w14:paraId="000000A3">
      <w:pPr>
        <w:pStyle w:val="BodyTextIndent3"/>
        <w:rPr/>
      </w:pPr>
    </w:p>
    <w:p w14:paraId="000000A4">
      <w:pPr>
        <w:pStyle w:val="BodyTextIndent3"/>
        <w:rPr/>
      </w:pPr>
    </w:p>
    <w:p w14:paraId="000000A5">
      <w:pPr>
        <w:pStyle w:val="BodyTextIndent3"/>
        <w:rPr/>
      </w:pPr>
    </w:p>
    <w:p w14:paraId="000000A6">
      <w:pPr>
        <w:pStyle w:val="BodyTextIndent3"/>
        <w:rPr/>
      </w:pPr>
    </w:p>
    <w:p w14:paraId="000000A7">
      <w:pPr>
        <w:pStyle w:val="BodyTextIndent3"/>
        <w:rPr/>
      </w:pPr>
    </w:p>
    <w:p w14:paraId="000000A8">
      <w:pPr>
        <w:pStyle w:val="BodyTextIndent3"/>
        <w:rPr/>
      </w:pPr>
      <w:r>
        <w:t>2 Оценка</w:t>
      </w:r>
      <w:r>
        <w:t xml:space="preserve"> возможностей онлайн-торговли для российских экспортеров</w:t>
      </w:r>
    </w:p>
    <w:p w14:paraId="000000A9">
      <w:pPr>
        <w:spacing w:before="100" w:after="100" w:line="360" w:lineRule="auto"/>
        <w:ind w:firstLine="709"/>
        <w:rPr>
          <w:rFonts w:ascii="Times New Roman" w:cs="Times New Roman" w:hAnsi="Times New Roman"/>
          <w:b/>
          <w:bCs/>
          <w:sz w:val="28"/>
          <w:szCs w:val="28"/>
        </w:rPr>
      </w:pPr>
    </w:p>
    <w:p w14:paraId="000000AA">
      <w:pPr>
        <w:spacing w:before="100" w:after="100" w:line="360" w:lineRule="auto"/>
        <w:ind w:firstLine="709"/>
        <w:rPr>
          <w:rFonts w:ascii="Times New Roman" w:cs="Times New Roman" w:hAnsi="Times New Roman"/>
          <w:b/>
          <w:bCs/>
          <w:sz w:val="28"/>
          <w:szCs w:val="28"/>
        </w:rPr>
      </w:pPr>
      <w:r>
        <w:rPr>
          <w:rFonts w:ascii="Times New Roman" w:cs="Times New Roman" w:hAnsi="Times New Roman"/>
          <w:b/>
          <w:bCs/>
          <w:sz w:val="28"/>
          <w:szCs w:val="28"/>
        </w:rPr>
        <w:t>2.1Анализ текущего состояния онлайн-экспорта российских компаний.</w:t>
      </w:r>
      <w:r>
        <w:rPr>
          <w:rFonts w:ascii="Times New Roman" w:cs="Times New Roman" w:hAnsi="Times New Roman"/>
          <w:b/>
          <w:bCs/>
          <w:sz w:val="28"/>
          <w:szCs w:val="28"/>
        </w:rPr>
        <w:t xml:space="preserve"> </w:t>
      </w:r>
      <w:r>
        <w:rPr>
          <w:rFonts w:ascii="Times New Roman" w:cs="Times New Roman" w:hAnsi="Times New Roman"/>
          <w:b/>
          <w:bCs/>
          <w:sz w:val="28"/>
          <w:szCs w:val="28"/>
        </w:rPr>
        <w:t xml:space="preserve">Проблемы и пути их решения </w:t>
      </w:r>
    </w:p>
    <w:p w14:paraId="000000AB">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p>
    <w:p w14:paraId="000000AC">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Анализ текущего состояния онлайн-экспорта российских компаний в контексте международного коммерческого де</w:t>
      </w:r>
      <w:r>
        <w:rPr>
          <w:rFonts w:ascii="Times New Roman" w:cs="Times New Roman" w:hAnsi="Times New Roman"/>
          <w:color w:val="000000"/>
          <w:sz w:val="28"/>
          <w:szCs w:val="28"/>
        </w:rPr>
        <w:t xml:space="preserve">ла показывает, что данный сегмент развивается динамично, несмотря на внешнеполитические и экономические вызовы. По данным аналитического агентства </w:t>
      </w:r>
      <w:r>
        <w:rPr>
          <w:rFonts w:ascii="Times New Roman" w:cs="Times New Roman" w:hAnsi="Times New Roman"/>
          <w:color w:val="000000"/>
          <w:sz w:val="28"/>
          <w:szCs w:val="28"/>
          <w:lang w:val="en-US"/>
        </w:rPr>
        <w:t>Data</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lang w:val="en-US"/>
        </w:rPr>
        <w:t>Insight</w:t>
      </w:r>
      <w:r>
        <w:rPr>
          <w:rFonts w:ascii="Times New Roman" w:cs="Times New Roman" w:hAnsi="Times New Roman"/>
          <w:color w:val="000000"/>
          <w:sz w:val="28"/>
          <w:szCs w:val="28"/>
        </w:rPr>
        <w:t xml:space="preserve"> и логистического оператора </w:t>
      </w:r>
      <w:r>
        <w:rPr>
          <w:rFonts w:ascii="Times New Roman" w:cs="Times New Roman" w:hAnsi="Times New Roman"/>
          <w:color w:val="000000"/>
          <w:sz w:val="28"/>
          <w:szCs w:val="28"/>
          <w:lang w:val="en-US"/>
        </w:rPr>
        <w:t>GBS</w:t>
      </w:r>
      <w:r>
        <w:rPr>
          <w:rFonts w:ascii="Times New Roman" w:cs="Times New Roman" w:hAnsi="Times New Roman"/>
          <w:color w:val="000000"/>
          <w:sz w:val="28"/>
          <w:szCs w:val="28"/>
        </w:rPr>
        <w:t>, в 2024 году оборот российского рынка трансграничной интернет-тор</w:t>
      </w:r>
      <w:r>
        <w:rPr>
          <w:rFonts w:ascii="Times New Roman" w:cs="Times New Roman" w:hAnsi="Times New Roman"/>
          <w:color w:val="000000"/>
          <w:sz w:val="28"/>
          <w:szCs w:val="28"/>
        </w:rPr>
        <w:t xml:space="preserve">говли составил около 329 млрд рублей, что на 5% больше, чем в 2023 году, а количество заказов достигло 168 млн. </w:t>
      </w:r>
    </w:p>
    <w:p w14:paraId="000000AD">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Основным направлением остаётся импорт из Китая – около 98% всех трансграничных отправлений связано с этим рынком. При этом прогноз на 2025 год </w:t>
      </w:r>
      <w:r>
        <w:rPr>
          <w:rFonts w:ascii="Times New Roman" w:cs="Times New Roman" w:hAnsi="Times New Roman"/>
          <w:color w:val="000000"/>
          <w:sz w:val="28"/>
          <w:szCs w:val="28"/>
        </w:rPr>
        <w:t>предполагает рост оборота до 404 млрд рублей и увеличение числа заказов до 209 млн, что свидетельствует о восстановлении и росте международной торговли через онлайн-каналы [15].</w:t>
      </w:r>
    </w:p>
    <w:p w14:paraId="000000AE">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Несмотря на положительную динамику, доля трансграничной онлайн-торговли в общем объ</w:t>
      </w:r>
      <w:r>
        <w:rPr>
          <w:rFonts w:ascii="Times New Roman" w:cs="Times New Roman" w:hAnsi="Times New Roman"/>
          <w:color w:val="000000"/>
          <w:sz w:val="28"/>
          <w:szCs w:val="28"/>
        </w:rPr>
        <w:t xml:space="preserve">ёме российского </w:t>
      </w:r>
      <w:r>
        <w:rPr>
          <w:rFonts w:ascii="Times New Roman" w:cs="Times New Roman" w:hAnsi="Times New Roman"/>
          <w:color w:val="000000"/>
          <w:sz w:val="28"/>
          <w:szCs w:val="28"/>
          <w:lang w:val="en-US"/>
        </w:rPr>
        <w:t>e</w:t>
      </w:r>
      <w:r>
        <w:rPr>
          <w:rFonts w:ascii="Times New Roman" w:cs="Times New Roman" w:hAnsi="Times New Roman"/>
          <w:color w:val="000000"/>
          <w:sz w:val="28"/>
          <w:szCs w:val="28"/>
        </w:rPr>
        <w:t>-</w:t>
      </w:r>
      <w:r>
        <w:rPr>
          <w:rFonts w:ascii="Times New Roman" w:cs="Times New Roman" w:hAnsi="Times New Roman"/>
          <w:color w:val="000000"/>
          <w:sz w:val="28"/>
          <w:szCs w:val="28"/>
          <w:lang w:val="en-US"/>
        </w:rPr>
        <w:t>commerce</w:t>
      </w:r>
      <w:r>
        <w:rPr>
          <w:rFonts w:ascii="Times New Roman" w:cs="Times New Roman" w:hAnsi="Times New Roman"/>
          <w:color w:val="000000"/>
          <w:sz w:val="28"/>
          <w:szCs w:val="28"/>
        </w:rPr>
        <w:t xml:space="preserve"> остаётся небольшой – около 3%, что значительно ниже показателей до пандемии и введения санкций. Это связано с изменениями в таможенном законодательстве, снижением порога беспошлинного ввоза и временными трудностями с платежами, о</w:t>
      </w:r>
      <w:r>
        <w:rPr>
          <w:rFonts w:ascii="Times New Roman" w:cs="Times New Roman" w:hAnsi="Times New Roman"/>
          <w:color w:val="000000"/>
          <w:sz w:val="28"/>
          <w:szCs w:val="28"/>
        </w:rPr>
        <w:t xml:space="preserve">собенно в отношениях с Китаем. </w:t>
      </w:r>
    </w:p>
    <w:p w14:paraId="000000AF">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lang w:val="en-US"/>
        </w:rPr>
      </w:pPr>
      <w:r>
        <w:rPr>
          <w:rFonts w:ascii="Times New Roman" w:cs="Times New Roman" w:hAnsi="Times New Roman"/>
          <w:color w:val="000000"/>
          <w:sz w:val="28"/>
          <w:szCs w:val="28"/>
        </w:rPr>
        <w:t xml:space="preserve">Тем не менее, активность предпринимателей в сегменте </w:t>
      </w:r>
      <w:r>
        <w:rPr>
          <w:rFonts w:ascii="Times New Roman" w:cs="Times New Roman" w:hAnsi="Times New Roman"/>
          <w:color w:val="000000"/>
          <w:sz w:val="28"/>
          <w:szCs w:val="28"/>
          <w:lang w:val="en-US"/>
        </w:rPr>
        <w:t>B</w:t>
      </w:r>
      <w:r>
        <w:rPr>
          <w:rFonts w:ascii="Times New Roman" w:cs="Times New Roman" w:hAnsi="Times New Roman"/>
          <w:color w:val="000000"/>
          <w:sz w:val="28"/>
          <w:szCs w:val="28"/>
        </w:rPr>
        <w:t>2</w:t>
      </w:r>
      <w:r>
        <w:rPr>
          <w:rFonts w:ascii="Times New Roman" w:cs="Times New Roman" w:hAnsi="Times New Roman"/>
          <w:color w:val="000000"/>
          <w:sz w:val="28"/>
          <w:szCs w:val="28"/>
          <w:lang w:val="en-US"/>
        </w:rPr>
        <w:t>B</w:t>
      </w:r>
      <w:r>
        <w:rPr>
          <w:rFonts w:ascii="Times New Roman" w:cs="Times New Roman" w:hAnsi="Times New Roman"/>
          <w:color w:val="000000"/>
          <w:sz w:val="28"/>
          <w:szCs w:val="28"/>
        </w:rPr>
        <w:t xml:space="preserve"> растёт более чем на 30%, а </w:t>
      </w:r>
      <w:r>
        <w:rPr>
          <w:rFonts w:ascii="Times New Roman" w:cs="Times New Roman" w:hAnsi="Times New Roman"/>
          <w:color w:val="000000"/>
          <w:sz w:val="28"/>
          <w:szCs w:val="28"/>
          <w:lang w:val="en-US"/>
        </w:rPr>
        <w:t>B</w:t>
      </w:r>
      <w:r>
        <w:rPr>
          <w:rFonts w:ascii="Times New Roman" w:cs="Times New Roman" w:hAnsi="Times New Roman"/>
          <w:color w:val="000000"/>
          <w:sz w:val="28"/>
          <w:szCs w:val="28"/>
        </w:rPr>
        <w:t>2</w:t>
      </w:r>
      <w:r>
        <w:rPr>
          <w:rFonts w:ascii="Times New Roman" w:cs="Times New Roman" w:hAnsi="Times New Roman"/>
          <w:color w:val="000000"/>
          <w:sz w:val="28"/>
          <w:szCs w:val="28"/>
          <w:lang w:val="en-US"/>
        </w:rPr>
        <w:t>C</w:t>
      </w:r>
      <w:r>
        <w:rPr>
          <w:rFonts w:ascii="Times New Roman" w:cs="Times New Roman" w:hAnsi="Times New Roman"/>
          <w:color w:val="000000"/>
          <w:sz w:val="28"/>
          <w:szCs w:val="28"/>
        </w:rPr>
        <w:t xml:space="preserve"> – на 20%, что говорит о смещении фокуса на мелкооптовые закупки и внутреннюю </w:t>
      </w:r>
      <w:r>
        <w:rPr>
          <w:rFonts w:ascii="Times New Roman" w:cs="Times New Roman" w:hAnsi="Times New Roman"/>
          <w:color w:val="000000"/>
          <w:sz w:val="28"/>
          <w:szCs w:val="28"/>
          <w:lang w:val="en-US"/>
        </w:rPr>
        <w:t>реализацию импортных товаров.</w:t>
      </w:r>
    </w:p>
    <w:p w14:paraId="000000B0">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Для более детального понимани</w:t>
      </w:r>
      <w:r>
        <w:rPr>
          <w:rFonts w:ascii="Times New Roman" w:cs="Times New Roman" w:hAnsi="Times New Roman"/>
          <w:color w:val="000000"/>
          <w:sz w:val="28"/>
          <w:szCs w:val="28"/>
        </w:rPr>
        <w:t xml:space="preserve">я динамики развития онлайн-экспорта российских компаний целесообразно рассмотреть количественные показатели </w:t>
      </w:r>
      <w:r>
        <w:rPr>
          <w:rFonts w:ascii="Times New Roman" w:cs="Times New Roman" w:hAnsi="Times New Roman"/>
          <w:color w:val="000000"/>
          <w:sz w:val="28"/>
          <w:szCs w:val="28"/>
        </w:rPr>
        <w:t>за последние несколько лет. В следующей таблице представлены данные об объёмах онлайн-экспорта в денежном выражении, количестве онлайн-заказов, темп</w:t>
      </w:r>
      <w:r>
        <w:rPr>
          <w:rFonts w:ascii="Times New Roman" w:cs="Times New Roman" w:hAnsi="Times New Roman"/>
          <w:color w:val="000000"/>
          <w:sz w:val="28"/>
          <w:szCs w:val="28"/>
        </w:rPr>
        <w:t>ах роста, а также распределении основных экспортных рынков по регионам.</w:t>
      </w:r>
    </w:p>
    <w:p w14:paraId="000000B1">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 Эти данные позволяют наглядно проследить тенденции и ключевые изменения в структуре и масштабах трансграничной электронной торговли России.</w:t>
      </w:r>
    </w:p>
    <w:p w14:paraId="000000B2">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p>
    <w:p w14:paraId="000000B3">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8"/>
          <w:szCs w:val="28"/>
        </w:rPr>
      </w:pPr>
      <w:r>
        <w:rPr>
          <w:rFonts w:ascii="Times New Roman" w:cs="Times New Roman" w:hAnsi="Times New Roman"/>
          <w:color w:val="000000"/>
          <w:sz w:val="28"/>
          <w:szCs w:val="28"/>
        </w:rPr>
        <w:t>Таблица 3 –динамика объёмов онлайн-экспорта России за  2019–2024 гг [11].</w:t>
      </w:r>
    </w:p>
    <w:tbl>
      <w:tblPr>
        <w:tblpPr w:leftFromText="187" w:rightFromText="187" w:vertAnchor="page" w:horzAnchor="margin" w:tblpY="5641"/>
        <w:tblOverlap w:val="never"/>
        <w:tblW w:w="9533" w:type="dxa"/>
        <w:tblBorders>
          <w:top w:val="single" w:color="e5e7eb" w:sz="6" w:space="0"/>
          <w:left w:val="single" w:color="e5e7eb" w:sz="6" w:space="0"/>
          <w:bottom w:val="single" w:color="e5e7eb" w:sz="6" w:space="0"/>
          <w:right w:val="single" w:color="e5e7eb" w:sz="6" w:space="0"/>
          <w:insideH w:val="single" w:color="e5e7eb" w:sz="6" w:space="0"/>
          <w:insideV w:val="single" w:color="e5e7eb" w:sz="6" w:space="0"/>
        </w:tblBorders>
        <w:tblLayout w:type="fixed"/>
        <w:tblCellMar>
          <w:top w:w="10" w:type="dxa"/>
          <w:left w:w="10" w:type="dxa"/>
          <w:bottom w:w="10" w:type="dxa"/>
          <w:right w:w="10" w:type="dxa"/>
        </w:tblCellMar>
        <w:tblLook w:val="04A0"/>
      </w:tblPr>
      <w:tblGrid>
        <w:gridCol w:w="861"/>
        <w:gridCol w:w="1152"/>
        <w:gridCol w:w="1526"/>
        <w:gridCol w:w="1206"/>
        <w:gridCol w:w="4788"/>
      </w:tblGrid>
      <w:tr>
        <w:trPr>
          <w:trHeight w:val="2400"/>
        </w:trPr>
        <w:tc>
          <w:tcPr>
            <w:cnfStyle w:val="101000000000"/>
            <w:tcW w:w="861" w:type="dxa"/>
            <w:tcBorders>
              <w:top w:val="single" w:color="auto" w:sz="4" w:space="0"/>
              <w:left w:val="single" w:color="auto" w:sz="4" w:space="0"/>
              <w:bottom w:val="single" w:color="auto" w:sz="4" w:space="0"/>
              <w:right w:val="single" w:color="auto" w:sz="4" w:space="0"/>
            </w:tcBorders>
          </w:tcPr>
          <w:p w14:paraId="000000B4">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b w:val="off"/>
                <w:bCs w:val="off"/>
                <w:color w:val="000000"/>
                <w:lang w:val="en-US"/>
              </w:rPr>
            </w:pPr>
            <w:r>
              <w:rPr>
                <w:rFonts w:ascii="Times New Roman" w:cs="Times New Roman" w:hAnsi="Times New Roman"/>
                <w:b w:val="off"/>
                <w:bCs w:val="off"/>
                <w:color w:val="000000"/>
              </w:rPr>
              <w:t>Г</w:t>
            </w:r>
            <w:r>
              <w:rPr>
                <w:rFonts w:ascii="Times New Roman" w:cs="Times New Roman" w:hAnsi="Times New Roman"/>
                <w:b w:val="off"/>
                <w:bCs w:val="off"/>
                <w:color w:val="000000"/>
                <w:lang w:val="en-US"/>
              </w:rPr>
              <w:t>од</w:t>
            </w:r>
          </w:p>
        </w:tc>
        <w:tc>
          <w:tcPr>
            <w:cnfStyle w:val="100000000000"/>
            <w:tcW w:w="1152" w:type="dxa"/>
            <w:tcBorders>
              <w:top w:val="single" w:color="auto" w:sz="4" w:space="0"/>
              <w:left w:val="single" w:color="auto" w:sz="4" w:space="0"/>
              <w:bottom w:val="single" w:color="auto" w:sz="4" w:space="0"/>
              <w:right w:val="single" w:color="auto" w:sz="4" w:space="0"/>
            </w:tcBorders>
          </w:tcPr>
          <w:p w14:paraId="000000B5">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b w:val="off"/>
                <w:bCs w:val="off"/>
                <w:color w:val="000000"/>
              </w:rPr>
            </w:pPr>
            <w:r>
              <w:rPr>
                <w:rFonts w:ascii="Times New Roman" w:cs="Times New Roman" w:hAnsi="Times New Roman"/>
                <w:b w:val="off"/>
                <w:bCs w:val="off"/>
                <w:color w:val="000000"/>
              </w:rPr>
              <w:t>Объем онлайн-экспорта (млрд руб.)</w:t>
            </w:r>
          </w:p>
        </w:tc>
        <w:tc>
          <w:tcPr>
            <w:cnfStyle w:val="100000000000"/>
            <w:tcW w:w="1526" w:type="dxa"/>
            <w:tcBorders>
              <w:top w:val="single" w:color="auto" w:sz="4" w:space="0"/>
              <w:left w:val="single" w:color="auto" w:sz="4" w:space="0"/>
              <w:bottom w:val="single" w:color="auto" w:sz="4" w:space="0"/>
              <w:right w:val="single" w:color="auto" w:sz="4" w:space="0"/>
            </w:tcBorders>
          </w:tcPr>
          <w:p w14:paraId="000000B6">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b w:val="off"/>
                <w:bCs w:val="off"/>
                <w:color w:val="000000"/>
              </w:rPr>
            </w:pPr>
            <w:r>
              <w:rPr>
                <w:rFonts w:ascii="Times New Roman" w:cs="Times New Roman" w:hAnsi="Times New Roman"/>
                <w:b w:val="off"/>
                <w:bCs w:val="off"/>
                <w:color w:val="000000"/>
              </w:rPr>
              <w:t>Количество онлайн-заказов (млн штук)</w:t>
            </w:r>
          </w:p>
        </w:tc>
        <w:tc>
          <w:tcPr>
            <w:cnfStyle w:val="100000000000"/>
            <w:tcW w:w="1206" w:type="dxa"/>
            <w:tcBorders>
              <w:top w:val="single" w:color="auto" w:sz="4" w:space="0"/>
              <w:left w:val="single" w:color="auto" w:sz="4" w:space="0"/>
              <w:bottom w:val="single" w:color="auto" w:sz="4" w:space="0"/>
              <w:right w:val="single" w:color="auto" w:sz="4" w:space="0"/>
            </w:tcBorders>
          </w:tcPr>
          <w:p w14:paraId="000000B7">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b w:val="off"/>
                <w:bCs w:val="off"/>
                <w:color w:val="000000"/>
                <w:lang w:val="en-US"/>
              </w:rPr>
            </w:pPr>
            <w:r>
              <w:rPr>
                <w:rFonts w:ascii="Times New Roman" w:cs="Times New Roman" w:hAnsi="Times New Roman"/>
                <w:b w:val="off"/>
                <w:bCs w:val="off"/>
                <w:color w:val="000000"/>
                <w:lang w:val="en-US"/>
              </w:rPr>
              <w:t>Темп роста объема (%)</w:t>
            </w:r>
          </w:p>
        </w:tc>
        <w:tc>
          <w:tcPr>
            <w:cnfStyle w:val="100000000000"/>
            <w:tcW w:w="4788" w:type="dxa"/>
            <w:tcBorders>
              <w:top w:val="single" w:color="auto" w:sz="4" w:space="0"/>
              <w:left w:val="single" w:color="auto" w:sz="4" w:space="0"/>
              <w:bottom w:val="single" w:color="auto" w:sz="4" w:space="0"/>
              <w:right w:val="single" w:color="auto" w:sz="4" w:space="0"/>
            </w:tcBorders>
          </w:tcPr>
          <w:p w14:paraId="000000B8">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b w:val="off"/>
                <w:bCs w:val="off"/>
                <w:color w:val="000000"/>
              </w:rPr>
            </w:pPr>
            <w:r>
              <w:rPr>
                <w:rFonts w:ascii="Times New Roman" w:cs="Times New Roman" w:hAnsi="Times New Roman"/>
                <w:b w:val="off"/>
                <w:bCs w:val="off"/>
                <w:color w:val="000000"/>
              </w:rPr>
              <w:t>Основные экспортные рынки (доля по регионам, %)</w:t>
            </w:r>
          </w:p>
        </w:tc>
      </w:tr>
      <w:tr>
        <w:trPr>
          <w:trHeight w:val="376"/>
        </w:trPr>
        <w:tc>
          <w:tcPr>
            <w:cnfStyle w:val="001000100000"/>
            <w:tcW w:w="861" w:type="dxa"/>
            <w:tcBorders>
              <w:top w:val="single" w:color="auto" w:sz="4" w:space="0"/>
              <w:left w:val="single" w:color="auto" w:sz="4" w:space="0"/>
              <w:bottom w:val="single" w:color="auto" w:sz="4" w:space="0"/>
              <w:right w:val="single" w:color="auto" w:sz="4" w:space="0"/>
            </w:tcBorders>
          </w:tcPr>
          <w:p w14:paraId="000000B9">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2019</w:t>
            </w:r>
          </w:p>
        </w:tc>
        <w:tc>
          <w:tcPr>
            <w:cnfStyle w:val="000000100000"/>
            <w:tcW w:w="1152" w:type="dxa"/>
            <w:tcBorders>
              <w:top w:val="single" w:color="auto" w:sz="4" w:space="0"/>
              <w:left w:val="single" w:color="auto" w:sz="4" w:space="0"/>
              <w:bottom w:val="single" w:color="auto" w:sz="4" w:space="0"/>
              <w:right w:val="single" w:color="auto" w:sz="4" w:space="0"/>
            </w:tcBorders>
          </w:tcPr>
          <w:p w14:paraId="000000BA">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197</w:t>
            </w:r>
          </w:p>
        </w:tc>
        <w:tc>
          <w:tcPr>
            <w:cnfStyle w:val="000000100000"/>
            <w:tcW w:w="1526" w:type="dxa"/>
            <w:tcBorders>
              <w:top w:val="single" w:color="auto" w:sz="4" w:space="0"/>
              <w:left w:val="single" w:color="auto" w:sz="4" w:space="0"/>
              <w:bottom w:val="single" w:color="auto" w:sz="4" w:space="0"/>
              <w:right w:val="single" w:color="auto" w:sz="4" w:space="0"/>
            </w:tcBorders>
          </w:tcPr>
          <w:p w14:paraId="000000BB">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141</w:t>
            </w:r>
          </w:p>
        </w:tc>
        <w:tc>
          <w:tcPr>
            <w:cnfStyle w:val="000000100000"/>
            <w:tcW w:w="1206" w:type="dxa"/>
            <w:tcBorders>
              <w:top w:val="single" w:color="auto" w:sz="4" w:space="0"/>
              <w:left w:val="single" w:color="auto" w:sz="4" w:space="0"/>
              <w:bottom w:val="single" w:color="auto" w:sz="4" w:space="0"/>
              <w:right w:val="single" w:color="auto" w:sz="4" w:space="0"/>
            </w:tcBorders>
          </w:tcPr>
          <w:p w14:paraId="000000BC">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w:t>
            </w:r>
          </w:p>
        </w:tc>
        <w:tc>
          <w:tcPr>
            <w:cnfStyle w:val="000000100000"/>
            <w:tcW w:w="4788" w:type="dxa"/>
            <w:tcBorders>
              <w:top w:val="single" w:color="auto" w:sz="4" w:space="0"/>
              <w:left w:val="single" w:color="auto" w:sz="4" w:space="0"/>
              <w:bottom w:val="single" w:color="auto" w:sz="4" w:space="0"/>
              <w:right w:val="single" w:color="auto" w:sz="4" w:space="0"/>
            </w:tcBorders>
          </w:tcPr>
          <w:p w14:paraId="000000BD">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 xml:space="preserve">Азия (около 70%), Европа </w:t>
            </w:r>
            <w:r>
              <w:rPr>
                <w:rFonts w:ascii="Times New Roman" w:cs="Times New Roman" w:hAnsi="Times New Roman"/>
                <w:color w:val="000000"/>
                <w:lang w:val="en-US"/>
              </w:rPr>
              <w:t>(20%), СНГ (10%)</w:t>
            </w:r>
          </w:p>
        </w:tc>
      </w:tr>
      <w:tr>
        <w:trPr>
          <w:trHeight w:val="235"/>
        </w:trPr>
        <w:tc>
          <w:tcPr>
            <w:cnfStyle w:val="001000010000"/>
            <w:tcW w:w="861" w:type="dxa"/>
            <w:tcBorders>
              <w:top w:val="single" w:color="auto" w:sz="4" w:space="0"/>
              <w:left w:val="single" w:color="auto" w:sz="4" w:space="0"/>
              <w:bottom w:val="single" w:color="auto" w:sz="4" w:space="0"/>
              <w:right w:val="single" w:color="auto" w:sz="4" w:space="0"/>
            </w:tcBorders>
          </w:tcPr>
          <w:p w14:paraId="000000BE">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2020</w:t>
            </w:r>
          </w:p>
        </w:tc>
        <w:tc>
          <w:tcPr>
            <w:cnfStyle w:val="000000010000"/>
            <w:tcW w:w="1152" w:type="dxa"/>
            <w:tcBorders>
              <w:top w:val="single" w:color="auto" w:sz="4" w:space="0"/>
              <w:left w:val="single" w:color="auto" w:sz="4" w:space="0"/>
              <w:bottom w:val="single" w:color="auto" w:sz="4" w:space="0"/>
              <w:right w:val="single" w:color="auto" w:sz="4" w:space="0"/>
            </w:tcBorders>
          </w:tcPr>
          <w:p w14:paraId="000000BF">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210</w:t>
            </w:r>
          </w:p>
        </w:tc>
        <w:tc>
          <w:tcPr>
            <w:cnfStyle w:val="000000010000"/>
            <w:tcW w:w="1526" w:type="dxa"/>
            <w:tcBorders>
              <w:top w:val="single" w:color="auto" w:sz="4" w:space="0"/>
              <w:left w:val="single" w:color="auto" w:sz="4" w:space="0"/>
              <w:bottom w:val="single" w:color="auto" w:sz="4" w:space="0"/>
              <w:right w:val="single" w:color="auto" w:sz="4" w:space="0"/>
            </w:tcBorders>
          </w:tcPr>
          <w:p w14:paraId="000000C0">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143</w:t>
            </w:r>
          </w:p>
        </w:tc>
        <w:tc>
          <w:tcPr>
            <w:cnfStyle w:val="000000010000"/>
            <w:tcW w:w="1206" w:type="dxa"/>
            <w:tcBorders>
              <w:top w:val="single" w:color="auto" w:sz="4" w:space="0"/>
              <w:left w:val="single" w:color="auto" w:sz="4" w:space="0"/>
              <w:bottom w:val="single" w:color="auto" w:sz="4" w:space="0"/>
              <w:right w:val="single" w:color="auto" w:sz="4" w:space="0"/>
            </w:tcBorders>
          </w:tcPr>
          <w:p w14:paraId="000000C1">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+6,6</w:t>
            </w:r>
          </w:p>
        </w:tc>
        <w:tc>
          <w:tcPr>
            <w:cnfStyle w:val="000000010000"/>
            <w:tcW w:w="4788" w:type="dxa"/>
            <w:tcBorders>
              <w:top w:val="single" w:color="auto" w:sz="4" w:space="0"/>
              <w:left w:val="single" w:color="auto" w:sz="4" w:space="0"/>
              <w:bottom w:val="single" w:color="auto" w:sz="4" w:space="0"/>
              <w:right w:val="single" w:color="auto" w:sz="4" w:space="0"/>
            </w:tcBorders>
          </w:tcPr>
          <w:p w14:paraId="000000C2">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Азия (около 75%), Европа (18%), СНГ (7%)</w:t>
            </w:r>
          </w:p>
        </w:tc>
      </w:tr>
      <w:tr>
        <w:trPr>
          <w:trHeight w:val="376"/>
        </w:trPr>
        <w:tc>
          <w:tcPr>
            <w:cnfStyle w:val="001000100000"/>
            <w:tcW w:w="861" w:type="dxa"/>
            <w:tcBorders>
              <w:top w:val="single" w:color="auto" w:sz="4" w:space="0"/>
              <w:left w:val="single" w:color="auto" w:sz="4" w:space="0"/>
              <w:bottom w:val="single" w:color="auto" w:sz="4" w:space="0"/>
              <w:right w:val="single" w:color="auto" w:sz="4" w:space="0"/>
            </w:tcBorders>
          </w:tcPr>
          <w:p w14:paraId="000000C3">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2021</w:t>
            </w:r>
          </w:p>
        </w:tc>
        <w:tc>
          <w:tcPr>
            <w:cnfStyle w:val="000000100000"/>
            <w:tcW w:w="1152" w:type="dxa"/>
            <w:tcBorders>
              <w:top w:val="single" w:color="auto" w:sz="4" w:space="0"/>
              <w:left w:val="single" w:color="auto" w:sz="4" w:space="0"/>
              <w:bottom w:val="single" w:color="auto" w:sz="4" w:space="0"/>
              <w:right w:val="single" w:color="auto" w:sz="4" w:space="0"/>
            </w:tcBorders>
          </w:tcPr>
          <w:p w14:paraId="000000C4">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240</w:t>
            </w:r>
          </w:p>
        </w:tc>
        <w:tc>
          <w:tcPr>
            <w:cnfStyle w:val="000000100000"/>
            <w:tcW w:w="1526" w:type="dxa"/>
            <w:tcBorders>
              <w:top w:val="single" w:color="auto" w:sz="4" w:space="0"/>
              <w:left w:val="single" w:color="auto" w:sz="4" w:space="0"/>
              <w:bottom w:val="single" w:color="auto" w:sz="4" w:space="0"/>
              <w:right w:val="single" w:color="auto" w:sz="4" w:space="0"/>
            </w:tcBorders>
          </w:tcPr>
          <w:p w14:paraId="000000C5">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149</w:t>
            </w:r>
          </w:p>
        </w:tc>
        <w:tc>
          <w:tcPr>
            <w:cnfStyle w:val="000000100000"/>
            <w:tcW w:w="1206" w:type="dxa"/>
            <w:tcBorders>
              <w:top w:val="single" w:color="auto" w:sz="4" w:space="0"/>
              <w:left w:val="single" w:color="auto" w:sz="4" w:space="0"/>
              <w:bottom w:val="single" w:color="auto" w:sz="4" w:space="0"/>
              <w:right w:val="single" w:color="auto" w:sz="4" w:space="0"/>
            </w:tcBorders>
          </w:tcPr>
          <w:p w14:paraId="000000C6">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+14,3</w:t>
            </w:r>
          </w:p>
        </w:tc>
        <w:tc>
          <w:tcPr>
            <w:cnfStyle w:val="000000100000"/>
            <w:tcW w:w="4788" w:type="dxa"/>
            <w:tcBorders>
              <w:top w:val="single" w:color="auto" w:sz="4" w:space="0"/>
              <w:left w:val="single" w:color="auto" w:sz="4" w:space="0"/>
              <w:bottom w:val="single" w:color="auto" w:sz="4" w:space="0"/>
              <w:right w:val="single" w:color="auto" w:sz="4" w:space="0"/>
            </w:tcBorders>
          </w:tcPr>
          <w:p w14:paraId="000000C7">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Азия (около 80%), Европа (15%), СНГ (5%)</w:t>
            </w:r>
          </w:p>
        </w:tc>
      </w:tr>
      <w:tr>
        <w:trPr>
          <w:trHeight w:val="362"/>
        </w:trPr>
        <w:tc>
          <w:tcPr>
            <w:cnfStyle w:val="001000010000"/>
            <w:tcW w:w="861" w:type="dxa"/>
            <w:tcBorders>
              <w:top w:val="single" w:color="auto" w:sz="4" w:space="0"/>
              <w:left w:val="single" w:color="auto" w:sz="4" w:space="0"/>
              <w:bottom w:val="single" w:color="auto" w:sz="4" w:space="0"/>
              <w:right w:val="single" w:color="auto" w:sz="4" w:space="0"/>
            </w:tcBorders>
          </w:tcPr>
          <w:p w14:paraId="000000C8">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2022</w:t>
            </w:r>
          </w:p>
        </w:tc>
        <w:tc>
          <w:tcPr>
            <w:cnfStyle w:val="000000010000"/>
            <w:tcW w:w="1152" w:type="dxa"/>
            <w:tcBorders>
              <w:top w:val="single" w:color="auto" w:sz="4" w:space="0"/>
              <w:left w:val="single" w:color="auto" w:sz="4" w:space="0"/>
              <w:bottom w:val="single" w:color="auto" w:sz="4" w:space="0"/>
              <w:right w:val="single" w:color="auto" w:sz="4" w:space="0"/>
            </w:tcBorders>
          </w:tcPr>
          <w:p w14:paraId="000000C9">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180</w:t>
            </w:r>
          </w:p>
        </w:tc>
        <w:tc>
          <w:tcPr>
            <w:cnfStyle w:val="000000010000"/>
            <w:tcW w:w="1526" w:type="dxa"/>
            <w:tcBorders>
              <w:top w:val="single" w:color="auto" w:sz="4" w:space="0"/>
              <w:left w:val="single" w:color="auto" w:sz="4" w:space="0"/>
              <w:bottom w:val="single" w:color="auto" w:sz="4" w:space="0"/>
              <w:right w:val="single" w:color="auto" w:sz="4" w:space="0"/>
            </w:tcBorders>
          </w:tcPr>
          <w:p w14:paraId="000000CA">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152</w:t>
            </w:r>
          </w:p>
        </w:tc>
        <w:tc>
          <w:tcPr>
            <w:cnfStyle w:val="000000010000"/>
            <w:tcW w:w="1206" w:type="dxa"/>
            <w:tcBorders>
              <w:top w:val="single" w:color="auto" w:sz="4" w:space="0"/>
              <w:left w:val="single" w:color="auto" w:sz="4" w:space="0"/>
              <w:bottom w:val="single" w:color="auto" w:sz="4" w:space="0"/>
              <w:right w:val="single" w:color="auto" w:sz="4" w:space="0"/>
            </w:tcBorders>
          </w:tcPr>
          <w:p w14:paraId="000000CB">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-25</w:t>
            </w:r>
          </w:p>
        </w:tc>
        <w:tc>
          <w:tcPr>
            <w:cnfStyle w:val="000000010000"/>
            <w:tcW w:w="4788" w:type="dxa"/>
            <w:tcBorders>
              <w:top w:val="single" w:color="auto" w:sz="4" w:space="0"/>
              <w:left w:val="single" w:color="auto" w:sz="4" w:space="0"/>
              <w:bottom w:val="single" w:color="auto" w:sz="4" w:space="0"/>
              <w:right w:val="single" w:color="auto" w:sz="4" w:space="0"/>
            </w:tcBorders>
          </w:tcPr>
          <w:p w14:paraId="000000CC">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Азия (около 85%), Европа (10%), СНГ (5%)</w:t>
            </w:r>
          </w:p>
        </w:tc>
      </w:tr>
      <w:tr>
        <w:trPr>
          <w:trHeight w:val="220"/>
        </w:trPr>
        <w:tc>
          <w:tcPr>
            <w:cnfStyle w:val="001000100000"/>
            <w:tcW w:w="861" w:type="dxa"/>
            <w:tcBorders>
              <w:top w:val="single" w:color="auto" w:sz="4" w:space="0"/>
              <w:left w:val="single" w:color="auto" w:sz="4" w:space="0"/>
              <w:bottom w:val="single" w:color="auto" w:sz="4" w:space="0"/>
              <w:right w:val="single" w:color="auto" w:sz="4" w:space="0"/>
            </w:tcBorders>
          </w:tcPr>
          <w:p w14:paraId="000000CD">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2023</w:t>
            </w:r>
          </w:p>
        </w:tc>
        <w:tc>
          <w:tcPr>
            <w:cnfStyle w:val="000000100000"/>
            <w:tcW w:w="1152" w:type="dxa"/>
            <w:tcBorders>
              <w:top w:val="single" w:color="auto" w:sz="4" w:space="0"/>
              <w:left w:val="single" w:color="auto" w:sz="4" w:space="0"/>
              <w:bottom w:val="single" w:color="auto" w:sz="4" w:space="0"/>
              <w:right w:val="single" w:color="auto" w:sz="4" w:space="0"/>
            </w:tcBorders>
          </w:tcPr>
          <w:p w14:paraId="000000CE">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313</w:t>
            </w:r>
          </w:p>
        </w:tc>
        <w:tc>
          <w:tcPr>
            <w:cnfStyle w:val="000000100000"/>
            <w:tcW w:w="1526" w:type="dxa"/>
            <w:tcBorders>
              <w:top w:val="single" w:color="auto" w:sz="4" w:space="0"/>
              <w:left w:val="single" w:color="auto" w:sz="4" w:space="0"/>
              <w:bottom w:val="single" w:color="auto" w:sz="4" w:space="0"/>
              <w:right w:val="single" w:color="auto" w:sz="4" w:space="0"/>
            </w:tcBorders>
          </w:tcPr>
          <w:p w14:paraId="000000CF">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162</w:t>
            </w:r>
          </w:p>
        </w:tc>
        <w:tc>
          <w:tcPr>
            <w:cnfStyle w:val="000000100000"/>
            <w:tcW w:w="1206" w:type="dxa"/>
            <w:tcBorders>
              <w:top w:val="single" w:color="auto" w:sz="4" w:space="0"/>
              <w:left w:val="single" w:color="auto" w:sz="4" w:space="0"/>
              <w:bottom w:val="single" w:color="auto" w:sz="4" w:space="0"/>
              <w:right w:val="single" w:color="auto" w:sz="4" w:space="0"/>
            </w:tcBorders>
          </w:tcPr>
          <w:p w14:paraId="000000D0">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+74</w:t>
            </w:r>
          </w:p>
        </w:tc>
        <w:tc>
          <w:tcPr>
            <w:cnfStyle w:val="000000100000"/>
            <w:tcW w:w="4788" w:type="dxa"/>
            <w:tcBorders>
              <w:top w:val="single" w:color="auto" w:sz="4" w:space="0"/>
              <w:left w:val="single" w:color="auto" w:sz="4" w:space="0"/>
              <w:bottom w:val="single" w:color="auto" w:sz="4" w:space="0"/>
              <w:right w:val="single" w:color="auto" w:sz="4" w:space="0"/>
            </w:tcBorders>
          </w:tcPr>
          <w:p w14:paraId="000000D1">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 xml:space="preserve">Азия (около 90%), Европа (7%), СНГ </w:t>
            </w:r>
            <w:r>
              <w:rPr>
                <w:rFonts w:ascii="Times New Roman" w:cs="Times New Roman" w:hAnsi="Times New Roman"/>
                <w:color w:val="000000"/>
                <w:lang w:val="en-US"/>
              </w:rPr>
              <w:t>(3%)</w:t>
            </w:r>
          </w:p>
        </w:tc>
      </w:tr>
      <w:tr>
        <w:trPr>
          <w:trHeight w:val="362"/>
        </w:trPr>
        <w:tc>
          <w:tcPr>
            <w:cnfStyle w:val="001000010000"/>
            <w:tcW w:w="861" w:type="dxa"/>
            <w:tcBorders>
              <w:top w:val="single" w:color="auto" w:sz="4" w:space="0"/>
              <w:left w:val="single" w:color="auto" w:sz="4" w:space="0"/>
              <w:bottom w:val="single" w:color="auto" w:sz="4" w:space="0"/>
              <w:right w:val="single" w:color="auto" w:sz="4" w:space="0"/>
            </w:tcBorders>
          </w:tcPr>
          <w:p w14:paraId="000000D2">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2024</w:t>
            </w:r>
          </w:p>
        </w:tc>
        <w:tc>
          <w:tcPr>
            <w:cnfStyle w:val="000000010000"/>
            <w:tcW w:w="1152" w:type="dxa"/>
            <w:tcBorders>
              <w:top w:val="single" w:color="auto" w:sz="4" w:space="0"/>
              <w:left w:val="single" w:color="auto" w:sz="4" w:space="0"/>
              <w:bottom w:val="single" w:color="auto" w:sz="4" w:space="0"/>
              <w:right w:val="single" w:color="auto" w:sz="4" w:space="0"/>
            </w:tcBorders>
          </w:tcPr>
          <w:p w14:paraId="000000D3">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329</w:t>
            </w:r>
          </w:p>
        </w:tc>
        <w:tc>
          <w:tcPr>
            <w:cnfStyle w:val="000000010000"/>
            <w:tcW w:w="1526" w:type="dxa"/>
            <w:tcBorders>
              <w:top w:val="single" w:color="auto" w:sz="4" w:space="0"/>
              <w:left w:val="single" w:color="auto" w:sz="4" w:space="0"/>
              <w:bottom w:val="single" w:color="auto" w:sz="4" w:space="0"/>
              <w:right w:val="single" w:color="auto" w:sz="4" w:space="0"/>
            </w:tcBorders>
          </w:tcPr>
          <w:p w14:paraId="000000D4">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168</w:t>
            </w:r>
          </w:p>
        </w:tc>
        <w:tc>
          <w:tcPr>
            <w:cnfStyle w:val="000000010000"/>
            <w:tcW w:w="1206" w:type="dxa"/>
            <w:tcBorders>
              <w:top w:val="single" w:color="auto" w:sz="4" w:space="0"/>
              <w:left w:val="single" w:color="auto" w:sz="4" w:space="0"/>
              <w:bottom w:val="single" w:color="auto" w:sz="4" w:space="0"/>
              <w:right w:val="single" w:color="auto" w:sz="4" w:space="0"/>
            </w:tcBorders>
          </w:tcPr>
          <w:p w14:paraId="000000D5">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+5,1</w:t>
            </w:r>
          </w:p>
        </w:tc>
        <w:tc>
          <w:tcPr>
            <w:cnfStyle w:val="000000010000"/>
            <w:tcW w:w="4788" w:type="dxa"/>
            <w:tcBorders>
              <w:top w:val="single" w:color="auto" w:sz="4" w:space="0"/>
              <w:left w:val="single" w:color="auto" w:sz="4" w:space="0"/>
              <w:bottom w:val="single" w:color="auto" w:sz="4" w:space="0"/>
              <w:right w:val="single" w:color="auto" w:sz="4" w:space="0"/>
            </w:tcBorders>
          </w:tcPr>
          <w:p w14:paraId="000000D6">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r>
              <w:rPr>
                <w:rFonts w:ascii="Times New Roman" w:cs="Times New Roman" w:hAnsi="Times New Roman"/>
                <w:color w:val="000000"/>
                <w:lang w:val="en-US"/>
              </w:rPr>
              <w:t>Азия (около 98%), Европа (1,5%), СНГ (0,5%)</w:t>
            </w:r>
          </w:p>
        </w:tc>
      </w:tr>
    </w:tbl>
    <w:p w14:paraId="000000D7">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8"/>
          <w:szCs w:val="28"/>
        </w:rPr>
      </w:pPr>
    </w:p>
    <w:p w14:paraId="000000D8">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Данная таблица демонстрирует, что несмотря на значительные колебания в 2020–2022 годах, связанные с пандемией и санкционным давлением, российский онлайн-экспорт в 2023–2024 гг. показывает восстановление и умеренный рост. </w:t>
      </w:r>
    </w:p>
    <w:p w14:paraId="000000D9">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При этом Азия, и особенно Китай, о</w:t>
      </w:r>
      <w:r>
        <w:rPr>
          <w:rFonts w:ascii="Times New Roman" w:cs="Times New Roman" w:hAnsi="Times New Roman"/>
          <w:color w:val="000000"/>
          <w:sz w:val="28"/>
          <w:szCs w:val="28"/>
        </w:rPr>
        <w:t xml:space="preserve">стаются ключевыми рынками для российских экспортеров, на которые приходится подавляющая часть онлайн-заказов. </w:t>
      </w:r>
    </w:p>
    <w:p w14:paraId="000000DA">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Распределение российских экспортеров по моделям онлайн-экспорта отражает современные тенденции международной коммерческой деятельности.</w:t>
      </w:r>
    </w:p>
    <w:p w14:paraId="000000DB">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Наиболее </w:t>
      </w:r>
      <w:r>
        <w:rPr>
          <w:rFonts w:ascii="Times New Roman" w:cs="Times New Roman" w:hAnsi="Times New Roman"/>
          <w:color w:val="000000"/>
          <w:sz w:val="28"/>
          <w:szCs w:val="28"/>
        </w:rPr>
        <w:t xml:space="preserve">востребованной моделью остаются маркетплейсы, которые обеспечивают доступ к международной аудитории и инфраструктуру для ведения внешнеэкономической деятельности. </w:t>
      </w:r>
    </w:p>
    <w:p w14:paraId="000000DC">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Прямые продажи через собственные интернет-магазины позволяют компаниям контролировать бренд </w:t>
      </w:r>
      <w:r>
        <w:rPr>
          <w:rFonts w:ascii="Times New Roman" w:cs="Times New Roman" w:hAnsi="Times New Roman"/>
          <w:color w:val="000000"/>
          <w:sz w:val="28"/>
          <w:szCs w:val="28"/>
        </w:rPr>
        <w:t xml:space="preserve">и клиентский опыт, что важно для построения долгосрочных отношений с зарубежными покупателями. </w:t>
      </w:r>
    </w:p>
    <w:p w14:paraId="000000DD">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lang w:val="en-US"/>
        </w:rPr>
        <w:t>B</w:t>
      </w:r>
      <w:r>
        <w:rPr>
          <w:rFonts w:ascii="Times New Roman" w:cs="Times New Roman" w:hAnsi="Times New Roman"/>
          <w:color w:val="000000"/>
          <w:sz w:val="28"/>
          <w:szCs w:val="28"/>
        </w:rPr>
        <w:t>2</w:t>
      </w:r>
      <w:r>
        <w:rPr>
          <w:rFonts w:ascii="Times New Roman" w:cs="Times New Roman" w:hAnsi="Times New Roman"/>
          <w:color w:val="000000"/>
          <w:sz w:val="28"/>
          <w:szCs w:val="28"/>
          <w:lang w:val="en-US"/>
        </w:rPr>
        <w:t>B</w:t>
      </w:r>
      <w:r>
        <w:rPr>
          <w:rFonts w:ascii="Times New Roman" w:cs="Times New Roman" w:hAnsi="Times New Roman"/>
          <w:color w:val="000000"/>
          <w:sz w:val="28"/>
          <w:szCs w:val="28"/>
        </w:rPr>
        <w:t xml:space="preserve">-платформы и агентские модели используются преимущественно для оптовых сделок и партнерских отношений, а цифровые экспортные платформы, такие как «Мой </w:t>
      </w:r>
      <w:r>
        <w:rPr>
          <w:rFonts w:ascii="Times New Roman" w:cs="Times New Roman" w:hAnsi="Times New Roman"/>
          <w:color w:val="000000"/>
          <w:sz w:val="28"/>
          <w:szCs w:val="28"/>
        </w:rPr>
        <w:t>экспорт» от Российского экспортного центра, предоставляют комплексную поддержку, снижая административные барьеры и упрощая выход на внешние рынки</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Цифровые экспортные платформы играют важную роль в оптимизации процессов международной торговли и повышении ко</w:t>
      </w:r>
      <w:r>
        <w:rPr>
          <w:rFonts w:ascii="Times New Roman" w:cs="Times New Roman" w:hAnsi="Times New Roman"/>
          <w:color w:val="000000"/>
          <w:sz w:val="28"/>
          <w:szCs w:val="28"/>
        </w:rPr>
        <w:t xml:space="preserve">нкурентоспособности российских экспортеров. </w:t>
      </w:r>
      <w:r>
        <w:rPr>
          <w:rFonts w:ascii="Times New Roman" w:cs="Times New Roman" w:hAnsi="Times New Roman"/>
          <w:color w:val="000000"/>
          <w:sz w:val="28"/>
          <w:szCs w:val="28"/>
        </w:rPr>
        <w:t xml:space="preserve">Они предоставляют комплексные инструменты для упрощения оформления документов, поиска партнеров, организации логистики и маркетинга, что существенно влияет на эффективность ведения экспортной деятельности [9]. </w:t>
      </w:r>
    </w:p>
    <w:p w14:paraId="000000DE">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Для </w:t>
      </w:r>
      <w:r>
        <w:rPr>
          <w:rFonts w:ascii="Times New Roman" w:cs="Times New Roman" w:hAnsi="Times New Roman"/>
          <w:color w:val="000000"/>
          <w:sz w:val="28"/>
          <w:szCs w:val="28"/>
        </w:rPr>
        <w:t xml:space="preserve">более наглядного понимания положительного воздействия таких платформ на бизнес-показатели российских компаний представлена таблица, сравнивающая ключевые параметры работы экспортеров до и после подключения к цифровым сервисам. </w:t>
      </w:r>
    </w:p>
    <w:p w14:paraId="000000DF">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p>
    <w:p w14:paraId="000000E0">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8"/>
          <w:szCs w:val="28"/>
          <w:lang w:val="en-US"/>
        </w:rPr>
      </w:pPr>
      <w:bookmarkStart w:id="0" w:name="_Hlk200967898"/>
      <w:r>
        <w:rPr>
          <w:rFonts w:ascii="Times New Roman" w:cs="Times New Roman" w:hAnsi="Times New Roman"/>
          <w:color w:val="000000"/>
          <w:sz w:val="28"/>
          <w:szCs w:val="28"/>
        </w:rPr>
        <w:t>Таблица 4</w:t>
      </w:r>
      <w:r>
        <w:rPr>
          <w:rFonts w:ascii="Times New Roman" w:cs="Times New Roman" w:hAnsi="Times New Roman"/>
          <w:color w:val="000000"/>
          <w:sz w:val="28"/>
          <w:szCs w:val="28"/>
          <w:lang w:val="en-US"/>
        </w:rPr>
        <w:t>–</w:t>
      </w:r>
      <w:r>
        <w:rPr>
          <w:rFonts w:ascii="Times New Roman" w:cs="Times New Roman" w:hAnsi="Times New Roman"/>
          <w:color w:val="000000"/>
          <w:sz w:val="28"/>
          <w:szCs w:val="28"/>
        </w:rPr>
        <w:t>Эффективность испо</w:t>
      </w:r>
      <w:r>
        <w:rPr>
          <w:rFonts w:ascii="Times New Roman" w:cs="Times New Roman" w:hAnsi="Times New Roman"/>
          <w:color w:val="000000"/>
          <w:sz w:val="28"/>
          <w:szCs w:val="28"/>
        </w:rPr>
        <w:t>льзования цифровых платформ</w:t>
      </w:r>
      <w:bookmarkEnd w:id="0"/>
    </w:p>
    <w:tbl>
      <w:tblPr>
        <w:tblW w:w="9621" w:type="dxa"/>
        <w:tblBorders>
          <w:top w:val="single" w:color="e5e7eb" w:sz="6" w:space="0"/>
          <w:left w:val="single" w:color="e5e7eb" w:sz="6" w:space="0"/>
          <w:bottom w:val="single" w:color="e5e7eb" w:sz="6" w:space="0"/>
          <w:right w:val="single" w:color="e5e7eb" w:sz="6" w:space="0"/>
          <w:insideH w:val="single" w:color="e5e7eb" w:sz="6" w:space="0"/>
          <w:insideV w:val="single" w:color="e5e7eb" w:sz="6" w:space="0"/>
        </w:tblBorders>
        <w:tblLayout w:type="fixed"/>
        <w:tblCellMar>
          <w:top w:w="10" w:type="dxa"/>
          <w:left w:w="10" w:type="dxa"/>
          <w:bottom w:w="10" w:type="dxa"/>
          <w:right w:w="10" w:type="dxa"/>
        </w:tblCellMar>
        <w:tblLook w:val="04A0"/>
      </w:tblPr>
      <w:tblGrid>
        <w:gridCol w:w="3104"/>
        <w:gridCol w:w="1950"/>
        <w:gridCol w:w="2375"/>
        <w:gridCol w:w="2192"/>
      </w:tblGrid>
      <w:tr>
        <w:trPr/>
        <w:tc>
          <w:tcPr>
            <w:cnfStyle w:val="101000000000"/>
            <w:tcW w:w="3104" w:type="dxa"/>
            <w:tcBorders>
              <w:top w:val="single" w:color="auto" w:sz="4" w:space="0"/>
              <w:left w:val="single" w:color="auto" w:sz="4" w:space="0"/>
              <w:bottom w:val="single" w:color="auto" w:sz="4" w:space="0"/>
              <w:right w:val="single" w:color="auto" w:sz="4" w:space="0"/>
            </w:tcBorders>
          </w:tcPr>
          <w:p w14:paraId="000000E1">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b w:val="off"/>
                <w:bCs w:val="off"/>
                <w:color w:val="000000"/>
                <w:lang w:val="en-US"/>
              </w:rPr>
            </w:pPr>
            <w:r>
              <w:rPr>
                <w:rFonts w:ascii="Times New Roman" w:cs="Times New Roman" w:hAnsi="Times New Roman"/>
                <w:b w:val="off"/>
                <w:bCs w:val="off"/>
                <w:color w:val="000000"/>
                <w:lang w:val="en-US"/>
              </w:rPr>
              <w:t>Показатель</w:t>
            </w:r>
          </w:p>
        </w:tc>
        <w:tc>
          <w:tcPr>
            <w:cnfStyle w:val="100000000000"/>
            <w:tcW w:w="1950" w:type="dxa"/>
            <w:tcBorders>
              <w:top w:val="single" w:color="auto" w:sz="4" w:space="0"/>
              <w:left w:val="single" w:color="auto" w:sz="4" w:space="0"/>
              <w:bottom w:val="single" w:color="auto" w:sz="4" w:space="0"/>
              <w:right w:val="single" w:color="auto" w:sz="4" w:space="0"/>
            </w:tcBorders>
          </w:tcPr>
          <w:p w14:paraId="000000E2">
            <w:pPr>
              <w:pBdr>
                <w:top w:val="none" w:sz="4" w:space="0"/>
                <w:left w:val="none" w:sz="4" w:space="0"/>
                <w:bottom w:val="none" w:sz="4" w:space="0"/>
                <w:right w:val="none" w:sz="4" w:space="0"/>
                <w:between w:val="none" w:sz="4" w:space="0"/>
                <w:bar w:val="none" w:sz="4" w:space="0"/>
              </w:pBdr>
              <w:spacing w:after="0" w:line="240" w:lineRule="auto"/>
              <w:jc w:val="both"/>
              <w:rPr>
                <w:rFonts w:ascii="Times New Roman" w:cs="Times New Roman" w:hAnsi="Times New Roman"/>
                <w:b w:val="off"/>
                <w:bCs w:val="off"/>
                <w:color w:val="000000"/>
                <w:lang w:val="en-US"/>
              </w:rPr>
            </w:pPr>
            <w:r>
              <w:rPr>
                <w:rFonts w:ascii="Times New Roman" w:cs="Times New Roman" w:hAnsi="Times New Roman"/>
                <w:b w:val="off"/>
                <w:bCs w:val="off"/>
                <w:color w:val="000000"/>
                <w:lang w:val="en-US"/>
              </w:rPr>
              <w:t>Значение до подключения платформы</w:t>
            </w:r>
          </w:p>
        </w:tc>
        <w:tc>
          <w:tcPr>
            <w:cnfStyle w:val="100000000000"/>
            <w:tcW w:w="2375" w:type="dxa"/>
            <w:tcBorders>
              <w:top w:val="single" w:color="auto" w:sz="4" w:space="0"/>
              <w:left w:val="single" w:color="auto" w:sz="4" w:space="0"/>
              <w:bottom w:val="single" w:color="auto" w:sz="4" w:space="0"/>
              <w:right w:val="single" w:color="auto" w:sz="4" w:space="0"/>
            </w:tcBorders>
          </w:tcPr>
          <w:p w14:paraId="000000E3">
            <w:pPr>
              <w:pBdr>
                <w:top w:val="none" w:sz="4" w:space="0"/>
                <w:left w:val="none" w:sz="4" w:space="0"/>
                <w:bottom w:val="none" w:sz="4" w:space="0"/>
                <w:right w:val="none" w:sz="4" w:space="0"/>
                <w:between w:val="none" w:sz="4" w:space="0"/>
                <w:bar w:val="none" w:sz="4" w:space="0"/>
              </w:pBdr>
              <w:spacing w:after="0" w:line="240" w:lineRule="auto"/>
              <w:jc w:val="both"/>
              <w:rPr>
                <w:rFonts w:ascii="Times New Roman" w:cs="Times New Roman" w:hAnsi="Times New Roman"/>
                <w:b w:val="off"/>
                <w:bCs w:val="off"/>
                <w:color w:val="000000"/>
                <w:lang w:val="en-US"/>
              </w:rPr>
            </w:pPr>
            <w:r>
              <w:rPr>
                <w:rFonts w:ascii="Times New Roman" w:cs="Times New Roman" w:hAnsi="Times New Roman"/>
                <w:b w:val="off"/>
                <w:bCs w:val="off"/>
                <w:color w:val="000000"/>
                <w:lang w:val="en-US"/>
              </w:rPr>
              <w:t>Значение после подключения платформы</w:t>
            </w:r>
          </w:p>
        </w:tc>
        <w:tc>
          <w:tcPr>
            <w:cnfStyle w:val="100000000000"/>
            <w:tcW w:w="2192" w:type="dxa"/>
            <w:tcBorders>
              <w:top w:val="single" w:color="auto" w:sz="4" w:space="0"/>
              <w:left w:val="single" w:color="auto" w:sz="4" w:space="0"/>
              <w:bottom w:val="single" w:color="auto" w:sz="4" w:space="0"/>
              <w:right w:val="single" w:color="auto" w:sz="4" w:space="0"/>
            </w:tcBorders>
          </w:tcPr>
          <w:p w14:paraId="000000E4">
            <w:pPr>
              <w:pBdr>
                <w:top w:val="none" w:sz="4" w:space="0"/>
                <w:left w:val="none" w:sz="4" w:space="0"/>
                <w:bottom w:val="none" w:sz="4" w:space="0"/>
                <w:right w:val="none" w:sz="4" w:space="0"/>
                <w:between w:val="none" w:sz="4" w:space="0"/>
                <w:bar w:val="none" w:sz="4" w:space="0"/>
              </w:pBdr>
              <w:spacing w:after="0" w:line="240" w:lineRule="auto"/>
              <w:jc w:val="both"/>
              <w:rPr>
                <w:rFonts w:ascii="Times New Roman" w:cs="Times New Roman" w:hAnsi="Times New Roman"/>
                <w:b w:val="off"/>
                <w:bCs w:val="off"/>
                <w:color w:val="000000"/>
                <w:lang w:val="en-US"/>
              </w:rPr>
            </w:pPr>
            <w:r>
              <w:rPr>
                <w:rFonts w:ascii="Times New Roman" w:cs="Times New Roman" w:hAnsi="Times New Roman"/>
                <w:b w:val="off"/>
                <w:bCs w:val="off"/>
                <w:color w:val="000000"/>
                <w:lang w:val="en-US"/>
              </w:rPr>
              <w:t>Изменение (%)</w:t>
            </w:r>
          </w:p>
        </w:tc>
      </w:tr>
      <w:tr>
        <w:trPr/>
        <w:tc>
          <w:tcPr>
            <w:cnfStyle w:val="001000100000"/>
            <w:tcW w:w="3104" w:type="dxa"/>
            <w:tcBorders>
              <w:top w:val="single" w:color="auto" w:sz="4" w:space="0"/>
              <w:left w:val="single" w:color="auto" w:sz="4" w:space="0"/>
              <w:bottom w:val="single" w:color="auto" w:sz="4" w:space="0"/>
              <w:right w:val="single" w:color="auto" w:sz="4" w:space="0"/>
            </w:tcBorders>
          </w:tcPr>
          <w:p w14:paraId="000000E5">
            <w:pPr>
              <w:pBdr>
                <w:top w:val="none" w:sz="4" w:space="0"/>
                <w:left w:val="none" w:sz="4" w:space="0"/>
                <w:bottom w:val="none" w:sz="4" w:space="0"/>
                <w:right w:val="none" w:sz="4" w:space="0"/>
                <w:between w:val="none" w:sz="4" w:space="0"/>
                <w:bar w:val="none" w:sz="4" w:space="0"/>
              </w:pBdr>
              <w:spacing w:after="0" w:line="240" w:lineRule="auto"/>
              <w:jc w:val="both"/>
              <w:rPr>
                <w:rFonts w:ascii="Times New Roman" w:cs="Times New Roman" w:hAnsi="Times New Roman"/>
                <w:color w:val="000000"/>
              </w:rPr>
            </w:pPr>
            <w:r>
              <w:rPr>
                <w:rFonts w:ascii="Times New Roman" w:cs="Times New Roman" w:hAnsi="Times New Roman"/>
                <w:color w:val="000000"/>
              </w:rPr>
              <w:t>Скорость выхода на рынок (в месяцах)</w:t>
            </w:r>
          </w:p>
        </w:tc>
        <w:tc>
          <w:tcPr>
            <w:cnfStyle w:val="000000100000"/>
            <w:tcW w:w="1950" w:type="dxa"/>
            <w:tcBorders>
              <w:top w:val="single" w:color="auto" w:sz="4" w:space="0"/>
              <w:left w:val="single" w:color="auto" w:sz="4" w:space="0"/>
              <w:bottom w:val="single" w:color="auto" w:sz="4" w:space="0"/>
              <w:right w:val="single" w:color="auto" w:sz="4" w:space="0"/>
            </w:tcBorders>
          </w:tcPr>
          <w:p w14:paraId="000000E6">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color w:val="000000"/>
                <w:lang w:val="en-US"/>
              </w:rPr>
            </w:pPr>
            <w:r>
              <w:rPr>
                <w:rFonts w:ascii="Times New Roman" w:cs="Times New Roman" w:hAnsi="Times New Roman"/>
                <w:color w:val="000000"/>
                <w:lang w:val="en-US"/>
              </w:rPr>
              <w:t>6</w:t>
            </w:r>
          </w:p>
        </w:tc>
        <w:tc>
          <w:tcPr>
            <w:cnfStyle w:val="000000100000"/>
            <w:tcW w:w="2375" w:type="dxa"/>
            <w:tcBorders>
              <w:top w:val="single" w:color="auto" w:sz="4" w:space="0"/>
              <w:left w:val="single" w:color="auto" w:sz="4" w:space="0"/>
              <w:bottom w:val="single" w:color="auto" w:sz="4" w:space="0"/>
              <w:right w:val="single" w:color="auto" w:sz="4" w:space="0"/>
            </w:tcBorders>
          </w:tcPr>
          <w:p w14:paraId="000000E7">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color w:val="000000"/>
                <w:lang w:val="en-US"/>
              </w:rPr>
            </w:pPr>
            <w:r>
              <w:rPr>
                <w:rFonts w:ascii="Times New Roman" w:cs="Times New Roman" w:hAnsi="Times New Roman"/>
                <w:color w:val="000000"/>
                <w:lang w:val="en-US"/>
              </w:rPr>
              <w:t>3</w:t>
            </w:r>
          </w:p>
        </w:tc>
        <w:tc>
          <w:tcPr>
            <w:cnfStyle w:val="000000100000"/>
            <w:tcW w:w="2192" w:type="dxa"/>
            <w:tcBorders>
              <w:top w:val="single" w:color="auto" w:sz="4" w:space="0"/>
              <w:left w:val="single" w:color="auto" w:sz="4" w:space="0"/>
              <w:bottom w:val="single" w:color="auto" w:sz="4" w:space="0"/>
              <w:right w:val="single" w:color="auto" w:sz="4" w:space="0"/>
            </w:tcBorders>
          </w:tcPr>
          <w:p w14:paraId="000000E8">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color w:val="000000"/>
                <w:lang w:val="en-US"/>
              </w:rPr>
            </w:pPr>
            <w:r>
              <w:rPr>
                <w:rFonts w:ascii="Times New Roman" w:cs="Times New Roman" w:hAnsi="Times New Roman"/>
                <w:color w:val="000000"/>
                <w:lang w:val="en-US"/>
              </w:rPr>
              <w:t>-50%</w:t>
            </w:r>
          </w:p>
        </w:tc>
      </w:tr>
      <w:tr>
        <w:trPr/>
        <w:tc>
          <w:tcPr>
            <w:cnfStyle w:val="001000010000"/>
            <w:tcW w:w="3104" w:type="dxa"/>
            <w:tcBorders>
              <w:top w:val="single" w:color="auto" w:sz="4" w:space="0"/>
              <w:left w:val="single" w:color="auto" w:sz="4" w:space="0"/>
              <w:bottom w:val="single" w:color="auto" w:sz="4" w:space="0"/>
              <w:right w:val="single" w:color="auto" w:sz="4" w:space="0"/>
            </w:tcBorders>
          </w:tcPr>
          <w:p w14:paraId="000000E9">
            <w:pPr>
              <w:pBdr>
                <w:top w:val="none" w:sz="4" w:space="0"/>
                <w:left w:val="none" w:sz="4" w:space="0"/>
                <w:bottom w:val="none" w:sz="4" w:space="0"/>
                <w:right w:val="none" w:sz="4" w:space="0"/>
                <w:between w:val="none" w:sz="4" w:space="0"/>
                <w:bar w:val="none" w:sz="4" w:space="0"/>
              </w:pBdr>
              <w:spacing w:after="0" w:line="240" w:lineRule="auto"/>
              <w:jc w:val="both"/>
              <w:rPr>
                <w:rFonts w:ascii="Times New Roman" w:cs="Times New Roman" w:hAnsi="Times New Roman"/>
                <w:color w:val="000000"/>
              </w:rPr>
            </w:pPr>
            <w:r>
              <w:rPr>
                <w:rFonts w:ascii="Times New Roman" w:cs="Times New Roman" w:hAnsi="Times New Roman"/>
                <w:color w:val="000000"/>
              </w:rPr>
              <w:t>Средние затраты на маркетинг и логистику (тыс. руб.)</w:t>
            </w:r>
          </w:p>
        </w:tc>
        <w:tc>
          <w:tcPr>
            <w:cnfStyle w:val="000000010000"/>
            <w:tcW w:w="1950" w:type="dxa"/>
            <w:tcBorders>
              <w:top w:val="single" w:color="auto" w:sz="4" w:space="0"/>
              <w:left w:val="single" w:color="auto" w:sz="4" w:space="0"/>
              <w:bottom w:val="single" w:color="auto" w:sz="4" w:space="0"/>
              <w:right w:val="single" w:color="auto" w:sz="4" w:space="0"/>
            </w:tcBorders>
          </w:tcPr>
          <w:p w14:paraId="000000EA">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color w:val="000000"/>
                <w:lang w:val="en-US"/>
              </w:rPr>
            </w:pPr>
            <w:r>
              <w:rPr>
                <w:rFonts w:ascii="Times New Roman" w:cs="Times New Roman" w:hAnsi="Times New Roman"/>
                <w:color w:val="000000"/>
                <w:lang w:val="en-US"/>
              </w:rPr>
              <w:t>500</w:t>
            </w:r>
          </w:p>
        </w:tc>
        <w:tc>
          <w:tcPr>
            <w:cnfStyle w:val="000000010000"/>
            <w:tcW w:w="2375" w:type="dxa"/>
            <w:tcBorders>
              <w:top w:val="single" w:color="auto" w:sz="4" w:space="0"/>
              <w:left w:val="single" w:color="auto" w:sz="4" w:space="0"/>
              <w:bottom w:val="single" w:color="auto" w:sz="4" w:space="0"/>
              <w:right w:val="single" w:color="auto" w:sz="4" w:space="0"/>
            </w:tcBorders>
          </w:tcPr>
          <w:p w14:paraId="000000EB">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color w:val="000000"/>
                <w:lang w:val="en-US"/>
              </w:rPr>
            </w:pPr>
            <w:r>
              <w:rPr>
                <w:rFonts w:ascii="Times New Roman" w:cs="Times New Roman" w:hAnsi="Times New Roman"/>
                <w:color w:val="000000"/>
                <w:lang w:val="en-US"/>
              </w:rPr>
              <w:t>350</w:t>
            </w:r>
          </w:p>
        </w:tc>
        <w:tc>
          <w:tcPr>
            <w:cnfStyle w:val="000000010000"/>
            <w:tcW w:w="2192" w:type="dxa"/>
            <w:tcBorders>
              <w:top w:val="single" w:color="auto" w:sz="4" w:space="0"/>
              <w:left w:val="single" w:color="auto" w:sz="4" w:space="0"/>
              <w:bottom w:val="single" w:color="auto" w:sz="4" w:space="0"/>
              <w:right w:val="single" w:color="auto" w:sz="4" w:space="0"/>
            </w:tcBorders>
          </w:tcPr>
          <w:p w14:paraId="000000EC">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color w:val="000000"/>
                <w:lang w:val="en-US"/>
              </w:rPr>
            </w:pPr>
            <w:r>
              <w:rPr>
                <w:rFonts w:ascii="Times New Roman" w:cs="Times New Roman" w:hAnsi="Times New Roman"/>
                <w:color w:val="000000"/>
                <w:lang w:val="en-US"/>
              </w:rPr>
              <w:t>-30%</w:t>
            </w:r>
          </w:p>
        </w:tc>
      </w:tr>
    </w:tbl>
    <w:p w14:paraId="000000ED">
      <w:r>
        <w:rPr>
          <w:rFonts w:ascii="Times New Roman" w:cs="Times New Roman" w:hAnsi="Times New Roman"/>
          <w:color w:val="000000"/>
          <w:sz w:val="28"/>
          <w:szCs w:val="28"/>
        </w:rPr>
        <w:t>Продолжение Таблицы 4</w:t>
      </w:r>
    </w:p>
    <w:tbl>
      <w:tblPr>
        <w:tblW w:w="9621" w:type="dxa"/>
        <w:tblBorders>
          <w:top w:val="single" w:color="e5e7eb" w:sz="6" w:space="0"/>
          <w:left w:val="single" w:color="e5e7eb" w:sz="6" w:space="0"/>
          <w:bottom w:val="single" w:color="e5e7eb" w:sz="6" w:space="0"/>
          <w:right w:val="single" w:color="e5e7eb" w:sz="6" w:space="0"/>
          <w:insideH w:val="single" w:color="e5e7eb" w:sz="6" w:space="0"/>
          <w:insideV w:val="single" w:color="e5e7eb" w:sz="6" w:space="0"/>
        </w:tblBorders>
        <w:tblLayout w:type="fixed"/>
        <w:tblCellMar>
          <w:top w:w="10" w:type="dxa"/>
          <w:left w:w="10" w:type="dxa"/>
          <w:bottom w:w="10" w:type="dxa"/>
          <w:right w:w="10" w:type="dxa"/>
        </w:tblCellMar>
        <w:tblLook w:val="04A0"/>
      </w:tblPr>
      <w:tblGrid>
        <w:gridCol w:w="3104"/>
        <w:gridCol w:w="1950"/>
        <w:gridCol w:w="2375"/>
        <w:gridCol w:w="2192"/>
      </w:tblGrid>
      <w:tr>
        <w:trPr>
          <w:cnfStyle w:val="100000000000"/>
        </w:trPr>
        <w:tc>
          <w:tcPr>
            <w:cnfStyle w:val="101000000000"/>
            <w:tcW w:w="3104" w:type="dxa"/>
            <w:tcBorders>
              <w:top w:val="single" w:color="auto" w:sz="4" w:space="0"/>
              <w:left w:val="single" w:color="auto" w:sz="4" w:space="0"/>
              <w:bottom w:val="single" w:color="auto" w:sz="4" w:space="0"/>
              <w:right w:val="single" w:color="auto" w:sz="4" w:space="0"/>
            </w:tcBorders>
          </w:tcPr>
          <w:p w14:paraId="000000EE">
            <w:pPr>
              <w:pBdr>
                <w:top w:val="none" w:sz="4" w:space="0"/>
                <w:left w:val="none" w:sz="4" w:space="0"/>
                <w:bottom w:val="none" w:sz="4" w:space="0"/>
                <w:right w:val="none" w:sz="4" w:space="0"/>
                <w:between w:val="none" w:sz="4" w:space="0"/>
                <w:bar w:val="none" w:sz="4" w:space="0"/>
              </w:pBdr>
              <w:spacing w:after="0" w:line="240" w:lineRule="auto"/>
              <w:jc w:val="both"/>
              <w:rPr>
                <w:rFonts w:ascii="Times New Roman" w:cs="Times New Roman" w:hAnsi="Times New Roman"/>
                <w:b w:val="off"/>
                <w:bCs w:val="off"/>
                <w:color w:val="000000"/>
                <w:lang w:val="en-US"/>
              </w:rPr>
            </w:pPr>
            <w:r>
              <w:rPr>
                <w:rFonts w:ascii="Times New Roman" w:cs="Times New Roman" w:hAnsi="Times New Roman"/>
                <w:b w:val="off"/>
                <w:bCs w:val="off"/>
                <w:color w:val="000000"/>
                <w:lang w:val="en-US"/>
              </w:rPr>
              <w:t>Показатель</w:t>
            </w:r>
          </w:p>
        </w:tc>
        <w:tc>
          <w:tcPr>
            <w:cnfStyle w:val="100000000000"/>
            <w:tcW w:w="1950" w:type="dxa"/>
            <w:tcBorders>
              <w:top w:val="single" w:color="auto" w:sz="4" w:space="0"/>
              <w:left w:val="single" w:color="auto" w:sz="4" w:space="0"/>
              <w:bottom w:val="single" w:color="auto" w:sz="4" w:space="0"/>
              <w:right w:val="single" w:color="auto" w:sz="4" w:space="0"/>
            </w:tcBorders>
          </w:tcPr>
          <w:p w14:paraId="000000EF">
            <w:pPr>
              <w:pBdr>
                <w:top w:val="none" w:sz="4" w:space="0"/>
                <w:left w:val="none" w:sz="4" w:space="0"/>
                <w:bottom w:val="none" w:sz="4" w:space="0"/>
                <w:right w:val="none" w:sz="4" w:space="0"/>
                <w:between w:val="none" w:sz="4" w:space="0"/>
                <w:bar w:val="none" w:sz="4" w:space="0"/>
              </w:pBdr>
              <w:spacing w:after="0" w:line="240" w:lineRule="auto"/>
              <w:jc w:val="both"/>
              <w:rPr>
                <w:rFonts w:ascii="Times New Roman" w:cs="Times New Roman" w:hAnsi="Times New Roman"/>
                <w:b w:val="off"/>
                <w:bCs w:val="off"/>
                <w:color w:val="000000"/>
                <w:lang w:val="en-US"/>
              </w:rPr>
            </w:pPr>
            <w:r>
              <w:rPr>
                <w:rFonts w:ascii="Times New Roman" w:cs="Times New Roman" w:hAnsi="Times New Roman"/>
                <w:b w:val="off"/>
                <w:bCs w:val="off"/>
                <w:color w:val="000000"/>
                <w:lang w:val="en-US"/>
              </w:rPr>
              <w:t>Значение до подключения платформы</w:t>
            </w:r>
          </w:p>
        </w:tc>
        <w:tc>
          <w:tcPr>
            <w:cnfStyle w:val="100000000000"/>
            <w:tcW w:w="2375" w:type="dxa"/>
            <w:tcBorders>
              <w:top w:val="single" w:color="auto" w:sz="4" w:space="0"/>
              <w:left w:val="single" w:color="auto" w:sz="4" w:space="0"/>
              <w:bottom w:val="single" w:color="auto" w:sz="4" w:space="0"/>
              <w:right w:val="single" w:color="auto" w:sz="4" w:space="0"/>
            </w:tcBorders>
          </w:tcPr>
          <w:p w14:paraId="000000F0">
            <w:pPr>
              <w:pBdr>
                <w:top w:val="none" w:sz="4" w:space="0"/>
                <w:left w:val="none" w:sz="4" w:space="0"/>
                <w:bottom w:val="none" w:sz="4" w:space="0"/>
                <w:right w:val="none" w:sz="4" w:space="0"/>
                <w:between w:val="none" w:sz="4" w:space="0"/>
                <w:bar w:val="none" w:sz="4" w:space="0"/>
              </w:pBdr>
              <w:spacing w:after="0" w:line="240" w:lineRule="auto"/>
              <w:jc w:val="both"/>
              <w:rPr>
                <w:rFonts w:ascii="Times New Roman" w:cs="Times New Roman" w:hAnsi="Times New Roman"/>
                <w:b w:val="off"/>
                <w:bCs w:val="off"/>
                <w:color w:val="000000"/>
                <w:lang w:val="en-US"/>
              </w:rPr>
            </w:pPr>
            <w:r>
              <w:rPr>
                <w:rFonts w:ascii="Times New Roman" w:cs="Times New Roman" w:hAnsi="Times New Roman"/>
                <w:b w:val="off"/>
                <w:bCs w:val="off"/>
                <w:color w:val="000000"/>
                <w:lang w:val="en-US"/>
              </w:rPr>
              <w:t>Значение после подключения платформы</w:t>
            </w:r>
          </w:p>
        </w:tc>
        <w:tc>
          <w:tcPr>
            <w:cnfStyle w:val="100000000000"/>
            <w:tcW w:w="2192" w:type="dxa"/>
            <w:tcBorders>
              <w:top w:val="single" w:color="auto" w:sz="4" w:space="0"/>
              <w:left w:val="single" w:color="auto" w:sz="4" w:space="0"/>
              <w:bottom w:val="single" w:color="auto" w:sz="4" w:space="0"/>
              <w:right w:val="single" w:color="auto" w:sz="4" w:space="0"/>
            </w:tcBorders>
          </w:tcPr>
          <w:p w14:paraId="000000F1">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b w:val="off"/>
                <w:bCs w:val="off"/>
                <w:color w:val="000000"/>
                <w:lang w:val="en-US"/>
              </w:rPr>
            </w:pPr>
            <w:r>
              <w:rPr>
                <w:rFonts w:ascii="Times New Roman" w:cs="Times New Roman" w:hAnsi="Times New Roman"/>
                <w:b w:val="off"/>
                <w:bCs w:val="off"/>
                <w:color w:val="000000"/>
                <w:lang w:val="en-US"/>
              </w:rPr>
              <w:t>Изменение (%)</w:t>
            </w:r>
          </w:p>
        </w:tc>
      </w:tr>
      <w:tr>
        <w:trPr>
          <w:cnfStyle w:val="000000100000"/>
        </w:trPr>
        <w:tc>
          <w:tcPr>
            <w:cnfStyle w:val="001000100000"/>
            <w:tcW w:w="3104" w:type="dxa"/>
            <w:tcBorders>
              <w:top w:val="single" w:color="auto" w:sz="4" w:space="0"/>
              <w:left w:val="single" w:color="auto" w:sz="4" w:space="0"/>
              <w:bottom w:val="single" w:color="auto" w:sz="4" w:space="0"/>
              <w:right w:val="single" w:color="auto" w:sz="4" w:space="0"/>
            </w:tcBorders>
          </w:tcPr>
          <w:p w14:paraId="000000F2">
            <w:pPr>
              <w:pBdr>
                <w:top w:val="none" w:sz="4" w:space="0"/>
                <w:left w:val="none" w:sz="4" w:space="0"/>
                <w:bottom w:val="none" w:sz="4" w:space="0"/>
                <w:right w:val="none" w:sz="4" w:space="0"/>
                <w:between w:val="none" w:sz="4" w:space="0"/>
                <w:bar w:val="none" w:sz="4" w:space="0"/>
              </w:pBdr>
              <w:spacing w:after="0" w:line="240" w:lineRule="auto"/>
              <w:jc w:val="both"/>
              <w:rPr>
                <w:rFonts w:ascii="Times New Roman" w:cs="Times New Roman" w:hAnsi="Times New Roman"/>
                <w:color w:val="000000"/>
                <w:lang w:val="en-US"/>
              </w:rPr>
            </w:pPr>
            <w:r>
              <w:rPr>
                <w:rFonts w:ascii="Times New Roman" w:cs="Times New Roman" w:hAnsi="Times New Roman"/>
                <w:color w:val="000000"/>
                <w:lang w:val="en-US"/>
              </w:rPr>
              <w:t xml:space="preserve">Уровень </w:t>
            </w:r>
            <w:r>
              <w:rPr>
                <w:rFonts w:ascii="Times New Roman" w:cs="Times New Roman" w:hAnsi="Times New Roman"/>
                <w:color w:val="000000"/>
                <w:lang w:val="en-US"/>
              </w:rPr>
              <w:t>удовлетворенности клиентов (%)</w:t>
            </w:r>
          </w:p>
        </w:tc>
        <w:tc>
          <w:tcPr>
            <w:cnfStyle w:val="000000100000"/>
            <w:tcW w:w="1950" w:type="dxa"/>
            <w:tcBorders>
              <w:top w:val="single" w:color="auto" w:sz="4" w:space="0"/>
              <w:left w:val="single" w:color="auto" w:sz="4" w:space="0"/>
              <w:bottom w:val="single" w:color="auto" w:sz="4" w:space="0"/>
              <w:right w:val="single" w:color="auto" w:sz="4" w:space="0"/>
            </w:tcBorders>
          </w:tcPr>
          <w:p w14:paraId="000000F3">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color w:val="000000"/>
                <w:lang w:val="en-US"/>
              </w:rPr>
            </w:pPr>
            <w:r>
              <w:rPr>
                <w:rFonts w:ascii="Times New Roman" w:cs="Times New Roman" w:hAnsi="Times New Roman"/>
                <w:color w:val="000000"/>
                <w:lang w:val="en-US"/>
              </w:rPr>
              <w:t>70</w:t>
            </w:r>
          </w:p>
        </w:tc>
        <w:tc>
          <w:tcPr>
            <w:cnfStyle w:val="000000100000"/>
            <w:tcW w:w="2375" w:type="dxa"/>
            <w:tcBorders>
              <w:top w:val="single" w:color="auto" w:sz="4" w:space="0"/>
              <w:left w:val="single" w:color="auto" w:sz="4" w:space="0"/>
              <w:bottom w:val="single" w:color="auto" w:sz="4" w:space="0"/>
              <w:right w:val="single" w:color="auto" w:sz="4" w:space="0"/>
            </w:tcBorders>
          </w:tcPr>
          <w:p w14:paraId="000000F4">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color w:val="000000"/>
                <w:lang w:val="en-US"/>
              </w:rPr>
            </w:pPr>
            <w:r>
              <w:rPr>
                <w:rFonts w:ascii="Times New Roman" w:cs="Times New Roman" w:hAnsi="Times New Roman"/>
                <w:color w:val="000000"/>
                <w:lang w:val="en-US"/>
              </w:rPr>
              <w:t>85</w:t>
            </w:r>
          </w:p>
        </w:tc>
        <w:tc>
          <w:tcPr>
            <w:cnfStyle w:val="000000100000"/>
            <w:tcW w:w="2192" w:type="dxa"/>
            <w:tcBorders>
              <w:top w:val="single" w:color="auto" w:sz="4" w:space="0"/>
              <w:left w:val="single" w:color="auto" w:sz="4" w:space="0"/>
              <w:bottom w:val="single" w:color="auto" w:sz="4" w:space="0"/>
              <w:right w:val="single" w:color="auto" w:sz="4" w:space="0"/>
            </w:tcBorders>
          </w:tcPr>
          <w:p w14:paraId="000000F5">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color w:val="000000"/>
                <w:lang w:val="en-US"/>
              </w:rPr>
            </w:pPr>
            <w:r>
              <w:rPr>
                <w:rFonts w:ascii="Times New Roman" w:cs="Times New Roman" w:hAnsi="Times New Roman"/>
                <w:color w:val="000000"/>
                <w:lang w:val="en-US"/>
              </w:rPr>
              <w:t>+21%</w:t>
            </w:r>
          </w:p>
        </w:tc>
      </w:tr>
      <w:tr>
        <w:trPr>
          <w:cnfStyle w:val="000000010000"/>
        </w:trPr>
        <w:tc>
          <w:tcPr>
            <w:cnfStyle w:val="001000010000"/>
            <w:tcW w:w="3104" w:type="dxa"/>
            <w:tcBorders>
              <w:top w:val="single" w:color="auto" w:sz="4" w:space="0"/>
              <w:left w:val="single" w:color="auto" w:sz="4" w:space="0"/>
              <w:bottom w:val="single" w:color="auto" w:sz="4" w:space="0"/>
              <w:right w:val="single" w:color="auto" w:sz="4" w:space="0"/>
            </w:tcBorders>
          </w:tcPr>
          <w:p w14:paraId="000000F6">
            <w:pPr>
              <w:pBdr>
                <w:top w:val="none" w:sz="4" w:space="0"/>
                <w:left w:val="none" w:sz="4" w:space="0"/>
                <w:bottom w:val="none" w:sz="4" w:space="0"/>
                <w:right w:val="none" w:sz="4" w:space="0"/>
                <w:between w:val="none" w:sz="4" w:space="0"/>
                <w:bar w:val="none" w:sz="4" w:space="0"/>
              </w:pBdr>
              <w:spacing w:after="0" w:line="240" w:lineRule="auto"/>
              <w:jc w:val="both"/>
              <w:rPr>
                <w:rFonts w:ascii="Times New Roman" w:cs="Times New Roman" w:hAnsi="Times New Roman"/>
                <w:color w:val="000000"/>
                <w:lang w:val="en-US"/>
              </w:rPr>
            </w:pPr>
            <w:r>
              <w:rPr>
                <w:rFonts w:ascii="Times New Roman" w:cs="Times New Roman" w:hAnsi="Times New Roman"/>
                <w:color w:val="000000"/>
                <w:lang w:val="en-US"/>
              </w:rPr>
              <w:t>Уровень возвратов и рекламаций (%)</w:t>
            </w:r>
          </w:p>
        </w:tc>
        <w:tc>
          <w:tcPr>
            <w:cnfStyle w:val="000000010000"/>
            <w:tcW w:w="1950" w:type="dxa"/>
            <w:tcBorders>
              <w:top w:val="single" w:color="auto" w:sz="4" w:space="0"/>
              <w:left w:val="single" w:color="auto" w:sz="4" w:space="0"/>
              <w:bottom w:val="single" w:color="auto" w:sz="4" w:space="0"/>
              <w:right w:val="single" w:color="auto" w:sz="4" w:space="0"/>
            </w:tcBorders>
          </w:tcPr>
          <w:p w14:paraId="000000F7">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color w:val="000000"/>
                <w:lang w:val="en-US"/>
              </w:rPr>
            </w:pPr>
            <w:r>
              <w:rPr>
                <w:rFonts w:ascii="Times New Roman" w:cs="Times New Roman" w:hAnsi="Times New Roman"/>
                <w:color w:val="000000"/>
                <w:lang w:val="en-US"/>
              </w:rPr>
              <w:t>8</w:t>
            </w:r>
          </w:p>
        </w:tc>
        <w:tc>
          <w:tcPr>
            <w:cnfStyle w:val="000000010000"/>
            <w:tcW w:w="2375" w:type="dxa"/>
            <w:tcBorders>
              <w:top w:val="single" w:color="auto" w:sz="4" w:space="0"/>
              <w:left w:val="single" w:color="auto" w:sz="4" w:space="0"/>
              <w:bottom w:val="single" w:color="auto" w:sz="4" w:space="0"/>
              <w:right w:val="single" w:color="auto" w:sz="4" w:space="0"/>
            </w:tcBorders>
          </w:tcPr>
          <w:p w14:paraId="000000F8">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color w:val="000000"/>
                <w:lang w:val="en-US"/>
              </w:rPr>
            </w:pPr>
            <w:r>
              <w:rPr>
                <w:rFonts w:ascii="Times New Roman" w:cs="Times New Roman" w:hAnsi="Times New Roman"/>
                <w:color w:val="000000"/>
                <w:lang w:val="en-US"/>
              </w:rPr>
              <w:t>4</w:t>
            </w:r>
          </w:p>
        </w:tc>
        <w:tc>
          <w:tcPr>
            <w:cnfStyle w:val="000000010000"/>
            <w:tcW w:w="2192" w:type="dxa"/>
            <w:tcBorders>
              <w:top w:val="single" w:color="auto" w:sz="4" w:space="0"/>
              <w:left w:val="single" w:color="auto" w:sz="4" w:space="0"/>
              <w:bottom w:val="single" w:color="auto" w:sz="4" w:space="0"/>
              <w:right w:val="single" w:color="auto" w:sz="4" w:space="0"/>
            </w:tcBorders>
          </w:tcPr>
          <w:p w14:paraId="000000F9">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color w:val="000000"/>
                <w:lang w:val="en-US"/>
              </w:rPr>
            </w:pPr>
            <w:r>
              <w:rPr>
                <w:rFonts w:ascii="Times New Roman" w:cs="Times New Roman" w:hAnsi="Times New Roman"/>
                <w:color w:val="000000"/>
                <w:lang w:val="en-US"/>
              </w:rPr>
              <w:t>-50%</w:t>
            </w:r>
          </w:p>
        </w:tc>
      </w:tr>
      <w:tr>
        <w:trPr>
          <w:cnfStyle w:val="000000100000"/>
        </w:trPr>
        <w:tc>
          <w:tcPr>
            <w:cnfStyle w:val="001000100000"/>
            <w:tcW w:w="3104" w:type="dxa"/>
            <w:tcBorders>
              <w:top w:val="single" w:color="auto" w:sz="4" w:space="0"/>
              <w:left w:val="single" w:color="auto" w:sz="4" w:space="0"/>
              <w:bottom w:val="single" w:color="auto" w:sz="4" w:space="0"/>
              <w:right w:val="single" w:color="auto" w:sz="4" w:space="0"/>
            </w:tcBorders>
          </w:tcPr>
          <w:p w14:paraId="000000FA">
            <w:pPr>
              <w:pBdr>
                <w:top w:val="none" w:sz="4" w:space="0"/>
                <w:left w:val="none" w:sz="4" w:space="0"/>
                <w:bottom w:val="none" w:sz="4" w:space="0"/>
                <w:right w:val="none" w:sz="4" w:space="0"/>
                <w:between w:val="none" w:sz="4" w:space="0"/>
                <w:bar w:val="none" w:sz="4" w:space="0"/>
              </w:pBdr>
              <w:spacing w:after="0" w:line="240" w:lineRule="auto"/>
              <w:jc w:val="both"/>
              <w:rPr>
                <w:rFonts w:ascii="Times New Roman" w:cs="Times New Roman" w:hAnsi="Times New Roman"/>
                <w:color w:val="000000"/>
                <w:lang w:val="en-US"/>
              </w:rPr>
            </w:pPr>
            <w:r>
              <w:rPr>
                <w:rFonts w:ascii="Times New Roman" w:cs="Times New Roman" w:hAnsi="Times New Roman"/>
                <w:color w:val="000000"/>
                <w:lang w:val="en-US"/>
              </w:rPr>
              <w:t>Прирост выручки (%) после подключения</w:t>
            </w:r>
          </w:p>
        </w:tc>
        <w:tc>
          <w:tcPr>
            <w:cnfStyle w:val="000000100000"/>
            <w:tcW w:w="1950" w:type="dxa"/>
            <w:tcBorders>
              <w:top w:val="single" w:color="auto" w:sz="4" w:space="0"/>
              <w:left w:val="single" w:color="auto" w:sz="4" w:space="0"/>
              <w:bottom w:val="single" w:color="auto" w:sz="4" w:space="0"/>
              <w:right w:val="single" w:color="auto" w:sz="4" w:space="0"/>
            </w:tcBorders>
          </w:tcPr>
          <w:p w14:paraId="000000FB">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color w:val="000000"/>
                <w:lang w:val="en-US"/>
              </w:rPr>
            </w:pPr>
            <w:r>
              <w:rPr>
                <w:rFonts w:ascii="Times New Roman" w:cs="Times New Roman" w:hAnsi="Times New Roman"/>
                <w:color w:val="000000"/>
                <w:lang w:val="en-US"/>
              </w:rPr>
              <w:t>–</w:t>
            </w:r>
          </w:p>
        </w:tc>
        <w:tc>
          <w:tcPr>
            <w:cnfStyle w:val="000000100000"/>
            <w:tcW w:w="2375" w:type="dxa"/>
            <w:tcBorders>
              <w:top w:val="single" w:color="auto" w:sz="4" w:space="0"/>
              <w:left w:val="single" w:color="auto" w:sz="4" w:space="0"/>
              <w:bottom w:val="single" w:color="auto" w:sz="4" w:space="0"/>
              <w:right w:val="single" w:color="auto" w:sz="4" w:space="0"/>
            </w:tcBorders>
          </w:tcPr>
          <w:p w14:paraId="000000FC">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color w:val="000000"/>
                <w:lang w:val="en-US"/>
              </w:rPr>
            </w:pPr>
            <w:r>
              <w:rPr>
                <w:rFonts w:ascii="Times New Roman" w:cs="Times New Roman" w:hAnsi="Times New Roman"/>
                <w:color w:val="000000"/>
                <w:lang w:val="en-US"/>
              </w:rPr>
              <w:t>+25%</w:t>
            </w:r>
          </w:p>
        </w:tc>
        <w:tc>
          <w:tcPr>
            <w:cnfStyle w:val="000000100000"/>
            <w:tcW w:w="2192" w:type="dxa"/>
            <w:tcBorders>
              <w:top w:val="single" w:color="auto" w:sz="4" w:space="0"/>
              <w:left w:val="single" w:color="auto" w:sz="4" w:space="0"/>
              <w:bottom w:val="single" w:color="auto" w:sz="4" w:space="0"/>
              <w:right w:val="single" w:color="auto" w:sz="4" w:space="0"/>
            </w:tcBorders>
          </w:tcPr>
          <w:p w14:paraId="000000FD">
            <w:pPr>
              <w:pBdr>
                <w:top w:val="none" w:sz="4" w:space="0"/>
                <w:left w:val="none" w:sz="4" w:space="0"/>
                <w:bottom w:val="none" w:sz="4" w:space="0"/>
                <w:right w:val="none" w:sz="4" w:space="0"/>
                <w:between w:val="none" w:sz="4" w:space="0"/>
                <w:bar w:val="none" w:sz="4" w:space="0"/>
              </w:pBdr>
              <w:spacing w:after="0" w:line="240" w:lineRule="auto"/>
              <w:ind w:firstLine="709"/>
              <w:jc w:val="both"/>
              <w:rPr>
                <w:rFonts w:ascii="Times New Roman" w:cs="Times New Roman" w:hAnsi="Times New Roman"/>
                <w:color w:val="000000"/>
                <w:lang w:val="en-US"/>
              </w:rPr>
            </w:pPr>
            <w:r>
              <w:rPr>
                <w:rFonts w:ascii="Times New Roman" w:cs="Times New Roman" w:hAnsi="Times New Roman"/>
                <w:color w:val="000000"/>
                <w:lang w:val="en-US"/>
              </w:rPr>
              <w:t>+25%</w:t>
            </w:r>
          </w:p>
        </w:tc>
      </w:tr>
    </w:tbl>
    <w:p w14:paraId="000000FE">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lang w:val="en-US"/>
        </w:rPr>
      </w:pPr>
    </w:p>
    <w:p w14:paraId="000000FF">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Анализ представленных данных показывает, что использование цифровых экспортных платформ существенно повышает </w:t>
      </w:r>
      <w:r>
        <w:rPr>
          <w:rFonts w:ascii="Times New Roman" w:cs="Times New Roman" w:hAnsi="Times New Roman"/>
          <w:color w:val="000000"/>
          <w:sz w:val="28"/>
          <w:szCs w:val="28"/>
        </w:rPr>
        <w:t>эффективность экспортной деятельности российских компаний. Значительное сокращение времени выхода на рынок и снижение затрат на маркетинг и логистику свидетельствуют о повышении операционной эффективности. Рост уровня удовлетворенности клиентов и уменьшени</w:t>
      </w:r>
      <w:r>
        <w:rPr>
          <w:rFonts w:ascii="Times New Roman" w:cs="Times New Roman" w:hAnsi="Times New Roman"/>
          <w:color w:val="000000"/>
          <w:sz w:val="28"/>
          <w:szCs w:val="28"/>
        </w:rPr>
        <w:t xml:space="preserve">е возвратов и рекламаций указывают на улучшение качества обслуживания и продукции </w:t>
      </w:r>
    </w:p>
    <w:p w14:paraId="00000100">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Таким образом, несмотря на существующие вызовы, онлайн-экспорт российских компаний демонстрирует устойчивый рост и обладает значительным потенциалом для дальнейшего развития</w:t>
      </w:r>
      <w:r>
        <w:rPr>
          <w:rFonts w:ascii="Times New Roman" w:cs="Times New Roman" w:hAnsi="Times New Roman"/>
          <w:color w:val="000000"/>
          <w:sz w:val="28"/>
          <w:szCs w:val="28"/>
        </w:rPr>
        <w:t xml:space="preserve"> в сфере международного коммерческого дела. Активное использование цифровых платформ и современных моделей электронной коммерции становится важным фактором конкурентоспособности на мировом рынке.</w:t>
      </w:r>
    </w:p>
    <w:p w14:paraId="00000101">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Несмотря на очевидные преимущества и положительное влияние ц</w:t>
      </w:r>
      <w:r>
        <w:rPr>
          <w:rFonts w:ascii="Times New Roman" w:cs="Times New Roman" w:hAnsi="Times New Roman"/>
          <w:color w:val="000000"/>
          <w:sz w:val="28"/>
          <w:szCs w:val="28"/>
        </w:rPr>
        <w:t>ифровых платформ на экспортную деятельность российских компаний, реализация потенциала онлайн-экспорта сталкивается с рядом значимых проблем и вызовов.</w:t>
      </w:r>
    </w:p>
    <w:p w14:paraId="00000102">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Одной из главных сложностей остаётся недостаточно развитая инфраструктура и логистика – многие экспортер</w:t>
      </w:r>
      <w:r>
        <w:rPr>
          <w:rFonts w:ascii="Times New Roman" w:cs="Times New Roman" w:hAnsi="Times New Roman"/>
          <w:color w:val="000000"/>
          <w:sz w:val="28"/>
          <w:szCs w:val="28"/>
        </w:rPr>
        <w:t xml:space="preserve">ы испытывают трудности с организацией международных поставок, таможенным оформлением и возвратами товаров, что приводит к задержкам и росту издержек[21]. </w:t>
      </w:r>
    </w:p>
    <w:p w14:paraId="00000103">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Кроме того, существует проблема недостаточного доверия зарубежных покупателей, вызванная отсутствием прям</w:t>
      </w:r>
      <w:r>
        <w:rPr>
          <w:rFonts w:ascii="Times New Roman" w:cs="Times New Roman" w:hAnsi="Times New Roman"/>
          <w:color w:val="000000"/>
          <w:sz w:val="28"/>
          <w:szCs w:val="28"/>
        </w:rPr>
        <w:t xml:space="preserve">ого контакта с товаром и </w:t>
      </w:r>
      <w:r>
        <w:rPr>
          <w:rFonts w:ascii="Times New Roman" w:cs="Times New Roman" w:hAnsi="Times New Roman"/>
          <w:color w:val="000000"/>
          <w:sz w:val="28"/>
          <w:szCs w:val="28"/>
        </w:rPr>
        <w:t>сложностями правового регулирования, что требует усиления стандартов качества и прозрачности.</w:t>
      </w:r>
    </w:p>
    <w:p w14:paraId="00000104">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На фоне высокой конкуренции на международных онлайн-рынках российские компании сталкиваются с нестабильностью цен и сложностями в удержан</w:t>
      </w:r>
      <w:r>
        <w:rPr>
          <w:rFonts w:ascii="Times New Roman" w:cs="Times New Roman" w:hAnsi="Times New Roman"/>
          <w:color w:val="000000"/>
          <w:sz w:val="28"/>
          <w:szCs w:val="28"/>
        </w:rPr>
        <w:t xml:space="preserve">ии лояльности клиентов. Возвраты товаров и оформление возвратных поставок через таможню также остаются серьёзным барьером, усложняющим процессы и увеличивающим расходы. </w:t>
      </w:r>
    </w:p>
    <w:p w14:paraId="00000105">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Наконец, многие малые и средние предприятия испытывают недостаток знаний и навыков в о</w:t>
      </w:r>
      <w:r>
        <w:rPr>
          <w:rFonts w:ascii="Times New Roman" w:cs="Times New Roman" w:hAnsi="Times New Roman"/>
          <w:color w:val="000000"/>
          <w:sz w:val="28"/>
          <w:szCs w:val="28"/>
        </w:rPr>
        <w:t>бласти цифровых технологий и особенностей зарубежных рынков, что ограничивает их возможности для успешного выхода на международные площадки.</w:t>
      </w:r>
    </w:p>
    <w:p w14:paraId="00000106">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Решение этих проблем требует комплексного подхода: развития и интеграции цифровых экспортных платформ, сотрудничест</w:t>
      </w:r>
      <w:r>
        <w:rPr>
          <w:rFonts w:ascii="Times New Roman" w:cs="Times New Roman" w:hAnsi="Times New Roman"/>
          <w:color w:val="000000"/>
          <w:sz w:val="28"/>
          <w:szCs w:val="28"/>
        </w:rPr>
        <w:t>ва с логистическими операторами, совершенствования нормативной базы, повышения цифровой грамотности и создания сервисов поддержки экспортеров. Только так российский онлайн-экспорт сможет полноценно раскрыть свой потенциал и укрепить позиции на мировом рынк</w:t>
      </w:r>
      <w:r>
        <w:rPr>
          <w:rFonts w:ascii="Times New Roman" w:cs="Times New Roman" w:hAnsi="Times New Roman"/>
          <w:color w:val="000000"/>
          <w:sz w:val="28"/>
          <w:szCs w:val="28"/>
        </w:rPr>
        <w:t>е</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14:paraId="00000107">
      <w:pPr>
        <w:pBdr>
          <w:top w:val="none" w:sz="4" w:space="0"/>
          <w:left w:val="none" w:sz="4" w:space="0"/>
          <w:bottom w:val="none" w:sz="4" w:space="0"/>
          <w:right w:val="none" w:sz="4" w:space="0"/>
          <w:between w:val="none" w:sz="4" w:space="0"/>
          <w:bar w:val="none" w:sz="4" w:space="0"/>
        </w:pBdr>
        <w:tabs>
          <w:tab w:val="left" w:pos="0"/>
        </w:tabs>
        <w:spacing w:after="0" w:line="240" w:lineRule="auto"/>
        <w:ind w:firstLine="709"/>
        <w:rPr>
          <w:rFonts w:ascii="Times New Roman" w:cs="Times New Roman" w:hAnsi="Times New Roman"/>
          <w:b/>
          <w:bCs/>
          <w:color w:val="000000"/>
          <w:sz w:val="28"/>
          <w:szCs w:val="32"/>
        </w:rPr>
      </w:pPr>
      <w:r>
        <w:rPr>
          <w:rFonts w:ascii="Times New Roman" w:cs="Times New Roman" w:hAnsi="Times New Roman"/>
          <w:b/>
          <w:bCs/>
          <w:color w:val="000000"/>
          <w:sz w:val="28"/>
          <w:szCs w:val="32"/>
        </w:rPr>
        <w:t>2.2 Анализ деятельности российского экспортера в сфере онлайн-экспорта</w:t>
      </w:r>
    </w:p>
    <w:p w14:paraId="00000108">
      <w:pPr>
        <w:pBdr>
          <w:top w:val="none" w:sz="4" w:space="0"/>
          <w:left w:val="none" w:sz="4" w:space="0"/>
          <w:bottom w:val="none" w:sz="4" w:space="0"/>
          <w:right w:val="none" w:sz="4" w:space="0"/>
          <w:between w:val="none" w:sz="4" w:space="0"/>
          <w:bar w:val="none" w:sz="4" w:space="0"/>
        </w:pBdr>
        <w:spacing w:after="0" w:line="240" w:lineRule="auto"/>
        <w:rPr>
          <w:rFonts w:ascii="Segoe UI"/>
          <w:color w:val="000000"/>
          <w:sz w:val="18"/>
        </w:rPr>
      </w:pPr>
      <w:r>
        <w:rPr>
          <w:rFonts w:ascii="Segoe UI"/>
          <w:color w:val="000000"/>
          <w:sz w:val="18"/>
        </w:rPr>
        <w:br w:type="textWrapping"/>
      </w:r>
    </w:p>
    <w:p w14:paraId="00000109">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Анализ деятельности российского экспортера </w:t>
      </w:r>
      <w:r>
        <w:rPr>
          <w:rFonts w:ascii="Times New Roman" w:cs="Times New Roman" w:hAnsi="Times New Roman"/>
          <w:color w:val="000000"/>
          <w:sz w:val="28"/>
          <w:szCs w:val="28"/>
          <w:lang w:val="en-US"/>
        </w:rPr>
        <w:t>Unidragon</w:t>
      </w:r>
      <w:r>
        <w:rPr>
          <w:rFonts w:ascii="Times New Roman" w:cs="Times New Roman" w:hAnsi="Times New Roman"/>
          <w:color w:val="000000"/>
          <w:sz w:val="28"/>
          <w:szCs w:val="28"/>
        </w:rPr>
        <w:t xml:space="preserve"> в сфере онлайн-торговли демонстрирует, как небольшая компания из Самары смогла завоевать международные рынки, превратив деревянные пазлы в востребованный продукт с широкой географией продаж. </w:t>
      </w:r>
    </w:p>
    <w:p w14:paraId="0000010A">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История </w:t>
      </w:r>
      <w:r>
        <w:rPr>
          <w:rFonts w:ascii="Times New Roman" w:cs="Times New Roman" w:hAnsi="Times New Roman"/>
          <w:color w:val="000000"/>
          <w:sz w:val="28"/>
          <w:szCs w:val="28"/>
          <w:lang w:val="en-US"/>
        </w:rPr>
        <w:t>Unidragon</w:t>
      </w:r>
      <w:r>
        <w:rPr>
          <w:rFonts w:ascii="Times New Roman" w:cs="Times New Roman" w:hAnsi="Times New Roman"/>
          <w:color w:val="000000"/>
          <w:sz w:val="28"/>
          <w:szCs w:val="28"/>
        </w:rPr>
        <w:t xml:space="preserve"> началась с производства деревянных карт мира,</w:t>
      </w:r>
      <w:r>
        <w:rPr>
          <w:rFonts w:ascii="Times New Roman" w:cs="Times New Roman" w:hAnsi="Times New Roman"/>
          <w:color w:val="000000"/>
          <w:sz w:val="28"/>
          <w:szCs w:val="28"/>
        </w:rPr>
        <w:t xml:space="preserve"> которые с 2014 года продавались более чем в 30 странах. В 2019 году основатели компании – Артём Ружейников, Даниил Рахмаков и Сергей Ружейников – приняли решение запустить новый продукт – деревянные пазлы для взрослых, ориентированные на массового потреби</w:t>
      </w:r>
      <w:r>
        <w:rPr>
          <w:rFonts w:ascii="Times New Roman" w:cs="Times New Roman" w:hAnsi="Times New Roman"/>
          <w:color w:val="000000"/>
          <w:sz w:val="28"/>
          <w:szCs w:val="28"/>
        </w:rPr>
        <w:t xml:space="preserve">теля по всему </w:t>
      </w:r>
      <w:r>
        <w:rPr>
          <w:rFonts w:ascii="Times New Roman" w:cs="Times New Roman" w:hAnsi="Times New Roman"/>
          <w:color w:val="000000"/>
          <w:sz w:val="28"/>
          <w:szCs w:val="28"/>
        </w:rPr>
        <w:t>миру. Миссия компании была сформулирована чётко: создавать удобные, красивые и доступные продукты, которые смогут заинтересовать миллионы покупателей [5].</w:t>
      </w:r>
    </w:p>
    <w:p w14:paraId="0000010B">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Первые шаги на пути к запуску пазлов были непростыми. Изначально производство располагалось</w:t>
      </w:r>
      <w:r>
        <w:rPr>
          <w:rFonts w:ascii="Times New Roman" w:cs="Times New Roman" w:hAnsi="Times New Roman"/>
          <w:color w:val="000000"/>
          <w:sz w:val="28"/>
          <w:szCs w:val="28"/>
        </w:rPr>
        <w:t xml:space="preserve"> в цехе дизайн-студии </w:t>
      </w:r>
      <w:r>
        <w:rPr>
          <w:rFonts w:ascii="Times New Roman" w:cs="Times New Roman" w:hAnsi="Times New Roman"/>
          <w:color w:val="000000"/>
          <w:sz w:val="28"/>
          <w:szCs w:val="28"/>
          <w:lang w:val="en-US"/>
        </w:rPr>
        <w:t>MiMi</w:t>
      </w:r>
      <w:r>
        <w:rPr>
          <w:rFonts w:ascii="Times New Roman" w:cs="Times New Roman" w:hAnsi="Times New Roman"/>
          <w:color w:val="000000"/>
          <w:sz w:val="28"/>
          <w:szCs w:val="28"/>
        </w:rPr>
        <w:t>, где уже изготавливались деревянные карты. Для запуска пазлов потребовалось вложить около 25 миллионов рублей, часть из которых была собственными сбережениями, а часть – инвестициями. Были закуплены дополнительные лазеры, расшире</w:t>
      </w:r>
      <w:r>
        <w:rPr>
          <w:rFonts w:ascii="Times New Roman" w:cs="Times New Roman" w:hAnsi="Times New Roman"/>
          <w:color w:val="000000"/>
          <w:sz w:val="28"/>
          <w:szCs w:val="28"/>
        </w:rPr>
        <w:t xml:space="preserve">ны производственные площади и увеличен штат сотрудников с 17 до 42 человек. </w:t>
      </w:r>
    </w:p>
    <w:p w14:paraId="0000010C">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Важным этапом стала разработка уникального дизайна и подбор материалов: было протестировано более 20 видов бумаги и 10 видов дерева, чтобы добиться оптимального качества и внешнег</w:t>
      </w:r>
      <w:r>
        <w:rPr>
          <w:rFonts w:ascii="Times New Roman" w:cs="Times New Roman" w:hAnsi="Times New Roman"/>
          <w:color w:val="000000"/>
          <w:sz w:val="28"/>
          <w:szCs w:val="28"/>
        </w:rPr>
        <w:t>о вида продукции. Для печати пазлов приобрели собственный принтер, что позволило снизить затраты и повысить контроль над процессом.</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 xml:space="preserve">Для наглядного понимания распределения затрат на производство и экспорт продукции компании </w:t>
      </w:r>
      <w:r>
        <w:rPr>
          <w:rFonts w:ascii="Times New Roman" w:cs="Times New Roman" w:hAnsi="Times New Roman"/>
          <w:color w:val="000000"/>
          <w:sz w:val="28"/>
          <w:szCs w:val="28"/>
          <w:lang w:val="en-US"/>
        </w:rPr>
        <w:t>Unidragon</w:t>
      </w:r>
      <w:r>
        <w:rPr>
          <w:rFonts w:ascii="Times New Roman" w:cs="Times New Roman" w:hAnsi="Times New Roman"/>
          <w:color w:val="000000"/>
          <w:sz w:val="28"/>
          <w:szCs w:val="28"/>
        </w:rPr>
        <w:t xml:space="preserve"> целесообразно добавить д</w:t>
      </w:r>
      <w:r>
        <w:rPr>
          <w:rFonts w:ascii="Times New Roman" w:cs="Times New Roman" w:hAnsi="Times New Roman"/>
          <w:color w:val="000000"/>
          <w:sz w:val="28"/>
          <w:szCs w:val="28"/>
        </w:rPr>
        <w:t>иаграмму, которая визуально отразит доли основных статей расходов в себестоимости [12].</w:t>
      </w:r>
    </w:p>
    <w:p w14:paraId="0000010D">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6"/>
        </w:rPr>
      </w:pPr>
    </w:p>
    <w:p w14:paraId="0000010E">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6"/>
        </w:rPr>
      </w:pPr>
      <w:r>
        <w:rPr>
          <w:rFonts w:ascii="Times New Roman" w:cs="Times New Roman" w:hAnsi="Times New Roman"/>
          <w:color w:val="000000"/>
          <w:sz w:val="26"/>
        </w:rPr>
        <w:drawing xmlns:mc="http://schemas.openxmlformats.org/markup-compatibility/2006">
          <wp:anchor allowOverlap="1" behindDoc="0" distT="0" distB="0" distL="118872" distR="118872" layoutInCell="1" locked="0" relativeHeight="2" simplePos="0">
            <wp:simplePos x="0" y="0"/>
            <wp:positionH relativeFrom="column">
              <wp:posOffset>-165735</wp:posOffset>
            </wp:positionH>
            <wp:positionV relativeFrom="paragraph">
              <wp:posOffset>-170815</wp:posOffset>
            </wp:positionV>
            <wp:extent cx="5883910" cy="1700530"/>
            <wp:effectExtent l="0" t="0" r="9525" b="9525"/>
            <wp:wrapNone/>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0000010F">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6"/>
        </w:rPr>
      </w:pPr>
    </w:p>
    <w:p w14:paraId="00000110">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6"/>
        </w:rPr>
      </w:pPr>
    </w:p>
    <w:p w14:paraId="00000111">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6"/>
        </w:rPr>
      </w:pPr>
    </w:p>
    <w:p w14:paraId="00000112">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6"/>
        </w:rPr>
      </w:pPr>
    </w:p>
    <w:p w14:paraId="00000113">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6"/>
        </w:rPr>
      </w:pPr>
    </w:p>
    <w:p w14:paraId="00000114">
      <w:pPr>
        <w:tabs>
          <w:tab w:val="left" w:pos="2391"/>
        </w:tabs>
        <w:spacing w:before="100" w:after="100" w:line="240" w:lineRule="auto"/>
        <w:jc w:val="center"/>
        <w:rPr>
          <w:rFonts w:ascii="Times New Roman" w:cs="Times New Roman" w:hAnsi="Times New Roman"/>
          <w:color w:val="000000" w:themeColor="text1"/>
          <w:sz w:val="28"/>
          <w:szCs w:val="28"/>
        </w:rPr>
      </w:pPr>
      <w:r>
        <w:rPr>
          <w:rFonts w:ascii="Times New Roman" w:cs="Times New Roman" w:hAnsi="Times New Roman"/>
          <w:color w:val="000000" w:themeColor="text1"/>
          <w:sz w:val="28"/>
          <w:szCs w:val="28"/>
        </w:rPr>
        <w:t>Рисунок 2</w:t>
      </w:r>
      <w:r>
        <w:rPr>
          <w:rFonts w:ascii="Times New Roman" w:cs="Times New Roman" w:hAnsi="Times New Roman"/>
          <w:color w:val="000000" w:themeColor="text1"/>
          <w:sz w:val="28"/>
          <w:szCs w:val="28"/>
        </w:rPr>
        <w:t xml:space="preserve"> </w:t>
      </w:r>
      <w:r>
        <w:rPr>
          <w:rFonts w:ascii="Times New Roman" w:cs="Times New Roman" w:hAnsi="Times New Roman"/>
          <w:sz w:val="28"/>
          <w:szCs w:val="28"/>
        </w:rPr>
        <w:t>–</w:t>
      </w:r>
      <w:r>
        <w:rPr>
          <w:rFonts w:ascii="Times New Roman" w:cs="Times New Roman" w:hAnsi="Times New Roman"/>
          <w:color w:val="000000" w:themeColor="text1"/>
          <w:sz w:val="28"/>
          <w:szCs w:val="28"/>
        </w:rPr>
        <w:t xml:space="preserve"> Доля затрат на производство и экспорт</w:t>
      </w:r>
    </w:p>
    <w:p w14:paraId="00000115">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6"/>
        </w:rPr>
      </w:pPr>
    </w:p>
    <w:p w14:paraId="00000116">
      <w:pPr>
        <w:pBdr>
          <w:top w:val="none" w:sz="4" w:space="0"/>
          <w:left w:val="none" w:sz="4" w:space="0"/>
          <w:bottom w:val="none" w:sz="4" w:space="0"/>
          <w:right w:val="none" w:sz="4" w:space="0"/>
          <w:between w:val="none" w:sz="4" w:space="0"/>
          <w:bar w:val="none" w:sz="4" w:space="0"/>
        </w:pBdr>
        <w:spacing w:after="0" w:line="360" w:lineRule="auto"/>
        <w:ind w:firstLine="708"/>
        <w:jc w:val="both"/>
        <w:rPr>
          <w:rFonts w:ascii="Times New Roman" w:cs="Times New Roman" w:hAnsi="Times New Roman"/>
          <w:color w:val="000000"/>
          <w:sz w:val="28"/>
          <w:szCs w:val="26"/>
        </w:rPr>
      </w:pPr>
      <w:r>
        <w:rPr>
          <w:rFonts w:ascii="Times New Roman" w:cs="Times New Roman" w:hAnsi="Times New Roman"/>
          <w:color w:val="000000"/>
          <w:sz w:val="28"/>
          <w:szCs w:val="26"/>
        </w:rPr>
        <w:t xml:space="preserve">Продажи начались в сентябре 2019 года, и уже в первые две недели было реализовано около 300 наборов, а к ноябрю объем вырос до 4000 пазлов в месяц. Стоимость продукции варьируется от 1990 до 2990 рублей, что </w:t>
      </w:r>
      <w:r>
        <w:rPr>
          <w:rFonts w:ascii="Times New Roman" w:cs="Times New Roman" w:hAnsi="Times New Roman"/>
          <w:color w:val="000000"/>
          <w:sz w:val="28"/>
          <w:szCs w:val="26"/>
        </w:rPr>
        <w:t>соответствует среднему ценовому сегменту и позво</w:t>
      </w:r>
      <w:r>
        <w:rPr>
          <w:rFonts w:ascii="Times New Roman" w:cs="Times New Roman" w:hAnsi="Times New Roman"/>
          <w:color w:val="000000"/>
          <w:sz w:val="28"/>
          <w:szCs w:val="26"/>
        </w:rPr>
        <w:t>ляет охватить широкую аудиторию.</w:t>
      </w:r>
    </w:p>
    <w:p w14:paraId="00000117">
      <w:pPr>
        <w:pBdr>
          <w:top w:val="none" w:sz="4" w:space="0"/>
          <w:left w:val="none" w:sz="4" w:space="0"/>
          <w:bottom w:val="none" w:sz="4" w:space="0"/>
          <w:right w:val="none" w:sz="4" w:space="0"/>
          <w:between w:val="none" w:sz="4" w:space="0"/>
          <w:bar w:val="none" w:sz="4" w:space="0"/>
        </w:pBdr>
        <w:spacing w:after="0" w:line="360" w:lineRule="auto"/>
        <w:ind w:firstLine="708"/>
        <w:jc w:val="both"/>
        <w:rPr>
          <w:rFonts w:ascii="Times New Roman" w:cs="Times New Roman" w:hAnsi="Times New Roman"/>
          <w:color w:val="000000"/>
          <w:sz w:val="28"/>
          <w:szCs w:val="26"/>
        </w:rPr>
      </w:pPr>
      <w:r>
        <w:rPr>
          <w:rFonts w:ascii="Times New Roman" w:cs="Times New Roman" w:hAnsi="Times New Roman"/>
          <w:color w:val="000000"/>
          <w:sz w:val="28"/>
          <w:szCs w:val="26"/>
        </w:rPr>
        <w:t xml:space="preserve"> Быстрый рост спроса привёл к необходимости оптимизировать логистику и расширить складские мощности. В феврале 2020 года оборот розничных продаж достигал одного миллиона рублей в день, что свидетельствует о высокой популярно</w:t>
      </w:r>
      <w:r>
        <w:rPr>
          <w:rFonts w:ascii="Times New Roman" w:cs="Times New Roman" w:hAnsi="Times New Roman"/>
          <w:color w:val="000000"/>
          <w:sz w:val="28"/>
          <w:szCs w:val="26"/>
        </w:rPr>
        <w:t>сти товара.</w:t>
      </w:r>
    </w:p>
    <w:p w14:paraId="00000118">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6"/>
        </w:rPr>
      </w:pPr>
    </w:p>
    <w:p w14:paraId="00000119">
      <w:pPr>
        <w:pBdr>
          <w:top w:val="none" w:sz="4" w:space="0"/>
          <w:left w:val="none" w:sz="4" w:space="0"/>
          <w:bottom w:val="none" w:sz="4" w:space="0"/>
          <w:right w:val="none" w:sz="4" w:space="0"/>
          <w:between w:val="none" w:sz="4" w:space="0"/>
          <w:bar w:val="none" w:sz="4" w:space="0"/>
        </w:pBdr>
        <w:spacing w:after="0" w:line="240" w:lineRule="auto"/>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Таблица 5 </w:t>
      </w:r>
      <w:r>
        <w:rPr>
          <w:rFonts w:ascii="Times New Roman" w:hAnsi="Times New Roman"/>
          <w:sz w:val="28"/>
          <w:szCs w:val="28"/>
        </w:rPr>
        <w:t>–</w:t>
      </w:r>
      <w:r>
        <w:rPr>
          <w:rFonts w:ascii="Times New Roman" w:cs="Times New Roman" w:hAnsi="Times New Roman"/>
          <w:color w:val="000000" w:themeColor="text1"/>
          <w:sz w:val="28"/>
          <w:szCs w:val="28"/>
        </w:rPr>
        <w:t xml:space="preserve"> </w:t>
      </w:r>
      <w:r>
        <w:rPr>
          <w:rFonts w:ascii="Times New Roman" w:cs="Times New Roman" w:hAnsi="Times New Roman"/>
          <w:color w:val="000000"/>
          <w:sz w:val="28"/>
          <w:szCs w:val="28"/>
        </w:rPr>
        <w:t xml:space="preserve">Динамика производства и продаж пазлов </w:t>
      </w:r>
      <w:r>
        <w:rPr>
          <w:rFonts w:ascii="Times New Roman" w:cs="Times New Roman" w:hAnsi="Times New Roman"/>
          <w:color w:val="000000"/>
          <w:sz w:val="28"/>
          <w:szCs w:val="28"/>
          <w:lang w:val="en-US"/>
        </w:rPr>
        <w:t>Unidragon [5].</w:t>
      </w:r>
      <w:r>
        <w:rPr>
          <w:rFonts w:ascii="Times New Roman" w:cs="Times New Roman" w:hAnsi="Times New Roman"/>
          <w:color w:val="000000"/>
          <w:sz w:val="28"/>
          <w:szCs w:val="28"/>
        </w:rPr>
        <w:t xml:space="preserve"> </w:t>
      </w:r>
    </w:p>
    <w:tbl>
      <w:tblPr>
        <w:tblW w:w="9142" w:type="dxa"/>
        <w:tblBorders>
          <w:top w:val="single" w:color="e5e7eb" w:sz="6" w:space="0"/>
          <w:left w:val="single" w:color="e5e7eb" w:sz="6" w:space="0"/>
          <w:bottom w:val="single" w:color="e5e7eb" w:sz="6" w:space="0"/>
          <w:right w:val="single" w:color="e5e7eb" w:sz="6" w:space="0"/>
          <w:insideH w:val="single" w:color="e5e7eb" w:sz="6" w:space="0"/>
          <w:insideV w:val="single" w:color="e5e7eb" w:sz="6" w:space="0"/>
        </w:tblBorders>
        <w:tblLayout w:type="fixed"/>
        <w:tblCellMar>
          <w:top w:w="10" w:type="dxa"/>
          <w:left w:w="10" w:type="dxa"/>
          <w:bottom w:w="10" w:type="dxa"/>
          <w:right w:w="10" w:type="dxa"/>
        </w:tblCellMar>
        <w:tblLook w:val="04A0"/>
      </w:tblPr>
      <w:tblGrid>
        <w:gridCol w:w="1561"/>
        <w:gridCol w:w="3032"/>
        <w:gridCol w:w="1276"/>
        <w:gridCol w:w="1336"/>
        <w:gridCol w:w="1937"/>
      </w:tblGrid>
      <w:tr>
        <w:trPr/>
        <w:tc>
          <w:tcPr>
            <w:cnfStyle w:val="101000000000"/>
            <w:tcW w:w="1561" w:type="dxa"/>
            <w:tcBorders>
              <w:top w:val="single" w:color="e5e7eb" w:sz="6" w:space="0"/>
              <w:left w:val="single" w:color="e5e7eb" w:sz="6" w:space="0"/>
              <w:bottom w:val="single" w:color="e5e7eb" w:sz="6" w:space="0"/>
              <w:right w:val="single" w:color="e5e7eb" w:sz="6" w:space="0"/>
            </w:tcBorders>
          </w:tcPr>
          <w:p w14:paraId="0000011A">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lang w:val="en-US"/>
              </w:rPr>
            </w:pPr>
            <w:r>
              <w:rPr>
                <w:rFonts w:ascii="Times New Roman" w:cs="Times New Roman" w:hAnsi="Times New Roman"/>
                <w:b w:val="off"/>
                <w:bCs w:val="off"/>
                <w:color w:val="000000"/>
                <w:lang w:val="en-US"/>
              </w:rPr>
              <w:t>Год</w:t>
            </w:r>
          </w:p>
        </w:tc>
        <w:tc>
          <w:tcPr>
            <w:cnfStyle w:val="100000000000"/>
            <w:tcW w:w="3032" w:type="dxa"/>
            <w:tcBorders>
              <w:top w:val="single" w:color="e5e7eb" w:sz="6" w:space="0"/>
              <w:left w:val="single" w:color="e5e7eb" w:sz="6" w:space="0"/>
              <w:bottom w:val="single" w:color="e5e7eb" w:sz="6" w:space="0"/>
              <w:right w:val="single" w:color="e5e7eb" w:sz="6" w:space="0"/>
            </w:tcBorders>
          </w:tcPr>
          <w:p w14:paraId="0000011B">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lang w:val="en-US"/>
              </w:rPr>
            </w:pPr>
            <w:r>
              <w:rPr>
                <w:rFonts w:ascii="Times New Roman" w:cs="Times New Roman" w:hAnsi="Times New Roman"/>
                <w:b w:val="off"/>
                <w:bCs w:val="off"/>
                <w:color w:val="000000"/>
                <w:lang w:val="en-US"/>
              </w:rPr>
              <w:t>Производство пазлов (тыс. шт.)</w:t>
            </w:r>
          </w:p>
        </w:tc>
        <w:tc>
          <w:tcPr>
            <w:cnfStyle w:val="100000000000"/>
            <w:tcW w:w="1276" w:type="dxa"/>
            <w:tcBorders>
              <w:top w:val="single" w:color="e5e7eb" w:sz="6" w:space="0"/>
              <w:left w:val="single" w:color="e5e7eb" w:sz="6" w:space="0"/>
              <w:bottom w:val="single" w:color="e5e7eb" w:sz="6" w:space="0"/>
              <w:right w:val="single" w:color="e5e7eb" w:sz="6" w:space="0"/>
            </w:tcBorders>
          </w:tcPr>
          <w:p w14:paraId="0000011C">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lang w:val="en-US"/>
              </w:rPr>
            </w:pPr>
            <w:r>
              <w:rPr>
                <w:rFonts w:ascii="Times New Roman" w:cs="Times New Roman" w:hAnsi="Times New Roman"/>
                <w:b w:val="off"/>
                <w:bCs w:val="off"/>
                <w:color w:val="000000"/>
                <w:lang w:val="en-US"/>
              </w:rPr>
              <w:t>Объём продаж (тыс. шт.)</w:t>
            </w:r>
          </w:p>
        </w:tc>
        <w:tc>
          <w:tcPr>
            <w:cnfStyle w:val="100000000000"/>
            <w:tcW w:w="1336" w:type="dxa"/>
            <w:tcBorders>
              <w:top w:val="single" w:color="e5e7eb" w:sz="6" w:space="0"/>
              <w:left w:val="single" w:color="e5e7eb" w:sz="6" w:space="0"/>
              <w:bottom w:val="single" w:color="e5e7eb" w:sz="6" w:space="0"/>
              <w:right w:val="single" w:color="e5e7eb" w:sz="6" w:space="0"/>
            </w:tcBorders>
          </w:tcPr>
          <w:p w14:paraId="0000011D">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lang w:val="en-US"/>
              </w:rPr>
            </w:pPr>
            <w:r>
              <w:rPr>
                <w:rFonts w:ascii="Times New Roman" w:cs="Times New Roman" w:hAnsi="Times New Roman"/>
                <w:b w:val="off"/>
                <w:bCs w:val="off"/>
                <w:color w:val="000000"/>
                <w:lang w:val="en-US"/>
              </w:rPr>
              <w:t>Выручка (млн руб.)</w:t>
            </w:r>
          </w:p>
        </w:tc>
        <w:tc>
          <w:tcPr>
            <w:cnfStyle w:val="100000000000"/>
            <w:tcW w:w="1937" w:type="dxa"/>
            <w:tcBorders>
              <w:top w:val="single" w:color="e5e7eb" w:sz="6" w:space="0"/>
              <w:left w:val="single" w:color="e5e7eb" w:sz="6" w:space="0"/>
              <w:bottom w:val="single" w:color="e5e7eb" w:sz="6" w:space="0"/>
              <w:right w:val="single" w:color="e5e7eb" w:sz="6" w:space="0"/>
            </w:tcBorders>
          </w:tcPr>
          <w:p w14:paraId="0000011E">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lang w:val="en-US"/>
              </w:rPr>
            </w:pPr>
            <w:r>
              <w:rPr>
                <w:rFonts w:ascii="Times New Roman" w:cs="Times New Roman" w:hAnsi="Times New Roman"/>
                <w:b w:val="off"/>
                <w:bCs w:val="off"/>
                <w:color w:val="000000"/>
                <w:lang w:val="en-US"/>
              </w:rPr>
              <w:t>Количество сотрудников</w:t>
            </w:r>
          </w:p>
        </w:tc>
      </w:tr>
      <w:tr>
        <w:trPr/>
        <w:tc>
          <w:tcPr>
            <w:cnfStyle w:val="001000100000"/>
            <w:tcW w:w="1561" w:type="dxa"/>
            <w:tcBorders>
              <w:top w:val="single" w:color="e5e7eb" w:sz="6" w:space="0"/>
              <w:left w:val="single" w:color="e5e7eb" w:sz="6" w:space="0"/>
              <w:bottom w:val="single" w:color="e5e7eb" w:sz="6" w:space="0"/>
              <w:right w:val="single" w:color="e5e7eb" w:sz="6" w:space="0"/>
            </w:tcBorders>
          </w:tcPr>
          <w:p w14:paraId="0000011F">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2019</w:t>
            </w:r>
          </w:p>
        </w:tc>
        <w:tc>
          <w:tcPr>
            <w:cnfStyle w:val="000000100000"/>
            <w:tcW w:w="3032" w:type="dxa"/>
            <w:tcBorders>
              <w:top w:val="single" w:color="e5e7eb" w:sz="6" w:space="0"/>
              <w:left w:val="single" w:color="e5e7eb" w:sz="6" w:space="0"/>
              <w:bottom w:val="single" w:color="e5e7eb" w:sz="6" w:space="0"/>
              <w:right w:val="single" w:color="e5e7eb" w:sz="6" w:space="0"/>
            </w:tcBorders>
          </w:tcPr>
          <w:p w14:paraId="00000120">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7,3</w:t>
            </w:r>
          </w:p>
        </w:tc>
        <w:tc>
          <w:tcPr>
            <w:cnfStyle w:val="000000100000"/>
            <w:tcW w:w="1276" w:type="dxa"/>
            <w:tcBorders>
              <w:top w:val="single" w:color="e5e7eb" w:sz="6" w:space="0"/>
              <w:left w:val="single" w:color="e5e7eb" w:sz="6" w:space="0"/>
              <w:bottom w:val="single" w:color="e5e7eb" w:sz="6" w:space="0"/>
              <w:right w:val="single" w:color="e5e7eb" w:sz="6" w:space="0"/>
            </w:tcBorders>
          </w:tcPr>
          <w:p w14:paraId="00000121">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6,5</w:t>
            </w:r>
          </w:p>
        </w:tc>
        <w:tc>
          <w:tcPr>
            <w:cnfStyle w:val="000000100000"/>
            <w:tcW w:w="1336" w:type="dxa"/>
            <w:tcBorders>
              <w:top w:val="single" w:color="e5e7eb" w:sz="6" w:space="0"/>
              <w:left w:val="single" w:color="e5e7eb" w:sz="6" w:space="0"/>
              <w:bottom w:val="single" w:color="e5e7eb" w:sz="6" w:space="0"/>
              <w:right w:val="single" w:color="e5e7eb" w:sz="6" w:space="0"/>
            </w:tcBorders>
          </w:tcPr>
          <w:p w14:paraId="00000122">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50</w:t>
            </w:r>
          </w:p>
        </w:tc>
        <w:tc>
          <w:tcPr>
            <w:cnfStyle w:val="000000100000"/>
            <w:tcW w:w="1937" w:type="dxa"/>
            <w:tcBorders>
              <w:top w:val="single" w:color="e5e7eb" w:sz="6" w:space="0"/>
              <w:left w:val="single" w:color="e5e7eb" w:sz="6" w:space="0"/>
              <w:bottom w:val="single" w:color="e5e7eb" w:sz="6" w:space="0"/>
              <w:right w:val="single" w:color="e5e7eb" w:sz="6" w:space="0"/>
            </w:tcBorders>
          </w:tcPr>
          <w:p w14:paraId="00000123">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35</w:t>
            </w:r>
          </w:p>
        </w:tc>
      </w:tr>
      <w:tr>
        <w:trPr/>
        <w:tc>
          <w:tcPr>
            <w:cnfStyle w:val="001000010000"/>
            <w:tcW w:w="1561" w:type="dxa"/>
            <w:tcBorders>
              <w:top w:val="single" w:color="e5e7eb" w:sz="6" w:space="0"/>
              <w:left w:val="single" w:color="e5e7eb" w:sz="6" w:space="0"/>
              <w:bottom w:val="single" w:color="e5e7eb" w:sz="6" w:space="0"/>
              <w:right w:val="single" w:color="e5e7eb" w:sz="6" w:space="0"/>
            </w:tcBorders>
          </w:tcPr>
          <w:p w14:paraId="00000124">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2020</w:t>
            </w:r>
          </w:p>
        </w:tc>
        <w:tc>
          <w:tcPr>
            <w:cnfStyle w:val="000000010000"/>
            <w:tcW w:w="3032" w:type="dxa"/>
            <w:tcBorders>
              <w:top w:val="single" w:color="e5e7eb" w:sz="6" w:space="0"/>
              <w:left w:val="single" w:color="e5e7eb" w:sz="6" w:space="0"/>
              <w:bottom w:val="single" w:color="e5e7eb" w:sz="6" w:space="0"/>
              <w:right w:val="single" w:color="e5e7eb" w:sz="6" w:space="0"/>
            </w:tcBorders>
          </w:tcPr>
          <w:p w14:paraId="00000125">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90</w:t>
            </w:r>
          </w:p>
        </w:tc>
        <w:tc>
          <w:tcPr>
            <w:cnfStyle w:val="000000010000"/>
            <w:tcW w:w="1276" w:type="dxa"/>
            <w:tcBorders>
              <w:top w:val="single" w:color="e5e7eb" w:sz="6" w:space="0"/>
              <w:left w:val="single" w:color="e5e7eb" w:sz="6" w:space="0"/>
              <w:bottom w:val="single" w:color="e5e7eb" w:sz="6" w:space="0"/>
              <w:right w:val="single" w:color="e5e7eb" w:sz="6" w:space="0"/>
            </w:tcBorders>
          </w:tcPr>
          <w:p w14:paraId="00000126">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85</w:t>
            </w:r>
          </w:p>
        </w:tc>
        <w:tc>
          <w:tcPr>
            <w:cnfStyle w:val="000000010000"/>
            <w:tcW w:w="1336" w:type="dxa"/>
            <w:tcBorders>
              <w:top w:val="single" w:color="e5e7eb" w:sz="6" w:space="0"/>
              <w:left w:val="single" w:color="e5e7eb" w:sz="6" w:space="0"/>
              <w:bottom w:val="single" w:color="e5e7eb" w:sz="6" w:space="0"/>
              <w:right w:val="single" w:color="e5e7eb" w:sz="6" w:space="0"/>
            </w:tcBorders>
          </w:tcPr>
          <w:p w14:paraId="00000127">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380</w:t>
            </w:r>
          </w:p>
        </w:tc>
        <w:tc>
          <w:tcPr>
            <w:cnfStyle w:val="000000010000"/>
            <w:tcW w:w="1937" w:type="dxa"/>
            <w:tcBorders>
              <w:top w:val="single" w:color="e5e7eb" w:sz="6" w:space="0"/>
              <w:left w:val="single" w:color="e5e7eb" w:sz="6" w:space="0"/>
              <w:bottom w:val="single" w:color="e5e7eb" w:sz="6" w:space="0"/>
              <w:right w:val="single" w:color="e5e7eb" w:sz="6" w:space="0"/>
            </w:tcBorders>
          </w:tcPr>
          <w:p w14:paraId="00000128">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50</w:t>
            </w:r>
          </w:p>
        </w:tc>
      </w:tr>
      <w:tr>
        <w:trPr/>
        <w:tc>
          <w:tcPr>
            <w:cnfStyle w:val="001000100000"/>
            <w:tcW w:w="1561" w:type="dxa"/>
            <w:tcBorders>
              <w:top w:val="single" w:color="e5e7eb" w:sz="6" w:space="0"/>
              <w:left w:val="single" w:color="e5e7eb" w:sz="6" w:space="0"/>
              <w:bottom w:val="single" w:color="e5e7eb" w:sz="6" w:space="0"/>
              <w:right w:val="single" w:color="e5e7eb" w:sz="6" w:space="0"/>
            </w:tcBorders>
          </w:tcPr>
          <w:p w14:paraId="00000129">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2021</w:t>
            </w:r>
          </w:p>
        </w:tc>
        <w:tc>
          <w:tcPr>
            <w:cnfStyle w:val="000000100000"/>
            <w:tcW w:w="3032" w:type="dxa"/>
            <w:tcBorders>
              <w:top w:val="single" w:color="e5e7eb" w:sz="6" w:space="0"/>
              <w:left w:val="single" w:color="e5e7eb" w:sz="6" w:space="0"/>
              <w:bottom w:val="single" w:color="e5e7eb" w:sz="6" w:space="0"/>
              <w:right w:val="single" w:color="e5e7eb" w:sz="6" w:space="0"/>
            </w:tcBorders>
          </w:tcPr>
          <w:p w14:paraId="0000012A">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110</w:t>
            </w:r>
          </w:p>
        </w:tc>
        <w:tc>
          <w:tcPr>
            <w:cnfStyle w:val="000000100000"/>
            <w:tcW w:w="1276" w:type="dxa"/>
            <w:tcBorders>
              <w:top w:val="single" w:color="e5e7eb" w:sz="6" w:space="0"/>
              <w:left w:val="single" w:color="e5e7eb" w:sz="6" w:space="0"/>
              <w:bottom w:val="single" w:color="e5e7eb" w:sz="6" w:space="0"/>
              <w:right w:val="single" w:color="e5e7eb" w:sz="6" w:space="0"/>
            </w:tcBorders>
          </w:tcPr>
          <w:p w14:paraId="0000012B">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100</w:t>
            </w:r>
          </w:p>
        </w:tc>
        <w:tc>
          <w:tcPr>
            <w:cnfStyle w:val="000000100000"/>
            <w:tcW w:w="1336" w:type="dxa"/>
            <w:tcBorders>
              <w:top w:val="single" w:color="e5e7eb" w:sz="6" w:space="0"/>
              <w:left w:val="single" w:color="e5e7eb" w:sz="6" w:space="0"/>
              <w:bottom w:val="single" w:color="e5e7eb" w:sz="6" w:space="0"/>
              <w:right w:val="single" w:color="e5e7eb" w:sz="6" w:space="0"/>
            </w:tcBorders>
          </w:tcPr>
          <w:p w14:paraId="0000012C">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450</w:t>
            </w:r>
          </w:p>
        </w:tc>
        <w:tc>
          <w:tcPr>
            <w:cnfStyle w:val="000000100000"/>
            <w:tcW w:w="1937" w:type="dxa"/>
            <w:tcBorders>
              <w:top w:val="single" w:color="e5e7eb" w:sz="6" w:space="0"/>
              <w:left w:val="single" w:color="e5e7eb" w:sz="6" w:space="0"/>
              <w:bottom w:val="single" w:color="e5e7eb" w:sz="6" w:space="0"/>
              <w:right w:val="single" w:color="e5e7eb" w:sz="6" w:space="0"/>
            </w:tcBorders>
          </w:tcPr>
          <w:p w14:paraId="0000012D">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65</w:t>
            </w:r>
          </w:p>
        </w:tc>
      </w:tr>
      <w:tr>
        <w:trPr/>
        <w:tc>
          <w:tcPr>
            <w:cnfStyle w:val="001000010000"/>
            <w:tcW w:w="1561" w:type="dxa"/>
            <w:tcBorders>
              <w:top w:val="single" w:color="e5e7eb" w:sz="6" w:space="0"/>
              <w:left w:val="single" w:color="e5e7eb" w:sz="6" w:space="0"/>
              <w:bottom w:val="single" w:color="e5e7eb" w:sz="6" w:space="0"/>
              <w:right w:val="single" w:color="e5e7eb" w:sz="6" w:space="0"/>
            </w:tcBorders>
          </w:tcPr>
          <w:p w14:paraId="0000012E">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2022</w:t>
            </w:r>
          </w:p>
        </w:tc>
        <w:tc>
          <w:tcPr>
            <w:cnfStyle w:val="000000010000"/>
            <w:tcW w:w="3032" w:type="dxa"/>
            <w:tcBorders>
              <w:top w:val="single" w:color="e5e7eb" w:sz="6" w:space="0"/>
              <w:left w:val="single" w:color="e5e7eb" w:sz="6" w:space="0"/>
              <w:bottom w:val="single" w:color="e5e7eb" w:sz="6" w:space="0"/>
              <w:right w:val="single" w:color="e5e7eb" w:sz="6" w:space="0"/>
            </w:tcBorders>
          </w:tcPr>
          <w:p w14:paraId="0000012F">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130</w:t>
            </w:r>
          </w:p>
        </w:tc>
        <w:tc>
          <w:tcPr>
            <w:cnfStyle w:val="000000010000"/>
            <w:tcW w:w="1276" w:type="dxa"/>
            <w:tcBorders>
              <w:top w:val="single" w:color="e5e7eb" w:sz="6" w:space="0"/>
              <w:left w:val="single" w:color="e5e7eb" w:sz="6" w:space="0"/>
              <w:bottom w:val="single" w:color="e5e7eb" w:sz="6" w:space="0"/>
              <w:right w:val="single" w:color="e5e7eb" w:sz="6" w:space="0"/>
            </w:tcBorders>
          </w:tcPr>
          <w:p w14:paraId="00000130">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120</w:t>
            </w:r>
          </w:p>
        </w:tc>
        <w:tc>
          <w:tcPr>
            <w:cnfStyle w:val="000000010000"/>
            <w:tcW w:w="1336" w:type="dxa"/>
            <w:tcBorders>
              <w:top w:val="single" w:color="e5e7eb" w:sz="6" w:space="0"/>
              <w:left w:val="single" w:color="e5e7eb" w:sz="6" w:space="0"/>
              <w:bottom w:val="single" w:color="e5e7eb" w:sz="6" w:space="0"/>
              <w:right w:val="single" w:color="e5e7eb" w:sz="6" w:space="0"/>
            </w:tcBorders>
          </w:tcPr>
          <w:p w14:paraId="00000131">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520</w:t>
            </w:r>
          </w:p>
        </w:tc>
        <w:tc>
          <w:tcPr>
            <w:cnfStyle w:val="000000010000"/>
            <w:tcW w:w="1937" w:type="dxa"/>
            <w:tcBorders>
              <w:top w:val="single" w:color="e5e7eb" w:sz="6" w:space="0"/>
              <w:left w:val="single" w:color="e5e7eb" w:sz="6" w:space="0"/>
              <w:bottom w:val="single" w:color="e5e7eb" w:sz="6" w:space="0"/>
              <w:right w:val="single" w:color="e5e7eb" w:sz="6" w:space="0"/>
            </w:tcBorders>
          </w:tcPr>
          <w:p w14:paraId="00000132">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70</w:t>
            </w:r>
          </w:p>
        </w:tc>
      </w:tr>
      <w:tr>
        <w:trPr/>
        <w:tc>
          <w:tcPr>
            <w:cnfStyle w:val="001000100000"/>
            <w:tcW w:w="1561" w:type="dxa"/>
            <w:tcBorders>
              <w:top w:val="single" w:color="e5e7eb" w:sz="6" w:space="0"/>
              <w:left w:val="single" w:color="e5e7eb" w:sz="6" w:space="0"/>
              <w:bottom w:val="single" w:color="e5e7eb" w:sz="6" w:space="0"/>
              <w:right w:val="single" w:color="e5e7eb" w:sz="6" w:space="0"/>
            </w:tcBorders>
          </w:tcPr>
          <w:p w14:paraId="00000133">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2023</w:t>
            </w:r>
          </w:p>
        </w:tc>
        <w:tc>
          <w:tcPr>
            <w:cnfStyle w:val="000000100000"/>
            <w:tcW w:w="3032" w:type="dxa"/>
            <w:tcBorders>
              <w:top w:val="single" w:color="e5e7eb" w:sz="6" w:space="0"/>
              <w:left w:val="single" w:color="e5e7eb" w:sz="6" w:space="0"/>
              <w:bottom w:val="single" w:color="e5e7eb" w:sz="6" w:space="0"/>
              <w:right w:val="single" w:color="e5e7eb" w:sz="6" w:space="0"/>
            </w:tcBorders>
          </w:tcPr>
          <w:p w14:paraId="00000134">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150</w:t>
            </w:r>
          </w:p>
        </w:tc>
        <w:tc>
          <w:tcPr>
            <w:cnfStyle w:val="000000100000"/>
            <w:tcW w:w="1276" w:type="dxa"/>
            <w:tcBorders>
              <w:top w:val="single" w:color="e5e7eb" w:sz="6" w:space="0"/>
              <w:left w:val="single" w:color="e5e7eb" w:sz="6" w:space="0"/>
              <w:bottom w:val="single" w:color="e5e7eb" w:sz="6" w:space="0"/>
              <w:right w:val="single" w:color="e5e7eb" w:sz="6" w:space="0"/>
            </w:tcBorders>
          </w:tcPr>
          <w:p w14:paraId="00000135">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140</w:t>
            </w:r>
          </w:p>
        </w:tc>
        <w:tc>
          <w:tcPr>
            <w:cnfStyle w:val="000000100000"/>
            <w:tcW w:w="1336" w:type="dxa"/>
            <w:tcBorders>
              <w:top w:val="single" w:color="e5e7eb" w:sz="6" w:space="0"/>
              <w:left w:val="single" w:color="e5e7eb" w:sz="6" w:space="0"/>
              <w:bottom w:val="single" w:color="e5e7eb" w:sz="6" w:space="0"/>
              <w:right w:val="single" w:color="e5e7eb" w:sz="6" w:space="0"/>
            </w:tcBorders>
          </w:tcPr>
          <w:p w14:paraId="00000136">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600</w:t>
            </w:r>
          </w:p>
        </w:tc>
        <w:tc>
          <w:tcPr>
            <w:cnfStyle w:val="000000100000"/>
            <w:tcW w:w="1937" w:type="dxa"/>
            <w:tcBorders>
              <w:top w:val="single" w:color="e5e7eb" w:sz="6" w:space="0"/>
              <w:left w:val="single" w:color="e5e7eb" w:sz="6" w:space="0"/>
              <w:bottom w:val="single" w:color="e5e7eb" w:sz="6" w:space="0"/>
              <w:right w:val="single" w:color="e5e7eb" w:sz="6" w:space="0"/>
            </w:tcBorders>
          </w:tcPr>
          <w:p w14:paraId="00000137">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75</w:t>
            </w:r>
          </w:p>
        </w:tc>
      </w:tr>
    </w:tbl>
    <w:p w14:paraId="00000138">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lang w:val="en-US"/>
        </w:rPr>
      </w:pPr>
    </w:p>
    <w:p w14:paraId="00000139">
      <w:pPr>
        <w:pBdr>
          <w:top w:val="none" w:sz="4" w:space="0"/>
          <w:left w:val="none" w:sz="4" w:space="0"/>
          <w:bottom w:val="none" w:sz="4" w:space="0"/>
          <w:right w:val="none" w:sz="4" w:space="0"/>
          <w:between w:val="none" w:sz="4" w:space="0"/>
          <w:bar w:val="none" w:sz="4" w:space="0"/>
        </w:pBdr>
        <w:spacing w:after="0" w:line="360" w:lineRule="auto"/>
        <w:ind w:firstLine="708"/>
        <w:jc w:val="both"/>
        <w:rPr>
          <w:rFonts w:ascii="Times New Roman" w:cs="Times New Roman" w:hAnsi="Times New Roman"/>
          <w:color w:val="000000"/>
          <w:sz w:val="28"/>
          <w:szCs w:val="26"/>
        </w:rPr>
      </w:pPr>
      <w:r>
        <w:rPr>
          <w:rFonts w:ascii="Times New Roman" w:cs="Times New Roman" w:hAnsi="Times New Roman"/>
          <w:color w:val="000000"/>
          <w:sz w:val="28"/>
          <w:szCs w:val="26"/>
        </w:rPr>
        <w:t xml:space="preserve">Выход на международные рынки стал ключевым этапом развития компании. Изначально продажи были ориентированы на Европу, но столкнулись с проблемой высоких таможенных пошлин, которые отпугивали покупателей. </w:t>
      </w:r>
    </w:p>
    <w:p w14:paraId="0000013A">
      <w:pPr>
        <w:pBdr>
          <w:top w:val="none" w:sz="4" w:space="0"/>
          <w:left w:val="none" w:sz="4" w:space="0"/>
          <w:bottom w:val="none" w:sz="4" w:space="0"/>
          <w:right w:val="none" w:sz="4" w:space="0"/>
          <w:between w:val="none" w:sz="4" w:space="0"/>
          <w:bar w:val="none" w:sz="4" w:space="0"/>
        </w:pBdr>
        <w:spacing w:after="0" w:line="360" w:lineRule="auto"/>
        <w:ind w:firstLine="708"/>
        <w:jc w:val="both"/>
        <w:rPr>
          <w:rFonts w:ascii="Times New Roman" w:cs="Times New Roman" w:hAnsi="Times New Roman"/>
          <w:color w:val="000000"/>
          <w:sz w:val="28"/>
          <w:szCs w:val="26"/>
        </w:rPr>
      </w:pPr>
      <w:r>
        <w:rPr>
          <w:rFonts w:ascii="Times New Roman" w:cs="Times New Roman" w:hAnsi="Times New Roman"/>
          <w:color w:val="000000"/>
          <w:sz w:val="28"/>
          <w:szCs w:val="26"/>
        </w:rPr>
        <w:t xml:space="preserve">Для решения этой </w:t>
      </w:r>
      <w:r>
        <w:rPr>
          <w:rFonts w:ascii="Times New Roman" w:cs="Times New Roman" w:hAnsi="Times New Roman"/>
          <w:color w:val="000000"/>
          <w:sz w:val="28"/>
          <w:szCs w:val="26"/>
        </w:rPr>
        <w:t xml:space="preserve">проблемы была организована растаможка продукции на территории Европы, что позволило снизить затраты конечных потребителей и повысить конкурентоспособность. </w:t>
      </w:r>
    </w:p>
    <w:p w14:paraId="0000013B">
      <w:pPr>
        <w:pBdr>
          <w:top w:val="none" w:sz="4" w:space="0"/>
          <w:left w:val="none" w:sz="4" w:space="0"/>
          <w:bottom w:val="none" w:sz="4" w:space="0"/>
          <w:right w:val="none" w:sz="4" w:space="0"/>
          <w:between w:val="none" w:sz="4" w:space="0"/>
          <w:bar w:val="none" w:sz="4" w:space="0"/>
        </w:pBdr>
        <w:spacing w:after="0" w:line="360" w:lineRule="auto"/>
        <w:ind w:firstLine="708"/>
        <w:jc w:val="both"/>
        <w:rPr>
          <w:rFonts w:ascii="Times New Roman" w:cs="Times New Roman" w:hAnsi="Times New Roman"/>
          <w:color w:val="000000"/>
          <w:sz w:val="28"/>
          <w:szCs w:val="26"/>
        </w:rPr>
      </w:pPr>
      <w:r>
        <w:rPr>
          <w:rFonts w:ascii="Times New Roman" w:cs="Times New Roman" w:hAnsi="Times New Roman"/>
          <w:color w:val="000000"/>
          <w:sz w:val="28"/>
          <w:szCs w:val="26"/>
        </w:rPr>
        <w:t>В то же время, пандемия коронавируса и связанные с ней локдауны в США создали уникальные условия дл</w:t>
      </w:r>
      <w:r>
        <w:rPr>
          <w:rFonts w:ascii="Times New Roman" w:cs="Times New Roman" w:hAnsi="Times New Roman"/>
          <w:color w:val="000000"/>
          <w:sz w:val="28"/>
          <w:szCs w:val="26"/>
        </w:rPr>
        <w:t xml:space="preserve">я роста спроса на пазлы как способ занять свободное время. </w:t>
      </w:r>
    </w:p>
    <w:p w14:paraId="0000013C">
      <w:pPr>
        <w:pBdr>
          <w:top w:val="none" w:sz="4" w:space="0"/>
          <w:left w:val="none" w:sz="4" w:space="0"/>
          <w:bottom w:val="none" w:sz="4" w:space="0"/>
          <w:right w:val="none" w:sz="4" w:space="0"/>
          <w:between w:val="none" w:sz="4" w:space="0"/>
          <w:bar w:val="none" w:sz="4" w:space="0"/>
        </w:pBdr>
        <w:spacing w:after="0" w:line="360" w:lineRule="auto"/>
        <w:ind w:firstLine="708"/>
        <w:jc w:val="both"/>
        <w:rPr>
          <w:rFonts w:ascii="Times New Roman" w:cs="Times New Roman" w:hAnsi="Times New Roman"/>
          <w:color w:val="000000"/>
          <w:sz w:val="26"/>
        </w:rPr>
      </w:pPr>
      <w:r>
        <w:rPr>
          <w:rFonts w:ascii="Times New Roman" w:cs="Times New Roman" w:hAnsi="Times New Roman"/>
          <w:color w:val="000000"/>
          <w:sz w:val="28"/>
          <w:szCs w:val="26"/>
        </w:rPr>
        <w:t xml:space="preserve">Это позволило компании быстро закрепиться на американском рынке, </w:t>
      </w:r>
      <w:r>
        <w:rPr>
          <w:rFonts w:ascii="Times New Roman" w:cs="Times New Roman" w:hAnsi="Times New Roman"/>
          <w:color w:val="000000"/>
          <w:sz w:val="28"/>
          <w:szCs w:val="26"/>
        </w:rPr>
        <w:t>где сейчас около 75% продаж осуществляется через собственный англоязычный сайт.</w:t>
      </w:r>
    </w:p>
    <w:p w14:paraId="0000013D">
      <w:pPr>
        <w:pBdr>
          <w:top w:val="none" w:sz="4" w:space="0"/>
          <w:left w:val="none" w:sz="4" w:space="0"/>
          <w:bottom w:val="none" w:sz="4" w:space="0"/>
          <w:right w:val="none" w:sz="4" w:space="0"/>
          <w:between w:val="none" w:sz="4" w:space="0"/>
          <w:bar w:val="none" w:sz="4" w:space="0"/>
        </w:pBdr>
        <w:spacing w:after="0" w:line="240" w:lineRule="auto"/>
        <w:rPr>
          <w:rFonts w:ascii="Segoe UI"/>
          <w:color w:val="000000"/>
          <w:sz w:val="28"/>
          <w:szCs w:val="28"/>
          <w:lang w:val="en-US"/>
        </w:rPr>
      </w:pPr>
      <w:r>
        <w:rPr>
          <w:rFonts w:ascii="Times New Roman" w:cs="Times New Roman" w:hAnsi="Times New Roman"/>
          <w:color w:val="000000"/>
          <w:sz w:val="28"/>
          <w:szCs w:val="28"/>
        </w:rPr>
        <w:t xml:space="preserve">Таблица 6 </w:t>
      </w:r>
      <w:r>
        <w:rPr>
          <w:rFonts w:ascii="Times New Roman" w:hAnsi="Times New Roman"/>
          <w:sz w:val="28"/>
          <w:szCs w:val="28"/>
        </w:rPr>
        <w:t xml:space="preserve">– </w:t>
      </w:r>
      <w:r>
        <w:rPr>
          <w:rFonts w:ascii="Times New Roman" w:cs="Times New Roman" w:hAnsi="Times New Roman"/>
          <w:color w:val="000000"/>
          <w:sz w:val="28"/>
          <w:szCs w:val="28"/>
          <w:lang w:val="en-US"/>
        </w:rPr>
        <w:t xml:space="preserve">География экспортных продаж </w:t>
      </w:r>
      <w:r>
        <w:rPr>
          <w:rFonts w:ascii="Times New Roman" w:cs="Times New Roman" w:hAnsi="Times New Roman"/>
          <w:color w:val="000000"/>
          <w:sz w:val="28"/>
          <w:szCs w:val="28"/>
          <w:lang w:val="en-US"/>
        </w:rPr>
        <w:t>Unidragon</w:t>
      </w:r>
    </w:p>
    <w:p w14:paraId="0000013E">
      <w:pPr>
        <w:pBdr>
          <w:top w:val="none" w:sz="4" w:space="0"/>
          <w:left w:val="none" w:sz="4" w:space="0"/>
          <w:bottom w:val="none" w:sz="4" w:space="0"/>
          <w:right w:val="none" w:sz="4" w:space="0"/>
          <w:between w:val="none" w:sz="4" w:space="0"/>
          <w:bar w:val="none" w:sz="4" w:space="0"/>
        </w:pBdr>
        <w:spacing w:after="0" w:line="360" w:lineRule="auto"/>
        <w:ind w:firstLine="708"/>
        <w:jc w:val="both"/>
        <w:rPr>
          <w:rFonts w:ascii="Times New Roman" w:cs="Times New Roman" w:hAnsi="Times New Roman"/>
          <w:color w:val="000000"/>
          <w:sz w:val="26"/>
        </w:rPr>
      </w:pPr>
    </w:p>
    <w:p w14:paraId="0000013F">
      <w:pPr>
        <w:pBdr>
          <w:top w:val="none" w:sz="4" w:space="0"/>
          <w:left w:val="none" w:sz="4" w:space="0"/>
          <w:bottom w:val="none" w:sz="4" w:space="0"/>
          <w:right w:val="none" w:sz="4" w:space="0"/>
          <w:between w:val="none" w:sz="4" w:space="0"/>
          <w:bar w:val="none" w:sz="4" w:space="0"/>
        </w:pBdr>
        <w:spacing w:after="0" w:line="240" w:lineRule="auto"/>
        <w:rPr>
          <w:rFonts w:ascii="Segoe UI"/>
          <w:color w:val="000000"/>
          <w:sz w:val="28"/>
          <w:szCs w:val="28"/>
          <w:lang w:val="en-US"/>
        </w:rPr>
      </w:pPr>
    </w:p>
    <w:p w14:paraId="00000140">
      <w:pPr>
        <w:pBdr>
          <w:top w:val="none" w:sz="4" w:space="0"/>
          <w:left w:val="none" w:sz="4" w:space="0"/>
          <w:bottom w:val="none" w:sz="4" w:space="0"/>
          <w:right w:val="none" w:sz="4" w:space="0"/>
          <w:between w:val="none" w:sz="4" w:space="0"/>
          <w:bar w:val="none" w:sz="4" w:space="0"/>
        </w:pBdr>
        <w:spacing w:after="0" w:line="240" w:lineRule="auto"/>
        <w:rPr>
          <w:rFonts w:ascii="Segoe UI"/>
          <w:color w:val="000000"/>
          <w:sz w:val="40"/>
          <w:lang w:val="en-US"/>
        </w:rPr>
      </w:pPr>
    </w:p>
    <w:tbl>
      <w:tblPr>
        <w:tblpPr w:leftFromText="187" w:rightFromText="187" w:vertAnchor="page" w:horzAnchor="margin" w:tblpY="1645"/>
        <w:tblOverlap w:val="never"/>
        <w:tblW w:w="8528" w:type="dxa"/>
        <w:tblBorders>
          <w:top w:val="single" w:color="e5e7eb" w:sz="6" w:space="0"/>
          <w:left w:val="single" w:color="e5e7eb" w:sz="6" w:space="0"/>
          <w:bottom w:val="single" w:color="e5e7eb" w:sz="6" w:space="0"/>
          <w:right w:val="single" w:color="e5e7eb" w:sz="6" w:space="0"/>
          <w:insideH w:val="single" w:color="e5e7eb" w:sz="6" w:space="0"/>
          <w:insideV w:val="single" w:color="e5e7eb" w:sz="6" w:space="0"/>
        </w:tblBorders>
        <w:tblLayout w:type="fixed"/>
        <w:tblCellMar>
          <w:top w:w="10" w:type="dxa"/>
          <w:left w:w="10" w:type="dxa"/>
          <w:bottom w:w="10" w:type="dxa"/>
          <w:right w:w="10" w:type="dxa"/>
        </w:tblCellMar>
        <w:tblLook w:val="04A0"/>
      </w:tblPr>
      <w:tblGrid>
        <w:gridCol w:w="3563"/>
        <w:gridCol w:w="4965"/>
      </w:tblGrid>
      <w:tr>
        <w:trPr>
          <w:cnfStyle w:val="100000000000"/>
        </w:trPr>
        <w:tc>
          <w:tcPr>
            <w:cnfStyle w:val="101000000000"/>
            <w:tcW w:w="3563" w:type="dxa"/>
            <w:tcBorders>
              <w:top w:val="single" w:color="auto" w:sz="4" w:space="0"/>
              <w:left w:val="single" w:color="auto" w:sz="4" w:space="0"/>
              <w:bottom w:val="single" w:color="auto" w:sz="4" w:space="0"/>
              <w:right w:val="single" w:color="auto" w:sz="4" w:space="0"/>
            </w:tcBorders>
          </w:tcPr>
          <w:p w14:paraId="00000141">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szCs w:val="28"/>
                <w:lang w:val="en-US"/>
              </w:rPr>
            </w:pPr>
            <w:r>
              <w:rPr>
                <w:rFonts w:ascii="Times New Roman" w:cs="Times New Roman" w:hAnsi="Times New Roman"/>
                <w:b w:val="off"/>
                <w:bCs w:val="off"/>
                <w:color w:val="000000"/>
                <w:szCs w:val="28"/>
                <w:lang w:val="en-US"/>
              </w:rPr>
              <w:t>Регион</w:t>
            </w:r>
          </w:p>
        </w:tc>
        <w:tc>
          <w:tcPr>
            <w:cnfStyle w:val="100000000000"/>
            <w:tcW w:w="4965" w:type="dxa"/>
            <w:tcBorders>
              <w:top w:val="single" w:color="auto" w:sz="4" w:space="0"/>
              <w:left w:val="single" w:color="auto" w:sz="4" w:space="0"/>
              <w:bottom w:val="single" w:color="auto" w:sz="4" w:space="0"/>
              <w:right w:val="single" w:color="auto" w:sz="4" w:space="0"/>
            </w:tcBorders>
          </w:tcPr>
          <w:p w14:paraId="00000142">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szCs w:val="28"/>
                <w:lang w:val="en-US"/>
              </w:rPr>
            </w:pPr>
            <w:r>
              <w:rPr>
                <w:rFonts w:ascii="Times New Roman" w:cs="Times New Roman" w:hAnsi="Times New Roman"/>
                <w:b w:val="off"/>
                <w:bCs w:val="off"/>
                <w:color w:val="000000"/>
                <w:szCs w:val="28"/>
                <w:lang w:val="en-US"/>
              </w:rPr>
              <w:t>Доля в объёме продаж, %</w:t>
            </w:r>
          </w:p>
        </w:tc>
      </w:tr>
      <w:tr>
        <w:trPr>
          <w:cnfStyle w:val="000000100000"/>
        </w:trPr>
        <w:tc>
          <w:tcPr>
            <w:cnfStyle w:val="001000100000"/>
            <w:tcW w:w="3563" w:type="dxa"/>
            <w:tcBorders>
              <w:top w:val="single" w:color="auto" w:sz="4" w:space="0"/>
              <w:left w:val="single" w:color="auto" w:sz="4" w:space="0"/>
              <w:bottom w:val="single" w:color="auto" w:sz="4" w:space="0"/>
              <w:right w:val="single" w:color="auto" w:sz="4" w:space="0"/>
            </w:tcBorders>
          </w:tcPr>
          <w:p w14:paraId="00000143">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США</w:t>
            </w:r>
          </w:p>
        </w:tc>
        <w:tc>
          <w:tcPr>
            <w:cnfStyle w:val="000000100000"/>
            <w:tcW w:w="4965" w:type="dxa"/>
            <w:tcBorders>
              <w:top w:val="single" w:color="auto" w:sz="4" w:space="0"/>
              <w:left w:val="single" w:color="auto" w:sz="4" w:space="0"/>
              <w:bottom w:val="single" w:color="auto" w:sz="4" w:space="0"/>
              <w:right w:val="single" w:color="auto" w:sz="4" w:space="0"/>
            </w:tcBorders>
          </w:tcPr>
          <w:p w14:paraId="00000144">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50</w:t>
            </w:r>
          </w:p>
        </w:tc>
      </w:tr>
      <w:tr>
        <w:trPr>
          <w:cnfStyle w:val="000000010000"/>
        </w:trPr>
        <w:tc>
          <w:tcPr>
            <w:cnfStyle w:val="001000010000"/>
            <w:tcW w:w="3563" w:type="dxa"/>
            <w:tcBorders>
              <w:top w:val="single" w:color="auto" w:sz="4" w:space="0"/>
              <w:left w:val="single" w:color="auto" w:sz="4" w:space="0"/>
              <w:bottom w:val="single" w:color="auto" w:sz="4" w:space="0"/>
              <w:right w:val="single" w:color="auto" w:sz="4" w:space="0"/>
            </w:tcBorders>
          </w:tcPr>
          <w:p w14:paraId="00000145">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Европа</w:t>
            </w:r>
          </w:p>
        </w:tc>
        <w:tc>
          <w:tcPr>
            <w:cnfStyle w:val="000000010000"/>
            <w:tcW w:w="4965" w:type="dxa"/>
            <w:tcBorders>
              <w:top w:val="single" w:color="auto" w:sz="4" w:space="0"/>
              <w:left w:val="single" w:color="auto" w:sz="4" w:space="0"/>
              <w:bottom w:val="single" w:color="auto" w:sz="4" w:space="0"/>
              <w:right w:val="single" w:color="auto" w:sz="4" w:space="0"/>
            </w:tcBorders>
          </w:tcPr>
          <w:p w14:paraId="00000146">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30</w:t>
            </w:r>
          </w:p>
        </w:tc>
      </w:tr>
      <w:tr>
        <w:trPr>
          <w:cnfStyle w:val="000000100000"/>
        </w:trPr>
        <w:tc>
          <w:tcPr>
            <w:cnfStyle w:val="001000100000"/>
            <w:tcW w:w="3563" w:type="dxa"/>
            <w:tcBorders>
              <w:top w:val="single" w:color="auto" w:sz="4" w:space="0"/>
              <w:left w:val="single" w:color="auto" w:sz="4" w:space="0"/>
              <w:bottom w:val="single" w:color="auto" w:sz="4" w:space="0"/>
              <w:right w:val="single" w:color="auto" w:sz="4" w:space="0"/>
            </w:tcBorders>
          </w:tcPr>
          <w:p w14:paraId="00000147">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Азия</w:t>
            </w:r>
          </w:p>
        </w:tc>
        <w:tc>
          <w:tcPr>
            <w:cnfStyle w:val="000000100000"/>
            <w:tcW w:w="4965" w:type="dxa"/>
            <w:tcBorders>
              <w:top w:val="single" w:color="auto" w:sz="4" w:space="0"/>
              <w:left w:val="single" w:color="auto" w:sz="4" w:space="0"/>
              <w:bottom w:val="single" w:color="auto" w:sz="4" w:space="0"/>
              <w:right w:val="single" w:color="auto" w:sz="4" w:space="0"/>
            </w:tcBorders>
          </w:tcPr>
          <w:p w14:paraId="00000148">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12</w:t>
            </w:r>
          </w:p>
        </w:tc>
      </w:tr>
      <w:tr>
        <w:trPr>
          <w:cnfStyle w:val="000000010000"/>
        </w:trPr>
        <w:tc>
          <w:tcPr>
            <w:cnfStyle w:val="001000010000"/>
            <w:tcW w:w="3563" w:type="dxa"/>
            <w:tcBorders>
              <w:top w:val="single" w:color="auto" w:sz="4" w:space="0"/>
              <w:left w:val="single" w:color="auto" w:sz="4" w:space="0"/>
              <w:bottom w:val="single" w:color="auto" w:sz="4" w:space="0"/>
              <w:right w:val="single" w:color="auto" w:sz="4" w:space="0"/>
            </w:tcBorders>
          </w:tcPr>
          <w:p w14:paraId="00000149">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Другие страны</w:t>
            </w:r>
          </w:p>
        </w:tc>
        <w:tc>
          <w:tcPr>
            <w:cnfStyle w:val="000000010000"/>
            <w:tcW w:w="4965" w:type="dxa"/>
            <w:tcBorders>
              <w:top w:val="single" w:color="auto" w:sz="4" w:space="0"/>
              <w:left w:val="single" w:color="auto" w:sz="4" w:space="0"/>
              <w:bottom w:val="single" w:color="auto" w:sz="4" w:space="0"/>
              <w:right w:val="single" w:color="auto" w:sz="4" w:space="0"/>
            </w:tcBorders>
          </w:tcPr>
          <w:p w14:paraId="0000014A">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8</w:t>
            </w:r>
          </w:p>
        </w:tc>
      </w:tr>
    </w:tbl>
    <w:p w14:paraId="0000014B">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8"/>
          <w:szCs w:val="26"/>
        </w:rPr>
      </w:pPr>
    </w:p>
    <w:p w14:paraId="0000014C">
      <w:pPr>
        <w:pBdr>
          <w:top w:val="none" w:sz="4" w:space="0"/>
          <w:left w:val="none" w:sz="4" w:space="0"/>
          <w:bottom w:val="none" w:sz="4" w:space="0"/>
          <w:right w:val="none" w:sz="4" w:space="0"/>
          <w:between w:val="none" w:sz="4" w:space="0"/>
          <w:bar w:val="none" w:sz="4" w:space="0"/>
        </w:pBdr>
        <w:spacing w:after="0" w:line="360" w:lineRule="auto"/>
        <w:ind w:firstLine="708"/>
        <w:jc w:val="both"/>
        <w:rPr>
          <w:rFonts w:ascii="Times New Roman" w:cs="Times New Roman" w:hAnsi="Times New Roman"/>
          <w:color w:val="000000"/>
          <w:sz w:val="28"/>
          <w:szCs w:val="26"/>
        </w:rPr>
      </w:pPr>
    </w:p>
    <w:p w14:paraId="0000014D">
      <w:pPr>
        <w:pBdr>
          <w:top w:val="none" w:sz="4" w:space="0"/>
          <w:left w:val="none" w:sz="4" w:space="0"/>
          <w:bottom w:val="none" w:sz="4" w:space="0"/>
          <w:right w:val="none" w:sz="4" w:space="0"/>
          <w:between w:val="none" w:sz="4" w:space="0"/>
          <w:bar w:val="none" w:sz="4" w:space="0"/>
        </w:pBdr>
        <w:spacing w:after="0" w:line="360" w:lineRule="auto"/>
        <w:ind w:firstLine="708"/>
        <w:jc w:val="both"/>
        <w:rPr>
          <w:rFonts w:ascii="Times New Roman" w:cs="Times New Roman" w:hAnsi="Times New Roman"/>
          <w:color w:val="000000"/>
          <w:sz w:val="28"/>
          <w:szCs w:val="26"/>
        </w:rPr>
      </w:pPr>
      <w:r>
        <w:rPr>
          <w:rFonts w:ascii="Times New Roman" w:cs="Times New Roman" w:hAnsi="Times New Roman"/>
          <w:color w:val="000000"/>
          <w:sz w:val="28"/>
          <w:szCs w:val="26"/>
        </w:rPr>
        <w:t xml:space="preserve">Для продвижения в США используются разные каналы трафика: </w:t>
      </w:r>
      <w:r>
        <w:rPr>
          <w:rFonts w:ascii="Times New Roman" w:cs="Times New Roman" w:hAnsi="Times New Roman"/>
          <w:color w:val="000000"/>
          <w:sz w:val="28"/>
          <w:szCs w:val="26"/>
          <w:lang w:val="en-US"/>
        </w:rPr>
        <w:t>Google</w:t>
      </w:r>
      <w:r>
        <w:rPr>
          <w:rFonts w:ascii="Times New Roman" w:cs="Times New Roman" w:hAnsi="Times New Roman"/>
          <w:color w:val="000000"/>
          <w:sz w:val="28"/>
          <w:szCs w:val="26"/>
        </w:rPr>
        <w:t xml:space="preserve"> </w:t>
      </w:r>
      <w:r>
        <w:rPr>
          <w:rFonts w:ascii="Times New Roman" w:cs="Times New Roman" w:hAnsi="Times New Roman"/>
          <w:color w:val="000000"/>
          <w:sz w:val="28"/>
          <w:szCs w:val="26"/>
          <w:lang w:val="en-US"/>
        </w:rPr>
        <w:t>Shopping</w:t>
      </w:r>
      <w:r>
        <w:rPr>
          <w:rFonts w:ascii="Times New Roman" w:cs="Times New Roman" w:hAnsi="Times New Roman"/>
          <w:color w:val="000000"/>
          <w:sz w:val="28"/>
          <w:szCs w:val="26"/>
        </w:rPr>
        <w:t xml:space="preserve">, </w:t>
      </w:r>
      <w:r>
        <w:rPr>
          <w:rFonts w:ascii="Times New Roman" w:cs="Times New Roman" w:hAnsi="Times New Roman"/>
          <w:color w:val="000000"/>
          <w:sz w:val="28"/>
          <w:szCs w:val="26"/>
          <w:lang w:val="en-US"/>
        </w:rPr>
        <w:t>Facebook</w:t>
      </w:r>
      <w:r>
        <w:rPr>
          <w:rFonts w:ascii="Times New Roman" w:cs="Times New Roman" w:hAnsi="Times New Roman"/>
          <w:color w:val="000000"/>
          <w:sz w:val="28"/>
          <w:szCs w:val="26"/>
        </w:rPr>
        <w:t xml:space="preserve">, органический поиск и платная реклама на </w:t>
      </w:r>
      <w:r>
        <w:rPr>
          <w:rFonts w:ascii="Times New Roman" w:cs="Times New Roman" w:hAnsi="Times New Roman"/>
          <w:color w:val="000000"/>
          <w:sz w:val="28"/>
          <w:szCs w:val="26"/>
          <w:lang w:val="en-US"/>
        </w:rPr>
        <w:t>Amazon</w:t>
      </w:r>
      <w:r>
        <w:rPr>
          <w:rFonts w:ascii="Times New Roman" w:cs="Times New Roman" w:hAnsi="Times New Roman"/>
          <w:color w:val="000000"/>
          <w:sz w:val="28"/>
          <w:szCs w:val="26"/>
        </w:rPr>
        <w:t xml:space="preserve">. </w:t>
      </w:r>
    </w:p>
    <w:p w14:paraId="0000014E">
      <w:pPr>
        <w:pBdr>
          <w:top w:val="none" w:sz="4" w:space="0"/>
          <w:left w:val="none" w:sz="4" w:space="0"/>
          <w:bottom w:val="none" w:sz="4" w:space="0"/>
          <w:right w:val="none" w:sz="4" w:space="0"/>
          <w:between w:val="none" w:sz="4" w:space="0"/>
          <w:bar w:val="none" w:sz="4" w:space="0"/>
        </w:pBdr>
        <w:spacing w:after="0" w:line="360" w:lineRule="auto"/>
        <w:ind w:firstLine="708"/>
        <w:jc w:val="both"/>
        <w:rPr>
          <w:rFonts w:ascii="Times New Roman" w:cs="Times New Roman" w:hAnsi="Times New Roman"/>
          <w:color w:val="000000"/>
          <w:sz w:val="28"/>
          <w:szCs w:val="26"/>
        </w:rPr>
      </w:pPr>
      <w:r>
        <w:rPr>
          <w:rFonts w:ascii="Times New Roman" w:cs="Times New Roman" w:hAnsi="Times New Roman"/>
          <w:color w:val="000000"/>
          <w:sz w:val="28"/>
          <w:szCs w:val="26"/>
        </w:rPr>
        <w:t xml:space="preserve">Важным фактором успеха стала вирусная популярность – ролик о сборке пазлов </w:t>
      </w:r>
      <w:r>
        <w:rPr>
          <w:rFonts w:ascii="Times New Roman" w:cs="Times New Roman" w:hAnsi="Times New Roman"/>
          <w:color w:val="000000"/>
          <w:sz w:val="28"/>
          <w:szCs w:val="26"/>
          <w:lang w:val="en-US"/>
        </w:rPr>
        <w:t>Unidragon</w:t>
      </w:r>
      <w:r>
        <w:rPr>
          <w:rFonts w:ascii="Times New Roman" w:cs="Times New Roman" w:hAnsi="Times New Roman"/>
          <w:color w:val="000000"/>
          <w:sz w:val="28"/>
          <w:szCs w:val="26"/>
        </w:rPr>
        <w:t xml:space="preserve"> на развлекательном портале 9</w:t>
      </w:r>
      <w:r>
        <w:rPr>
          <w:rFonts w:ascii="Times New Roman" w:cs="Times New Roman" w:hAnsi="Times New Roman"/>
          <w:color w:val="000000"/>
          <w:sz w:val="28"/>
          <w:szCs w:val="26"/>
          <w:lang w:val="en-US"/>
        </w:rPr>
        <w:t>gag</w:t>
      </w:r>
      <w:r>
        <w:rPr>
          <w:rFonts w:ascii="Times New Roman" w:cs="Times New Roman" w:hAnsi="Times New Roman"/>
          <w:color w:val="000000"/>
          <w:sz w:val="28"/>
          <w:szCs w:val="26"/>
        </w:rPr>
        <w:t>.</w:t>
      </w:r>
      <w:r>
        <w:rPr>
          <w:rFonts w:ascii="Times New Roman" w:cs="Times New Roman" w:hAnsi="Times New Roman"/>
          <w:color w:val="000000"/>
          <w:sz w:val="28"/>
          <w:szCs w:val="26"/>
          <w:lang w:val="en-US"/>
        </w:rPr>
        <w:t>com</w:t>
      </w:r>
      <w:r>
        <w:rPr>
          <w:rFonts w:ascii="Times New Roman" w:cs="Times New Roman" w:hAnsi="Times New Roman"/>
          <w:color w:val="000000"/>
          <w:sz w:val="28"/>
          <w:szCs w:val="26"/>
        </w:rPr>
        <w:t xml:space="preserve"> собрал более 5 тысяч лайков и привлёк заказы из 17 стран. Кроме того, компания получ</w:t>
      </w:r>
      <w:r>
        <w:rPr>
          <w:rFonts w:ascii="Times New Roman" w:cs="Times New Roman" w:hAnsi="Times New Roman"/>
          <w:color w:val="000000"/>
          <w:sz w:val="28"/>
          <w:szCs w:val="26"/>
        </w:rPr>
        <w:t xml:space="preserve">ила приглашение на интервью от </w:t>
      </w:r>
      <w:r>
        <w:rPr>
          <w:rFonts w:ascii="Times New Roman" w:cs="Times New Roman" w:hAnsi="Times New Roman"/>
          <w:color w:val="000000"/>
          <w:sz w:val="28"/>
          <w:szCs w:val="26"/>
          <w:lang w:val="en-US"/>
        </w:rPr>
        <w:t>Business</w:t>
      </w:r>
      <w:r>
        <w:rPr>
          <w:rFonts w:ascii="Times New Roman" w:cs="Times New Roman" w:hAnsi="Times New Roman"/>
          <w:color w:val="000000"/>
          <w:sz w:val="28"/>
          <w:szCs w:val="26"/>
        </w:rPr>
        <w:t xml:space="preserve"> </w:t>
      </w:r>
      <w:r>
        <w:rPr>
          <w:rFonts w:ascii="Times New Roman" w:cs="Times New Roman" w:hAnsi="Times New Roman"/>
          <w:color w:val="000000"/>
          <w:sz w:val="28"/>
          <w:szCs w:val="26"/>
          <w:lang w:val="en-US"/>
        </w:rPr>
        <w:t>Insider</w:t>
      </w:r>
      <w:r>
        <w:rPr>
          <w:rFonts w:ascii="Times New Roman" w:cs="Times New Roman" w:hAnsi="Times New Roman"/>
          <w:color w:val="000000"/>
          <w:sz w:val="28"/>
          <w:szCs w:val="26"/>
        </w:rPr>
        <w:t>, что повысило узнаваемость бренда.</w:t>
      </w:r>
    </w:p>
    <w:p w14:paraId="0000014F">
      <w:pPr>
        <w:pBdr>
          <w:top w:val="none" w:sz="4" w:space="0"/>
          <w:left w:val="none" w:sz="4" w:space="0"/>
          <w:bottom w:val="none" w:sz="4" w:space="0"/>
          <w:right w:val="none" w:sz="4" w:space="0"/>
          <w:between w:val="none" w:sz="4" w:space="0"/>
          <w:bar w:val="none" w:sz="4" w:space="0"/>
        </w:pBdr>
        <w:spacing w:after="0" w:line="360" w:lineRule="auto"/>
        <w:ind w:firstLine="708"/>
        <w:jc w:val="both"/>
        <w:rPr>
          <w:rFonts w:ascii="Times New Roman" w:cs="Times New Roman" w:hAnsi="Times New Roman"/>
          <w:color w:val="000000"/>
          <w:sz w:val="28"/>
          <w:szCs w:val="26"/>
        </w:rPr>
      </w:pPr>
      <w:r>
        <w:rPr>
          <w:rFonts w:ascii="Times New Roman" w:cs="Times New Roman" w:hAnsi="Times New Roman"/>
          <w:color w:val="000000"/>
          <w:sz w:val="28"/>
          <w:szCs w:val="26"/>
        </w:rPr>
        <w:t>Финансовые показатели компании показывают устойчивый рост. За 2023 год выручка от экспорта составила около 600 миллионов рублей, что приблизительно равно 75% от общего объем</w:t>
      </w:r>
      <w:r>
        <w:rPr>
          <w:rFonts w:ascii="Times New Roman" w:cs="Times New Roman" w:hAnsi="Times New Roman"/>
          <w:color w:val="000000"/>
          <w:sz w:val="28"/>
          <w:szCs w:val="26"/>
        </w:rPr>
        <w:t>а продаж. В компании трудится около 75 человек, включая производство, колл-центр и административный персонал. Для расширения рынков сбыта были проанализированы экономические показатели и потребительские предпочтения в разных странах, что позволило выделить</w:t>
      </w:r>
      <w:r>
        <w:rPr>
          <w:rFonts w:ascii="Times New Roman" w:cs="Times New Roman" w:hAnsi="Times New Roman"/>
          <w:color w:val="000000"/>
          <w:sz w:val="28"/>
          <w:szCs w:val="26"/>
        </w:rPr>
        <w:t xml:space="preserve"> приоритетные направления – Германия, Великобритания, Япония и Канада.</w:t>
      </w:r>
    </w:p>
    <w:p w14:paraId="00000150">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8"/>
          <w:szCs w:val="26"/>
        </w:rPr>
      </w:pPr>
    </w:p>
    <w:p w14:paraId="00000151">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6"/>
          <w:lang w:val="en-US"/>
        </w:rPr>
      </w:pPr>
      <w:r>
        <w:rPr>
          <w:rFonts w:ascii="Times New Roman" w:cs="Times New Roman" w:hAnsi="Times New Roman"/>
          <w:color w:val="000000"/>
          <w:sz w:val="26"/>
        </w:rPr>
        <w:t xml:space="preserve">Таблица 7 </w:t>
      </w:r>
      <w:r>
        <w:rPr>
          <w:rFonts w:ascii="Times New Roman" w:hAnsi="Times New Roman"/>
          <w:sz w:val="28"/>
          <w:szCs w:val="28"/>
        </w:rPr>
        <w:t xml:space="preserve">– Финансовые показатели компании </w:t>
      </w:r>
      <w:r>
        <w:rPr>
          <w:rFonts w:ascii="Times New Roman" w:hAnsi="Times New Roman"/>
          <w:sz w:val="28"/>
          <w:szCs w:val="28"/>
          <w:lang w:val="en-US"/>
        </w:rPr>
        <w:t>Unidragon (</w:t>
      </w:r>
      <w:r>
        <w:rPr>
          <w:rFonts w:ascii="Times New Roman" w:hAnsi="Times New Roman"/>
          <w:sz w:val="28"/>
          <w:szCs w:val="28"/>
          <w:lang w:val="ru-RU"/>
        </w:rPr>
        <w:t>млн.руб)[5].</w:t>
      </w:r>
    </w:p>
    <w:tbl>
      <w:tblPr>
        <w:tblW w:w="9270" w:type="dxa"/>
        <w:tblInd w:w="11" w:type="dxa"/>
        <w:tblBorders>
          <w:top w:val="single" w:color="e5e7eb" w:sz="6" w:space="0"/>
          <w:left w:val="single" w:color="e5e7eb" w:sz="6" w:space="0"/>
          <w:bottom w:val="single" w:color="e5e7eb" w:sz="6" w:space="0"/>
          <w:right w:val="single" w:color="e5e7eb" w:sz="6" w:space="0"/>
          <w:insideH w:val="single" w:color="e5e7eb" w:sz="6" w:space="0"/>
          <w:insideV w:val="single" w:color="e5e7eb" w:sz="6" w:space="0"/>
        </w:tblBorders>
        <w:tblLayout w:type="fixed"/>
        <w:tblCellMar>
          <w:top w:w="10" w:type="dxa"/>
          <w:left w:w="10" w:type="dxa"/>
          <w:bottom w:w="10" w:type="dxa"/>
          <w:right w:w="10" w:type="dxa"/>
        </w:tblCellMar>
        <w:tblLook w:val="04A0"/>
      </w:tblPr>
      <w:tblGrid>
        <w:gridCol w:w="2047"/>
        <w:gridCol w:w="1650"/>
        <w:gridCol w:w="840"/>
        <w:gridCol w:w="1222"/>
        <w:gridCol w:w="1680"/>
        <w:gridCol w:w="1831"/>
      </w:tblGrid>
      <w:tr>
        <w:trPr/>
        <w:tc>
          <w:tcPr>
            <w:cnfStyle w:val="101000000000"/>
            <w:tcW w:w="2047" w:type="dxa"/>
            <w:tcBorders>
              <w:top w:val="single" w:color="auto" w:sz="4" w:space="0"/>
              <w:left w:val="single" w:color="auto" w:sz="4" w:space="0"/>
              <w:bottom w:val="single" w:color="auto" w:sz="4" w:space="0"/>
              <w:right w:val="single" w:color="auto" w:sz="4" w:space="0"/>
            </w:tcBorders>
          </w:tcPr>
          <w:p w14:paraId="00000152">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Показатель</w:t>
            </w:r>
          </w:p>
        </w:tc>
        <w:tc>
          <w:tcPr>
            <w:cnfStyle w:val="100000000000"/>
            <w:tcW w:w="1650" w:type="dxa"/>
            <w:tcBorders>
              <w:top w:val="single" w:color="auto" w:sz="4" w:space="0"/>
              <w:left w:val="single" w:color="auto" w:sz="4" w:space="0"/>
              <w:bottom w:val="single" w:color="auto" w:sz="4" w:space="0"/>
              <w:right w:val="single" w:color="auto" w:sz="4" w:space="0"/>
            </w:tcBorders>
          </w:tcPr>
          <w:p w14:paraId="00000153">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2019</w:t>
            </w:r>
          </w:p>
        </w:tc>
        <w:tc>
          <w:tcPr>
            <w:cnfStyle w:val="100000000000"/>
            <w:tcW w:w="840" w:type="dxa"/>
            <w:tcBorders>
              <w:top w:val="single" w:color="auto" w:sz="4" w:space="0"/>
              <w:left w:val="single" w:color="auto" w:sz="4" w:space="0"/>
              <w:bottom w:val="single" w:color="auto" w:sz="4" w:space="0"/>
              <w:right w:val="single" w:color="auto" w:sz="4" w:space="0"/>
            </w:tcBorders>
          </w:tcPr>
          <w:p w14:paraId="00000154">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2020</w:t>
            </w:r>
          </w:p>
        </w:tc>
        <w:tc>
          <w:tcPr>
            <w:cnfStyle w:val="100000000000"/>
            <w:tcW w:w="1222" w:type="dxa"/>
            <w:tcBorders>
              <w:top w:val="single" w:color="auto" w:sz="4" w:space="0"/>
              <w:left w:val="single" w:color="auto" w:sz="4" w:space="0"/>
              <w:bottom w:val="single" w:color="auto" w:sz="4" w:space="0"/>
              <w:right w:val="single" w:color="auto" w:sz="4" w:space="0"/>
            </w:tcBorders>
          </w:tcPr>
          <w:p w14:paraId="00000155">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 xml:space="preserve">2021 </w:t>
            </w:r>
          </w:p>
        </w:tc>
        <w:tc>
          <w:tcPr>
            <w:cnfStyle w:val="100000000000"/>
            <w:tcW w:w="1680" w:type="dxa"/>
            <w:tcBorders>
              <w:top w:val="single" w:color="auto" w:sz="4" w:space="0"/>
              <w:left w:val="single" w:color="auto" w:sz="4" w:space="0"/>
              <w:bottom w:val="single" w:color="auto" w:sz="4" w:space="0"/>
              <w:right w:val="single" w:color="auto" w:sz="4" w:space="0"/>
            </w:tcBorders>
          </w:tcPr>
          <w:p w14:paraId="00000156">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 xml:space="preserve">2022 </w:t>
            </w:r>
          </w:p>
        </w:tc>
        <w:tc>
          <w:tcPr>
            <w:cnfStyle w:val="100000000000"/>
            <w:tcW w:w="1831" w:type="dxa"/>
            <w:tcBorders>
              <w:top w:val="single" w:color="auto" w:sz="4" w:space="0"/>
              <w:left w:val="single" w:color="auto" w:sz="4" w:space="0"/>
              <w:bottom w:val="single" w:color="auto" w:sz="4" w:space="0"/>
              <w:right w:val="single" w:color="auto" w:sz="4" w:space="0"/>
            </w:tcBorders>
          </w:tcPr>
          <w:p w14:paraId="00000157">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 xml:space="preserve">2023 </w:t>
            </w:r>
          </w:p>
        </w:tc>
      </w:tr>
      <w:tr>
        <w:trPr/>
        <w:tc>
          <w:tcPr>
            <w:cnfStyle w:val="001000100000"/>
            <w:tcW w:w="2047" w:type="dxa"/>
            <w:tcBorders>
              <w:top w:val="single" w:color="auto" w:sz="4" w:space="0"/>
              <w:left w:val="single" w:color="auto" w:sz="4" w:space="0"/>
              <w:bottom w:val="single" w:color="auto" w:sz="4" w:space="0"/>
              <w:right w:val="single" w:color="auto" w:sz="4" w:space="0"/>
            </w:tcBorders>
          </w:tcPr>
          <w:p w14:paraId="00000158">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Выручка</w:t>
            </w:r>
          </w:p>
        </w:tc>
        <w:tc>
          <w:tcPr>
            <w:cnfStyle w:val="000000100000"/>
            <w:tcW w:w="1650" w:type="dxa"/>
            <w:tcBorders>
              <w:top w:val="single" w:color="auto" w:sz="4" w:space="0"/>
              <w:left w:val="single" w:color="auto" w:sz="4" w:space="0"/>
              <w:bottom w:val="single" w:color="auto" w:sz="4" w:space="0"/>
              <w:right w:val="single" w:color="auto" w:sz="4" w:space="0"/>
            </w:tcBorders>
          </w:tcPr>
          <w:p w14:paraId="00000159">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50</w:t>
            </w:r>
          </w:p>
        </w:tc>
        <w:tc>
          <w:tcPr>
            <w:cnfStyle w:val="000000100000"/>
            <w:tcW w:w="840" w:type="dxa"/>
            <w:tcBorders>
              <w:top w:val="single" w:color="auto" w:sz="4" w:space="0"/>
              <w:left w:val="single" w:color="auto" w:sz="4" w:space="0"/>
              <w:bottom w:val="single" w:color="auto" w:sz="4" w:space="0"/>
              <w:right w:val="single" w:color="auto" w:sz="4" w:space="0"/>
            </w:tcBorders>
          </w:tcPr>
          <w:p w14:paraId="0000015A">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380</w:t>
            </w:r>
          </w:p>
        </w:tc>
        <w:tc>
          <w:tcPr>
            <w:cnfStyle w:val="000000100000"/>
            <w:tcW w:w="1222" w:type="dxa"/>
            <w:tcBorders>
              <w:top w:val="single" w:color="auto" w:sz="4" w:space="0"/>
              <w:left w:val="single" w:color="auto" w:sz="4" w:space="0"/>
              <w:bottom w:val="single" w:color="auto" w:sz="4" w:space="0"/>
              <w:right w:val="single" w:color="auto" w:sz="4" w:space="0"/>
            </w:tcBorders>
          </w:tcPr>
          <w:p w14:paraId="0000015B">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450</w:t>
            </w:r>
          </w:p>
        </w:tc>
        <w:tc>
          <w:tcPr>
            <w:cnfStyle w:val="000000100000"/>
            <w:tcW w:w="1680" w:type="dxa"/>
            <w:tcBorders>
              <w:top w:val="single" w:color="auto" w:sz="4" w:space="0"/>
              <w:left w:val="single" w:color="auto" w:sz="4" w:space="0"/>
              <w:bottom w:val="single" w:color="auto" w:sz="4" w:space="0"/>
              <w:right w:val="single" w:color="auto" w:sz="4" w:space="0"/>
            </w:tcBorders>
          </w:tcPr>
          <w:p w14:paraId="0000015C">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520</w:t>
            </w:r>
          </w:p>
        </w:tc>
        <w:tc>
          <w:tcPr>
            <w:cnfStyle w:val="000000100000"/>
            <w:tcW w:w="1831" w:type="dxa"/>
            <w:tcBorders>
              <w:top w:val="single" w:color="auto" w:sz="4" w:space="0"/>
              <w:left w:val="single" w:color="auto" w:sz="4" w:space="0"/>
              <w:bottom w:val="single" w:color="auto" w:sz="4" w:space="0"/>
              <w:right w:val="single" w:color="auto" w:sz="4" w:space="0"/>
            </w:tcBorders>
          </w:tcPr>
          <w:p w14:paraId="0000015D">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600</w:t>
            </w:r>
          </w:p>
        </w:tc>
      </w:tr>
      <w:tr>
        <w:trPr/>
        <w:tc>
          <w:tcPr>
            <w:cnfStyle w:val="001000010000"/>
            <w:tcW w:w="2047" w:type="dxa"/>
            <w:tcBorders>
              <w:top w:val="single" w:color="auto" w:sz="4" w:space="0"/>
              <w:left w:val="single" w:color="auto" w:sz="4" w:space="0"/>
              <w:bottom w:val="single" w:color="auto" w:sz="4" w:space="0"/>
              <w:right w:val="single" w:color="auto" w:sz="4" w:space="0"/>
            </w:tcBorders>
          </w:tcPr>
          <w:p w14:paraId="0000015E">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Себестоимость продаж (COGS)</w:t>
            </w:r>
          </w:p>
        </w:tc>
        <w:tc>
          <w:tcPr>
            <w:cnfStyle w:val="000000010000"/>
            <w:tcW w:w="1650" w:type="dxa"/>
            <w:tcBorders>
              <w:top w:val="single" w:color="auto" w:sz="4" w:space="0"/>
              <w:left w:val="single" w:color="auto" w:sz="4" w:space="0"/>
              <w:bottom w:val="single" w:color="auto" w:sz="4" w:space="0"/>
              <w:right w:val="single" w:color="auto" w:sz="4" w:space="0"/>
            </w:tcBorders>
          </w:tcPr>
          <w:p w14:paraId="0000015F">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30</w:t>
            </w:r>
          </w:p>
        </w:tc>
        <w:tc>
          <w:tcPr>
            <w:cnfStyle w:val="000000010000"/>
            <w:tcW w:w="840" w:type="dxa"/>
            <w:tcBorders>
              <w:top w:val="single" w:color="auto" w:sz="4" w:space="0"/>
              <w:left w:val="single" w:color="auto" w:sz="4" w:space="0"/>
              <w:bottom w:val="single" w:color="auto" w:sz="4" w:space="0"/>
              <w:right w:val="single" w:color="auto" w:sz="4" w:space="0"/>
            </w:tcBorders>
          </w:tcPr>
          <w:p w14:paraId="00000160">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230</w:t>
            </w:r>
          </w:p>
        </w:tc>
        <w:tc>
          <w:tcPr>
            <w:cnfStyle w:val="000000010000"/>
            <w:tcW w:w="1222" w:type="dxa"/>
            <w:tcBorders>
              <w:top w:val="single" w:color="auto" w:sz="4" w:space="0"/>
              <w:left w:val="single" w:color="auto" w:sz="4" w:space="0"/>
              <w:bottom w:val="single" w:color="auto" w:sz="4" w:space="0"/>
              <w:right w:val="single" w:color="auto" w:sz="4" w:space="0"/>
            </w:tcBorders>
          </w:tcPr>
          <w:p w14:paraId="00000161">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270</w:t>
            </w:r>
          </w:p>
        </w:tc>
        <w:tc>
          <w:tcPr>
            <w:cnfStyle w:val="000000010000"/>
            <w:tcW w:w="1680" w:type="dxa"/>
            <w:tcBorders>
              <w:top w:val="single" w:color="auto" w:sz="4" w:space="0"/>
              <w:left w:val="single" w:color="auto" w:sz="4" w:space="0"/>
              <w:bottom w:val="single" w:color="auto" w:sz="4" w:space="0"/>
              <w:right w:val="single" w:color="auto" w:sz="4" w:space="0"/>
            </w:tcBorders>
          </w:tcPr>
          <w:p w14:paraId="00000162">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312</w:t>
            </w:r>
          </w:p>
        </w:tc>
        <w:tc>
          <w:tcPr>
            <w:cnfStyle w:val="000000010000"/>
            <w:tcW w:w="1831" w:type="dxa"/>
            <w:tcBorders>
              <w:top w:val="single" w:color="auto" w:sz="4" w:space="0"/>
              <w:left w:val="single" w:color="auto" w:sz="4" w:space="0"/>
              <w:bottom w:val="single" w:color="auto" w:sz="4" w:space="0"/>
              <w:right w:val="single" w:color="auto" w:sz="4" w:space="0"/>
            </w:tcBorders>
          </w:tcPr>
          <w:p w14:paraId="00000163">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360</w:t>
            </w:r>
          </w:p>
        </w:tc>
      </w:tr>
      <w:tr>
        <w:trPr/>
        <w:tc>
          <w:tcPr>
            <w:cnfStyle w:val="001000100000"/>
            <w:tcW w:w="2047" w:type="dxa"/>
            <w:tcBorders>
              <w:top w:val="single" w:color="auto" w:sz="4" w:space="0"/>
              <w:left w:val="single" w:color="auto" w:sz="4" w:space="0"/>
              <w:bottom w:val="single" w:color="auto" w:sz="4" w:space="0"/>
              <w:right w:val="single" w:color="auto" w:sz="4" w:space="0"/>
            </w:tcBorders>
          </w:tcPr>
          <w:p w14:paraId="00000164">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Валовая прибыль</w:t>
            </w:r>
          </w:p>
        </w:tc>
        <w:tc>
          <w:tcPr>
            <w:cnfStyle w:val="000000100000"/>
            <w:tcW w:w="1650" w:type="dxa"/>
            <w:tcBorders>
              <w:top w:val="single" w:color="auto" w:sz="4" w:space="0"/>
              <w:left w:val="single" w:color="auto" w:sz="4" w:space="0"/>
              <w:bottom w:val="single" w:color="auto" w:sz="4" w:space="0"/>
              <w:right w:val="single" w:color="auto" w:sz="4" w:space="0"/>
            </w:tcBorders>
          </w:tcPr>
          <w:p w14:paraId="00000165">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20</w:t>
            </w:r>
          </w:p>
        </w:tc>
        <w:tc>
          <w:tcPr>
            <w:cnfStyle w:val="000000100000"/>
            <w:tcW w:w="840" w:type="dxa"/>
            <w:tcBorders>
              <w:top w:val="single" w:color="auto" w:sz="4" w:space="0"/>
              <w:left w:val="single" w:color="auto" w:sz="4" w:space="0"/>
              <w:bottom w:val="single" w:color="auto" w:sz="4" w:space="0"/>
              <w:right w:val="single" w:color="auto" w:sz="4" w:space="0"/>
            </w:tcBorders>
          </w:tcPr>
          <w:p w14:paraId="00000166">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150</w:t>
            </w:r>
          </w:p>
        </w:tc>
        <w:tc>
          <w:tcPr>
            <w:cnfStyle w:val="000000100000"/>
            <w:tcW w:w="1222" w:type="dxa"/>
            <w:tcBorders>
              <w:top w:val="single" w:color="auto" w:sz="4" w:space="0"/>
              <w:left w:val="single" w:color="auto" w:sz="4" w:space="0"/>
              <w:bottom w:val="single" w:color="auto" w:sz="4" w:space="0"/>
              <w:right w:val="single" w:color="auto" w:sz="4" w:space="0"/>
            </w:tcBorders>
          </w:tcPr>
          <w:p w14:paraId="00000167">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180</w:t>
            </w:r>
          </w:p>
        </w:tc>
        <w:tc>
          <w:tcPr>
            <w:cnfStyle w:val="000000100000"/>
            <w:tcW w:w="1680" w:type="dxa"/>
            <w:tcBorders>
              <w:top w:val="single" w:color="auto" w:sz="4" w:space="0"/>
              <w:left w:val="single" w:color="auto" w:sz="4" w:space="0"/>
              <w:bottom w:val="single" w:color="auto" w:sz="4" w:space="0"/>
              <w:right w:val="single" w:color="auto" w:sz="4" w:space="0"/>
            </w:tcBorders>
          </w:tcPr>
          <w:p w14:paraId="00000168">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208</w:t>
            </w:r>
          </w:p>
        </w:tc>
        <w:tc>
          <w:tcPr>
            <w:cnfStyle w:val="000000100000"/>
            <w:tcW w:w="1831" w:type="dxa"/>
            <w:tcBorders>
              <w:top w:val="single" w:color="auto" w:sz="4" w:space="0"/>
              <w:left w:val="single" w:color="auto" w:sz="4" w:space="0"/>
              <w:bottom w:val="single" w:color="auto" w:sz="4" w:space="0"/>
              <w:right w:val="single" w:color="auto" w:sz="4" w:space="0"/>
            </w:tcBorders>
          </w:tcPr>
          <w:p w14:paraId="00000169">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240</w:t>
            </w:r>
          </w:p>
        </w:tc>
      </w:tr>
      <w:tr>
        <w:trPr/>
        <w:tc>
          <w:tcPr>
            <w:cnfStyle w:val="001000010000"/>
            <w:tcW w:w="2047" w:type="dxa"/>
            <w:tcBorders>
              <w:top w:val="single" w:color="auto" w:sz="4" w:space="0"/>
              <w:left w:val="single" w:color="auto" w:sz="4" w:space="0"/>
              <w:bottom w:val="single" w:color="auto" w:sz="4" w:space="0"/>
              <w:right w:val="single" w:color="auto" w:sz="4" w:space="0"/>
            </w:tcBorders>
          </w:tcPr>
          <w:p w14:paraId="0000016A">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Операционные расходы</w:t>
            </w:r>
          </w:p>
        </w:tc>
        <w:tc>
          <w:tcPr>
            <w:cnfStyle w:val="000000010000"/>
            <w:tcW w:w="1650" w:type="dxa"/>
            <w:tcBorders>
              <w:top w:val="single" w:color="auto" w:sz="4" w:space="0"/>
              <w:left w:val="single" w:color="auto" w:sz="4" w:space="0"/>
              <w:bottom w:val="single" w:color="auto" w:sz="4" w:space="0"/>
              <w:right w:val="single" w:color="auto" w:sz="4" w:space="0"/>
            </w:tcBorders>
          </w:tcPr>
          <w:p w14:paraId="0000016B">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10</w:t>
            </w:r>
          </w:p>
        </w:tc>
        <w:tc>
          <w:tcPr>
            <w:cnfStyle w:val="000000010000"/>
            <w:tcW w:w="840" w:type="dxa"/>
            <w:tcBorders>
              <w:top w:val="single" w:color="auto" w:sz="4" w:space="0"/>
              <w:left w:val="single" w:color="auto" w:sz="4" w:space="0"/>
              <w:bottom w:val="single" w:color="auto" w:sz="4" w:space="0"/>
              <w:right w:val="single" w:color="auto" w:sz="4" w:space="0"/>
            </w:tcBorders>
          </w:tcPr>
          <w:p w14:paraId="0000016C">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70</w:t>
            </w:r>
          </w:p>
        </w:tc>
        <w:tc>
          <w:tcPr>
            <w:cnfStyle w:val="000000010000"/>
            <w:tcW w:w="1222" w:type="dxa"/>
            <w:tcBorders>
              <w:top w:val="single" w:color="auto" w:sz="4" w:space="0"/>
              <w:left w:val="single" w:color="auto" w:sz="4" w:space="0"/>
              <w:bottom w:val="single" w:color="auto" w:sz="4" w:space="0"/>
              <w:right w:val="single" w:color="auto" w:sz="4" w:space="0"/>
            </w:tcBorders>
          </w:tcPr>
          <w:p w14:paraId="0000016D">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85</w:t>
            </w:r>
          </w:p>
        </w:tc>
        <w:tc>
          <w:tcPr>
            <w:cnfStyle w:val="000000010000"/>
            <w:tcW w:w="1680" w:type="dxa"/>
            <w:tcBorders>
              <w:top w:val="single" w:color="auto" w:sz="4" w:space="0"/>
              <w:left w:val="single" w:color="auto" w:sz="4" w:space="0"/>
              <w:bottom w:val="single" w:color="auto" w:sz="4" w:space="0"/>
              <w:right w:val="single" w:color="auto" w:sz="4" w:space="0"/>
            </w:tcBorders>
          </w:tcPr>
          <w:p w14:paraId="0000016E">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95</w:t>
            </w:r>
          </w:p>
        </w:tc>
        <w:tc>
          <w:tcPr>
            <w:cnfStyle w:val="000000010000"/>
            <w:tcW w:w="1831" w:type="dxa"/>
            <w:tcBorders>
              <w:top w:val="single" w:color="auto" w:sz="4" w:space="0"/>
              <w:left w:val="single" w:color="auto" w:sz="4" w:space="0"/>
              <w:bottom w:val="single" w:color="auto" w:sz="4" w:space="0"/>
              <w:right w:val="single" w:color="auto" w:sz="4" w:space="0"/>
            </w:tcBorders>
          </w:tcPr>
          <w:p w14:paraId="0000016F">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110</w:t>
            </w:r>
          </w:p>
        </w:tc>
      </w:tr>
      <w:tr>
        <w:trPr/>
        <w:tc>
          <w:tcPr>
            <w:cnfStyle w:val="001000100000"/>
            <w:tcW w:w="2047" w:type="dxa"/>
            <w:tcBorders>
              <w:top w:val="single" w:color="auto" w:sz="4" w:space="0"/>
              <w:left w:val="single" w:color="auto" w:sz="4" w:space="0"/>
              <w:bottom w:val="single" w:color="auto" w:sz="4" w:space="0"/>
              <w:right w:val="single" w:color="auto" w:sz="4" w:space="0"/>
            </w:tcBorders>
          </w:tcPr>
          <w:p w14:paraId="00000170">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Операционная прибыль</w:t>
            </w:r>
          </w:p>
        </w:tc>
        <w:tc>
          <w:tcPr>
            <w:cnfStyle w:val="000000100000"/>
            <w:tcW w:w="1650" w:type="dxa"/>
            <w:tcBorders>
              <w:top w:val="single" w:color="auto" w:sz="4" w:space="0"/>
              <w:left w:val="single" w:color="auto" w:sz="4" w:space="0"/>
              <w:bottom w:val="single" w:color="auto" w:sz="4" w:space="0"/>
              <w:right w:val="single" w:color="auto" w:sz="4" w:space="0"/>
            </w:tcBorders>
          </w:tcPr>
          <w:p w14:paraId="00000171">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10</w:t>
            </w:r>
          </w:p>
        </w:tc>
        <w:tc>
          <w:tcPr>
            <w:cnfStyle w:val="000000100000"/>
            <w:tcW w:w="840" w:type="dxa"/>
            <w:tcBorders>
              <w:top w:val="single" w:color="auto" w:sz="4" w:space="0"/>
              <w:left w:val="single" w:color="auto" w:sz="4" w:space="0"/>
              <w:bottom w:val="single" w:color="auto" w:sz="4" w:space="0"/>
              <w:right w:val="single" w:color="auto" w:sz="4" w:space="0"/>
            </w:tcBorders>
          </w:tcPr>
          <w:p w14:paraId="00000172">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80</w:t>
            </w:r>
          </w:p>
        </w:tc>
        <w:tc>
          <w:tcPr>
            <w:cnfStyle w:val="000000100000"/>
            <w:tcW w:w="1222" w:type="dxa"/>
            <w:tcBorders>
              <w:top w:val="single" w:color="auto" w:sz="4" w:space="0"/>
              <w:left w:val="single" w:color="auto" w:sz="4" w:space="0"/>
              <w:bottom w:val="single" w:color="auto" w:sz="4" w:space="0"/>
              <w:right w:val="single" w:color="auto" w:sz="4" w:space="0"/>
            </w:tcBorders>
          </w:tcPr>
          <w:p w14:paraId="00000173">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95</w:t>
            </w:r>
          </w:p>
        </w:tc>
        <w:tc>
          <w:tcPr>
            <w:cnfStyle w:val="000000100000"/>
            <w:tcW w:w="1680" w:type="dxa"/>
            <w:tcBorders>
              <w:top w:val="single" w:color="auto" w:sz="4" w:space="0"/>
              <w:left w:val="single" w:color="auto" w:sz="4" w:space="0"/>
              <w:bottom w:val="single" w:color="auto" w:sz="4" w:space="0"/>
              <w:right w:val="single" w:color="auto" w:sz="4" w:space="0"/>
            </w:tcBorders>
          </w:tcPr>
          <w:p w14:paraId="00000174">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113</w:t>
            </w:r>
          </w:p>
        </w:tc>
        <w:tc>
          <w:tcPr>
            <w:cnfStyle w:val="000000100000"/>
            <w:tcW w:w="1831" w:type="dxa"/>
            <w:tcBorders>
              <w:top w:val="single" w:color="auto" w:sz="4" w:space="0"/>
              <w:left w:val="single" w:color="auto" w:sz="4" w:space="0"/>
              <w:bottom w:val="single" w:color="auto" w:sz="4" w:space="0"/>
              <w:right w:val="single" w:color="auto" w:sz="4" w:space="0"/>
            </w:tcBorders>
          </w:tcPr>
          <w:p w14:paraId="00000175">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130</w:t>
            </w:r>
          </w:p>
        </w:tc>
      </w:tr>
      <w:tr>
        <w:trPr/>
        <w:tc>
          <w:tcPr>
            <w:cnfStyle w:val="001000010000"/>
            <w:tcW w:w="2047" w:type="dxa"/>
            <w:tcBorders>
              <w:top w:val="single" w:color="auto" w:sz="4" w:space="0"/>
              <w:left w:val="single" w:color="auto" w:sz="4" w:space="0"/>
              <w:bottom w:val="single" w:color="auto" w:sz="4" w:space="0"/>
              <w:right w:val="single" w:color="auto" w:sz="4" w:space="0"/>
            </w:tcBorders>
          </w:tcPr>
          <w:p w14:paraId="00000176">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Чистая прибыль</w:t>
            </w:r>
          </w:p>
        </w:tc>
        <w:tc>
          <w:tcPr>
            <w:cnfStyle w:val="000000010000"/>
            <w:tcW w:w="1650" w:type="dxa"/>
            <w:tcBorders>
              <w:top w:val="single" w:color="auto" w:sz="4" w:space="0"/>
              <w:left w:val="single" w:color="auto" w:sz="4" w:space="0"/>
              <w:bottom w:val="single" w:color="auto" w:sz="4" w:space="0"/>
              <w:right w:val="single" w:color="auto" w:sz="4" w:space="0"/>
            </w:tcBorders>
          </w:tcPr>
          <w:p w14:paraId="00000177">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7</w:t>
            </w:r>
          </w:p>
        </w:tc>
        <w:tc>
          <w:tcPr>
            <w:cnfStyle w:val="000000010000"/>
            <w:tcW w:w="840" w:type="dxa"/>
            <w:tcBorders>
              <w:top w:val="single" w:color="auto" w:sz="4" w:space="0"/>
              <w:left w:val="single" w:color="auto" w:sz="4" w:space="0"/>
              <w:bottom w:val="single" w:color="auto" w:sz="4" w:space="0"/>
              <w:right w:val="single" w:color="auto" w:sz="4" w:space="0"/>
            </w:tcBorders>
          </w:tcPr>
          <w:p w14:paraId="00000178">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55</w:t>
            </w:r>
          </w:p>
        </w:tc>
        <w:tc>
          <w:tcPr>
            <w:cnfStyle w:val="000000010000"/>
            <w:tcW w:w="1222" w:type="dxa"/>
            <w:tcBorders>
              <w:top w:val="single" w:color="auto" w:sz="4" w:space="0"/>
              <w:left w:val="single" w:color="auto" w:sz="4" w:space="0"/>
              <w:bottom w:val="single" w:color="auto" w:sz="4" w:space="0"/>
              <w:right w:val="single" w:color="auto" w:sz="4" w:space="0"/>
            </w:tcBorders>
          </w:tcPr>
          <w:p w14:paraId="00000179">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65</w:t>
            </w:r>
          </w:p>
        </w:tc>
        <w:tc>
          <w:tcPr>
            <w:cnfStyle w:val="000000010000"/>
            <w:tcW w:w="1680" w:type="dxa"/>
            <w:tcBorders>
              <w:top w:val="single" w:color="auto" w:sz="4" w:space="0"/>
              <w:left w:val="single" w:color="auto" w:sz="4" w:space="0"/>
              <w:bottom w:val="single" w:color="auto" w:sz="4" w:space="0"/>
              <w:right w:val="single" w:color="auto" w:sz="4" w:space="0"/>
            </w:tcBorders>
          </w:tcPr>
          <w:p w14:paraId="0000017A">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75</w:t>
            </w:r>
          </w:p>
        </w:tc>
        <w:tc>
          <w:tcPr>
            <w:cnfStyle w:val="000000010000"/>
            <w:tcW w:w="1831" w:type="dxa"/>
            <w:tcBorders>
              <w:top w:val="single" w:color="auto" w:sz="4" w:space="0"/>
              <w:left w:val="single" w:color="auto" w:sz="4" w:space="0"/>
              <w:bottom w:val="single" w:color="auto" w:sz="4" w:space="0"/>
              <w:right w:val="single" w:color="auto" w:sz="4" w:space="0"/>
            </w:tcBorders>
          </w:tcPr>
          <w:p w14:paraId="0000017B">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85</w:t>
            </w:r>
          </w:p>
        </w:tc>
      </w:tr>
    </w:tbl>
    <w:p w14:paraId="0000017C">
      <w:pPr>
        <w:rPr>
          <w:rFonts w:ascii="Times New Roman" w:cs="Times New Roman" w:hAnsi="Times New Roman"/>
        </w:rPr>
      </w:pPr>
    </w:p>
    <w:p w14:paraId="0000017D">
      <w:pPr>
        <w:jc w:val="both"/>
        <w:rPr>
          <w:rFonts w:ascii="Times New Roman" w:cs="Times New Roman" w:hAnsi="Times New Roman"/>
          <w:sz w:val="28"/>
          <w:szCs w:val="28"/>
        </w:rPr>
      </w:pPr>
    </w:p>
    <w:p w14:paraId="0000017E">
      <w:pPr>
        <w:jc w:val="both"/>
        <w:rPr>
          <w:rFonts w:ascii="Times New Roman" w:cs="Times New Roman" w:hAnsi="Times New Roman"/>
          <w:sz w:val="28"/>
          <w:szCs w:val="28"/>
        </w:rPr>
      </w:pPr>
      <w:r>
        <w:rPr>
          <w:rFonts w:ascii="Times New Roman" w:cs="Times New Roman" w:hAnsi="Times New Roman"/>
          <w:sz w:val="28"/>
          <w:szCs w:val="28"/>
        </w:rPr>
        <w:t>Продолжение Таблицы 7</w:t>
      </w:r>
    </w:p>
    <w:tbl>
      <w:tblPr>
        <w:tblW w:w="9270" w:type="dxa"/>
        <w:tblInd w:w="11" w:type="dxa"/>
        <w:tblBorders>
          <w:top w:val="single" w:color="e5e7eb" w:sz="6" w:space="0"/>
          <w:left w:val="single" w:color="e5e7eb" w:sz="6" w:space="0"/>
          <w:bottom w:val="single" w:color="e5e7eb" w:sz="6" w:space="0"/>
          <w:right w:val="single" w:color="e5e7eb" w:sz="6" w:space="0"/>
          <w:insideH w:val="single" w:color="e5e7eb" w:sz="6" w:space="0"/>
          <w:insideV w:val="single" w:color="e5e7eb" w:sz="6" w:space="0"/>
        </w:tblBorders>
        <w:tblLayout w:type="fixed"/>
        <w:tblCellMar>
          <w:top w:w="10" w:type="dxa"/>
          <w:left w:w="10" w:type="dxa"/>
          <w:bottom w:w="10" w:type="dxa"/>
          <w:right w:w="10" w:type="dxa"/>
        </w:tblCellMar>
        <w:tblLook w:val="04A0"/>
      </w:tblPr>
      <w:tblGrid>
        <w:gridCol w:w="2047"/>
        <w:gridCol w:w="1650"/>
        <w:gridCol w:w="840"/>
        <w:gridCol w:w="1222"/>
        <w:gridCol w:w="1680"/>
        <w:gridCol w:w="1831"/>
      </w:tblGrid>
      <w:tr>
        <w:trPr>
          <w:cnfStyle w:val="100000000000"/>
        </w:trPr>
        <w:tc>
          <w:tcPr>
            <w:cnfStyle w:val="101000000000"/>
            <w:tcW w:w="2047" w:type="dxa"/>
            <w:tcBorders>
              <w:top w:val="single" w:color="auto" w:sz="4" w:space="0"/>
              <w:left w:val="single" w:color="auto" w:sz="4" w:space="0"/>
              <w:bottom w:val="single" w:color="auto" w:sz="4" w:space="0"/>
              <w:right w:val="single" w:color="auto" w:sz="4" w:space="0"/>
            </w:tcBorders>
          </w:tcPr>
          <w:p w14:paraId="0000017F">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Показатель</w:t>
            </w:r>
          </w:p>
        </w:tc>
        <w:tc>
          <w:tcPr>
            <w:cnfStyle w:val="100000000000"/>
            <w:tcW w:w="1650" w:type="dxa"/>
            <w:tcBorders>
              <w:top w:val="single" w:color="auto" w:sz="4" w:space="0"/>
              <w:left w:val="single" w:color="auto" w:sz="4" w:space="0"/>
              <w:bottom w:val="single" w:color="auto" w:sz="4" w:space="0"/>
              <w:right w:val="single" w:color="auto" w:sz="4" w:space="0"/>
            </w:tcBorders>
          </w:tcPr>
          <w:p w14:paraId="00000180">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2019</w:t>
            </w:r>
          </w:p>
        </w:tc>
        <w:tc>
          <w:tcPr>
            <w:cnfStyle w:val="100000000000"/>
            <w:tcW w:w="840" w:type="dxa"/>
            <w:tcBorders>
              <w:top w:val="single" w:color="auto" w:sz="4" w:space="0"/>
              <w:left w:val="single" w:color="auto" w:sz="4" w:space="0"/>
              <w:bottom w:val="single" w:color="auto" w:sz="4" w:space="0"/>
              <w:right w:val="single" w:color="auto" w:sz="4" w:space="0"/>
            </w:tcBorders>
          </w:tcPr>
          <w:p w14:paraId="00000181">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2020</w:t>
            </w:r>
          </w:p>
        </w:tc>
        <w:tc>
          <w:tcPr>
            <w:cnfStyle w:val="100000000000"/>
            <w:tcW w:w="1222" w:type="dxa"/>
            <w:tcBorders>
              <w:top w:val="single" w:color="auto" w:sz="4" w:space="0"/>
              <w:left w:val="single" w:color="auto" w:sz="4" w:space="0"/>
              <w:bottom w:val="single" w:color="auto" w:sz="4" w:space="0"/>
              <w:right w:val="single" w:color="auto" w:sz="4" w:space="0"/>
            </w:tcBorders>
          </w:tcPr>
          <w:p w14:paraId="00000182">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 xml:space="preserve">2021 </w:t>
            </w:r>
          </w:p>
        </w:tc>
        <w:tc>
          <w:tcPr>
            <w:cnfStyle w:val="100000000000"/>
            <w:tcW w:w="1680" w:type="dxa"/>
            <w:tcBorders>
              <w:top w:val="single" w:color="auto" w:sz="4" w:space="0"/>
              <w:left w:val="single" w:color="auto" w:sz="4" w:space="0"/>
              <w:bottom w:val="single" w:color="auto" w:sz="4" w:space="0"/>
              <w:right w:val="single" w:color="auto" w:sz="4" w:space="0"/>
            </w:tcBorders>
          </w:tcPr>
          <w:p w14:paraId="00000183">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 xml:space="preserve">2022 </w:t>
            </w:r>
          </w:p>
        </w:tc>
        <w:tc>
          <w:tcPr>
            <w:cnfStyle w:val="100000000000"/>
            <w:tcW w:w="1831" w:type="dxa"/>
            <w:tcBorders>
              <w:top w:val="single" w:color="auto" w:sz="4" w:space="0"/>
              <w:left w:val="single" w:color="auto" w:sz="4" w:space="0"/>
              <w:bottom w:val="single" w:color="auto" w:sz="4" w:space="0"/>
              <w:right w:val="single" w:color="auto" w:sz="4" w:space="0"/>
            </w:tcBorders>
          </w:tcPr>
          <w:p w14:paraId="00000184">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color w:val="000000"/>
                <w:szCs w:val="28"/>
                <w:lang w:val="en-US"/>
              </w:rPr>
              <w:t xml:space="preserve">2023 </w:t>
            </w:r>
          </w:p>
        </w:tc>
      </w:tr>
      <w:tr>
        <w:trPr>
          <w:cnfStyle w:val="000000100000"/>
        </w:trPr>
        <w:tc>
          <w:tcPr>
            <w:cnfStyle w:val="001000100000"/>
            <w:tcW w:w="2047" w:type="dxa"/>
            <w:tcBorders>
              <w:top w:val="single" w:color="auto" w:sz="4" w:space="0"/>
              <w:left w:val="single" w:color="auto" w:sz="4" w:space="0"/>
              <w:bottom w:val="single" w:color="auto" w:sz="4" w:space="0"/>
              <w:right w:val="single" w:color="auto" w:sz="4" w:space="0"/>
            </w:tcBorders>
          </w:tcPr>
          <w:p w14:paraId="00000185">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Рентабельность по чистой прибыли (%)</w:t>
            </w:r>
          </w:p>
        </w:tc>
        <w:tc>
          <w:tcPr>
            <w:cnfStyle w:val="000000100000"/>
            <w:tcW w:w="1650" w:type="dxa"/>
            <w:tcBorders>
              <w:top w:val="single" w:color="auto" w:sz="4" w:space="0"/>
              <w:left w:val="single" w:color="auto" w:sz="4" w:space="0"/>
              <w:bottom w:val="single" w:color="auto" w:sz="4" w:space="0"/>
              <w:right w:val="single" w:color="auto" w:sz="4" w:space="0"/>
            </w:tcBorders>
          </w:tcPr>
          <w:p w14:paraId="00000186">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14%</w:t>
            </w:r>
          </w:p>
        </w:tc>
        <w:tc>
          <w:tcPr>
            <w:cnfStyle w:val="000000100000"/>
            <w:tcW w:w="840" w:type="dxa"/>
            <w:tcBorders>
              <w:top w:val="single" w:color="auto" w:sz="4" w:space="0"/>
              <w:left w:val="single" w:color="auto" w:sz="4" w:space="0"/>
              <w:bottom w:val="single" w:color="auto" w:sz="4" w:space="0"/>
              <w:right w:val="single" w:color="auto" w:sz="4" w:space="0"/>
            </w:tcBorders>
          </w:tcPr>
          <w:p w14:paraId="00000187">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14.5%</w:t>
            </w:r>
          </w:p>
        </w:tc>
        <w:tc>
          <w:tcPr>
            <w:cnfStyle w:val="000000100000"/>
            <w:tcW w:w="1222" w:type="dxa"/>
            <w:tcBorders>
              <w:top w:val="single" w:color="auto" w:sz="4" w:space="0"/>
              <w:left w:val="single" w:color="auto" w:sz="4" w:space="0"/>
              <w:bottom w:val="single" w:color="auto" w:sz="4" w:space="0"/>
              <w:right w:val="single" w:color="auto" w:sz="4" w:space="0"/>
            </w:tcBorders>
          </w:tcPr>
          <w:p w14:paraId="00000188">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14.4%</w:t>
            </w:r>
          </w:p>
        </w:tc>
        <w:tc>
          <w:tcPr>
            <w:cnfStyle w:val="000000100000"/>
            <w:tcW w:w="1680" w:type="dxa"/>
            <w:tcBorders>
              <w:top w:val="single" w:color="auto" w:sz="4" w:space="0"/>
              <w:left w:val="single" w:color="auto" w:sz="4" w:space="0"/>
              <w:bottom w:val="single" w:color="auto" w:sz="4" w:space="0"/>
              <w:right w:val="single" w:color="auto" w:sz="4" w:space="0"/>
            </w:tcBorders>
          </w:tcPr>
          <w:p w14:paraId="00000189">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14.4%</w:t>
            </w:r>
          </w:p>
        </w:tc>
        <w:tc>
          <w:tcPr>
            <w:cnfStyle w:val="000000100000"/>
            <w:tcW w:w="1831" w:type="dxa"/>
            <w:tcBorders>
              <w:top w:val="single" w:color="auto" w:sz="4" w:space="0"/>
              <w:left w:val="single" w:color="auto" w:sz="4" w:space="0"/>
              <w:bottom w:val="single" w:color="auto" w:sz="4" w:space="0"/>
              <w:right w:val="single" w:color="auto" w:sz="4" w:space="0"/>
            </w:tcBorders>
          </w:tcPr>
          <w:p w14:paraId="0000018A">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14.2%</w:t>
            </w:r>
          </w:p>
        </w:tc>
      </w:tr>
      <w:tr>
        <w:trPr>
          <w:cnfStyle w:val="000000010000"/>
        </w:trPr>
        <w:tc>
          <w:tcPr>
            <w:cnfStyle w:val="001000010000"/>
            <w:tcW w:w="2047" w:type="dxa"/>
            <w:tcBorders>
              <w:top w:val="single" w:color="auto" w:sz="4" w:space="0"/>
              <w:left w:val="single" w:color="auto" w:sz="4" w:space="0"/>
              <w:bottom w:val="single" w:color="auto" w:sz="4" w:space="0"/>
              <w:right w:val="single" w:color="auto" w:sz="4" w:space="0"/>
            </w:tcBorders>
          </w:tcPr>
          <w:p w14:paraId="0000018B">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Численность сотрудников</w:t>
            </w:r>
          </w:p>
        </w:tc>
        <w:tc>
          <w:tcPr>
            <w:cnfStyle w:val="000000010000"/>
            <w:tcW w:w="1650" w:type="dxa"/>
            <w:tcBorders>
              <w:top w:val="single" w:color="auto" w:sz="4" w:space="0"/>
              <w:left w:val="single" w:color="auto" w:sz="4" w:space="0"/>
              <w:bottom w:val="single" w:color="auto" w:sz="4" w:space="0"/>
              <w:right w:val="single" w:color="auto" w:sz="4" w:space="0"/>
            </w:tcBorders>
          </w:tcPr>
          <w:p w14:paraId="0000018C">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17</w:t>
            </w:r>
          </w:p>
        </w:tc>
        <w:tc>
          <w:tcPr>
            <w:cnfStyle w:val="000000010000"/>
            <w:tcW w:w="840" w:type="dxa"/>
            <w:tcBorders>
              <w:top w:val="single" w:color="auto" w:sz="4" w:space="0"/>
              <w:left w:val="single" w:color="auto" w:sz="4" w:space="0"/>
              <w:bottom w:val="single" w:color="auto" w:sz="4" w:space="0"/>
              <w:right w:val="single" w:color="auto" w:sz="4" w:space="0"/>
            </w:tcBorders>
          </w:tcPr>
          <w:p w14:paraId="0000018D">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50</w:t>
            </w:r>
          </w:p>
        </w:tc>
        <w:tc>
          <w:tcPr>
            <w:cnfStyle w:val="000000010000"/>
            <w:tcW w:w="1222" w:type="dxa"/>
            <w:tcBorders>
              <w:top w:val="single" w:color="auto" w:sz="4" w:space="0"/>
              <w:left w:val="single" w:color="auto" w:sz="4" w:space="0"/>
              <w:bottom w:val="single" w:color="auto" w:sz="4" w:space="0"/>
              <w:right w:val="single" w:color="auto" w:sz="4" w:space="0"/>
            </w:tcBorders>
          </w:tcPr>
          <w:p w14:paraId="0000018E">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72</w:t>
            </w:r>
          </w:p>
        </w:tc>
        <w:tc>
          <w:tcPr>
            <w:cnfStyle w:val="000000010000"/>
            <w:tcW w:w="1680" w:type="dxa"/>
            <w:tcBorders>
              <w:top w:val="single" w:color="auto" w:sz="4" w:space="0"/>
              <w:left w:val="single" w:color="auto" w:sz="4" w:space="0"/>
              <w:bottom w:val="single" w:color="auto" w:sz="4" w:space="0"/>
              <w:right w:val="single" w:color="auto" w:sz="4" w:space="0"/>
            </w:tcBorders>
          </w:tcPr>
          <w:p w14:paraId="0000018F">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75</w:t>
            </w:r>
          </w:p>
        </w:tc>
        <w:tc>
          <w:tcPr>
            <w:cnfStyle w:val="000000010000"/>
            <w:tcW w:w="1831" w:type="dxa"/>
            <w:tcBorders>
              <w:top w:val="single" w:color="auto" w:sz="4" w:space="0"/>
              <w:left w:val="single" w:color="auto" w:sz="4" w:space="0"/>
              <w:bottom w:val="single" w:color="auto" w:sz="4" w:space="0"/>
              <w:right w:val="single" w:color="auto" w:sz="4" w:space="0"/>
            </w:tcBorders>
          </w:tcPr>
          <w:p w14:paraId="00000190">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szCs w:val="28"/>
                <w:lang w:val="en-US"/>
              </w:rPr>
            </w:pPr>
            <w:r>
              <w:rPr>
                <w:rFonts w:ascii="Times New Roman" w:cs="Times New Roman" w:hAnsi="Times New Roman"/>
              </w:rPr>
              <w:t>80</w:t>
            </w:r>
          </w:p>
        </w:tc>
      </w:tr>
    </w:tbl>
    <w:p w14:paraId="00000191">
      <w:pPr>
        <w:pBdr>
          <w:top w:val="none" w:sz="4" w:space="0"/>
          <w:left w:val="none" w:sz="4" w:space="0"/>
          <w:bottom w:val="none" w:sz="4" w:space="0"/>
          <w:right w:val="none" w:sz="4" w:space="0"/>
          <w:between w:val="none" w:sz="4" w:space="0"/>
          <w:bar w:val="none" w:sz="4" w:space="0"/>
        </w:pBdr>
        <w:spacing w:after="0" w:line="360" w:lineRule="auto"/>
        <w:jc w:val="both"/>
        <w:rPr>
          <w:rFonts w:ascii="Times New Roman" w:cs="Times New Roman" w:hAnsi="Times New Roman"/>
          <w:color w:val="000000"/>
          <w:sz w:val="26"/>
          <w:lang w:val="en-US"/>
        </w:rPr>
      </w:pPr>
    </w:p>
    <w:p w14:paraId="00000192">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В процессе развития экспортной деятельности выявлены основные вызовы: необходимость постоянного совершенствования продукта, борьба с контрафактом и конкуренцией, адаптация маркетинговых стратегий под разные рынки, а также организация эффективной логистики </w:t>
      </w:r>
      <w:r>
        <w:rPr>
          <w:rFonts w:ascii="Times New Roman" w:cs="Times New Roman" w:hAnsi="Times New Roman"/>
          <w:color w:val="000000"/>
          <w:sz w:val="28"/>
          <w:szCs w:val="28"/>
        </w:rPr>
        <w:t xml:space="preserve">и таможенного оформления. Благодаря комплексному подходу, включающему разработку уникального дизайна, оптимизацию производства и активное продвижение через онлайн-каналы, </w:t>
      </w:r>
      <w:r>
        <w:rPr>
          <w:rFonts w:ascii="Times New Roman" w:cs="Times New Roman" w:hAnsi="Times New Roman"/>
          <w:color w:val="000000"/>
          <w:sz w:val="28"/>
          <w:szCs w:val="28"/>
          <w:lang w:val="en-US"/>
        </w:rPr>
        <w:t>Unidragon</w:t>
      </w:r>
      <w:r>
        <w:rPr>
          <w:rFonts w:ascii="Times New Roman" w:cs="Times New Roman" w:hAnsi="Times New Roman"/>
          <w:color w:val="000000"/>
          <w:sz w:val="28"/>
          <w:szCs w:val="28"/>
        </w:rPr>
        <w:t xml:space="preserve"> удалось не только увеличить объёмы продаж, но и создать устойчивый бренд на</w:t>
      </w:r>
      <w:r>
        <w:rPr>
          <w:rFonts w:ascii="Times New Roman" w:cs="Times New Roman" w:hAnsi="Times New Roman"/>
          <w:color w:val="000000"/>
          <w:sz w:val="28"/>
          <w:szCs w:val="28"/>
        </w:rPr>
        <w:t xml:space="preserve"> международной арене.</w:t>
      </w:r>
    </w:p>
    <w:p w14:paraId="00000193">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Возможности онлайн-торговли позволили </w:t>
      </w:r>
      <w:r>
        <w:rPr>
          <w:rFonts w:ascii="Times New Roman" w:cs="Times New Roman" w:hAnsi="Times New Roman"/>
          <w:color w:val="000000"/>
          <w:sz w:val="28"/>
          <w:szCs w:val="28"/>
          <w:lang w:val="en-US"/>
        </w:rPr>
        <w:t>Unidragon</w:t>
      </w:r>
      <w:r>
        <w:rPr>
          <w:rFonts w:ascii="Times New Roman" w:cs="Times New Roman" w:hAnsi="Times New Roman"/>
          <w:color w:val="000000"/>
          <w:sz w:val="28"/>
          <w:szCs w:val="28"/>
        </w:rPr>
        <w:t xml:space="preserve"> не только быстро адаптироваться к меняющимся условиям рынка, но и создать устойчивый международный бренд с широкой географией продаж и высоким уровнем лояльности клиентов.  </w:t>
      </w:r>
    </w:p>
    <w:p w14:paraId="00000194">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Цифровые кан</w:t>
      </w:r>
      <w:r>
        <w:rPr>
          <w:rFonts w:ascii="Times New Roman" w:cs="Times New Roman" w:hAnsi="Times New Roman"/>
          <w:color w:val="000000"/>
          <w:sz w:val="28"/>
          <w:szCs w:val="28"/>
        </w:rPr>
        <w:t xml:space="preserve">алы позволили </w:t>
      </w:r>
      <w:r>
        <w:rPr>
          <w:rFonts w:ascii="Times New Roman" w:cs="Times New Roman" w:hAnsi="Times New Roman"/>
          <w:color w:val="000000"/>
          <w:sz w:val="28"/>
          <w:szCs w:val="28"/>
          <w:lang w:val="en-US"/>
        </w:rPr>
        <w:t>Unidragon</w:t>
      </w:r>
      <w:r>
        <w:rPr>
          <w:rFonts w:ascii="Times New Roman" w:cs="Times New Roman" w:hAnsi="Times New Roman"/>
          <w:color w:val="000000"/>
          <w:sz w:val="28"/>
          <w:szCs w:val="28"/>
        </w:rPr>
        <w:t xml:space="preserve"> быстро выйти на международные рынки, особенно в США и Европе. Создание собственного англоязычного сайта и использование маркетплейсов, таких как </w:t>
      </w:r>
      <w:r>
        <w:rPr>
          <w:rFonts w:ascii="Times New Roman" w:cs="Times New Roman" w:hAnsi="Times New Roman"/>
          <w:color w:val="000000"/>
          <w:sz w:val="28"/>
          <w:szCs w:val="28"/>
          <w:lang w:val="en-US"/>
        </w:rPr>
        <w:t>Amazon</w:t>
      </w:r>
      <w:r>
        <w:rPr>
          <w:rFonts w:ascii="Times New Roman" w:cs="Times New Roman" w:hAnsi="Times New Roman"/>
          <w:color w:val="000000"/>
          <w:sz w:val="28"/>
          <w:szCs w:val="28"/>
        </w:rPr>
        <w:t xml:space="preserve">, вместе с инструментами цифрового маркетинга – </w:t>
      </w:r>
      <w:r>
        <w:rPr>
          <w:rFonts w:ascii="Times New Roman" w:cs="Times New Roman" w:hAnsi="Times New Roman"/>
          <w:color w:val="000000"/>
          <w:sz w:val="28"/>
          <w:szCs w:val="28"/>
          <w:lang w:val="en-US"/>
        </w:rPr>
        <w:t>Google</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lang w:val="en-US"/>
        </w:rPr>
        <w:t>Shopping</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lang w:val="en-US"/>
        </w:rPr>
        <w:t>Facebook</w:t>
      </w:r>
      <w:r>
        <w:rPr>
          <w:rFonts w:ascii="Times New Roman" w:cs="Times New Roman" w:hAnsi="Times New Roman"/>
          <w:color w:val="000000"/>
          <w:sz w:val="28"/>
          <w:szCs w:val="28"/>
        </w:rPr>
        <w:t xml:space="preserve"> обе</w:t>
      </w:r>
      <w:r>
        <w:rPr>
          <w:rFonts w:ascii="Times New Roman" w:cs="Times New Roman" w:hAnsi="Times New Roman"/>
          <w:color w:val="000000"/>
          <w:sz w:val="28"/>
          <w:szCs w:val="28"/>
        </w:rPr>
        <w:t>спечили широкое привлечение клиентов и высокую узнаваемость бренда. Благодаря вирусному контенту, например, роликам на 9</w:t>
      </w:r>
      <w:r>
        <w:rPr>
          <w:rFonts w:ascii="Times New Roman" w:cs="Times New Roman" w:hAnsi="Times New Roman"/>
          <w:color w:val="000000"/>
          <w:sz w:val="28"/>
          <w:szCs w:val="28"/>
          <w:lang w:val="en-US"/>
        </w:rPr>
        <w:t>gag</w:t>
      </w:r>
      <w:r>
        <w:rPr>
          <w:rFonts w:ascii="Times New Roman" w:cs="Times New Roman" w:hAnsi="Times New Roman"/>
          <w:color w:val="000000"/>
          <w:sz w:val="28"/>
          <w:szCs w:val="28"/>
        </w:rPr>
        <w:t>.</w:t>
      </w:r>
      <w:r>
        <w:rPr>
          <w:rFonts w:ascii="Times New Roman" w:cs="Times New Roman" w:hAnsi="Times New Roman"/>
          <w:color w:val="000000"/>
          <w:sz w:val="28"/>
          <w:szCs w:val="28"/>
          <w:lang w:val="en-US"/>
        </w:rPr>
        <w:t>com</w:t>
      </w:r>
      <w:r>
        <w:rPr>
          <w:rFonts w:ascii="Times New Roman" w:cs="Times New Roman" w:hAnsi="Times New Roman"/>
          <w:color w:val="000000"/>
          <w:sz w:val="28"/>
          <w:szCs w:val="28"/>
        </w:rPr>
        <w:t>, компания получила заказы из более чем 17 стран, что значительно расширило географию продаж.</w:t>
      </w:r>
    </w:p>
    <w:p w14:paraId="00000195">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Пандемия </w:t>
      </w:r>
      <w:r>
        <w:rPr>
          <w:rFonts w:ascii="Times New Roman" w:cs="Times New Roman" w:hAnsi="Times New Roman"/>
          <w:color w:val="000000"/>
          <w:sz w:val="28"/>
          <w:szCs w:val="28"/>
          <w:lang w:val="en-US"/>
        </w:rPr>
        <w:t>COVID</w:t>
      </w:r>
      <w:r>
        <w:rPr>
          <w:rFonts w:ascii="Times New Roman" w:cs="Times New Roman" w:hAnsi="Times New Roman"/>
          <w:color w:val="000000"/>
          <w:sz w:val="28"/>
          <w:szCs w:val="28"/>
        </w:rPr>
        <w:t xml:space="preserve">-19 стала неожиданной возможностью для роста. Локдауны и самоизоляция повысили спрос на пазлы как домашнее развлечение, что позволило </w:t>
      </w:r>
      <w:r>
        <w:rPr>
          <w:rFonts w:ascii="Times New Roman" w:cs="Times New Roman" w:hAnsi="Times New Roman"/>
          <w:color w:val="000000"/>
          <w:sz w:val="28"/>
          <w:szCs w:val="28"/>
          <w:lang w:val="en-US"/>
        </w:rPr>
        <w:t>Unidragon</w:t>
      </w:r>
      <w:r>
        <w:rPr>
          <w:rFonts w:ascii="Times New Roman" w:cs="Times New Roman" w:hAnsi="Times New Roman"/>
          <w:color w:val="000000"/>
          <w:sz w:val="28"/>
          <w:szCs w:val="28"/>
        </w:rPr>
        <w:t xml:space="preserve"> увеличить продажи в США до нескольких тысяч долларов в день и выйти на операционную прибыль уже в </w:t>
      </w:r>
      <w:r>
        <w:rPr>
          <w:rFonts w:ascii="Times New Roman" w:cs="Times New Roman" w:hAnsi="Times New Roman"/>
          <w:color w:val="000000"/>
          <w:sz w:val="28"/>
          <w:szCs w:val="28"/>
        </w:rPr>
        <w:t>2020 году. Это</w:t>
      </w:r>
      <w:r>
        <w:rPr>
          <w:rFonts w:ascii="Times New Roman" w:cs="Times New Roman" w:hAnsi="Times New Roman"/>
          <w:color w:val="000000"/>
          <w:sz w:val="28"/>
          <w:szCs w:val="28"/>
        </w:rPr>
        <w:t xml:space="preserve"> обстоятельство дало толчок к масштабированию производства и расширению команды.</w:t>
      </w:r>
    </w:p>
    <w:p w14:paraId="00000196">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Также – оптимизация логистики и снижение таможенных барьеров. Компания зарегистрировала юридическое лицо в Ирландии, что позволило избежать высоких таможенных пошлин при прода</w:t>
      </w:r>
      <w:r>
        <w:rPr>
          <w:rFonts w:ascii="Times New Roman" w:cs="Times New Roman" w:hAnsi="Times New Roman"/>
          <w:color w:val="000000"/>
          <w:sz w:val="28"/>
          <w:szCs w:val="28"/>
        </w:rPr>
        <w:t>же в Европе и США, сделав продукцию более конкурентоспособной по цене</w:t>
      </w:r>
      <w:r>
        <w:rPr>
          <w:rFonts w:ascii="Times New Roman" w:cs="Times New Roman" w:hAnsi="Times New Roman"/>
          <w:color w:val="000000"/>
          <w:sz w:val="28"/>
          <w:szCs w:val="28"/>
        </w:rPr>
        <w:t xml:space="preserve">. Партнёрство с </w:t>
      </w:r>
      <w:r>
        <w:rPr>
          <w:rFonts w:ascii="Times New Roman" w:cs="Times New Roman" w:hAnsi="Times New Roman"/>
          <w:color w:val="000000"/>
          <w:sz w:val="28"/>
          <w:szCs w:val="28"/>
          <w:lang w:val="en-US"/>
        </w:rPr>
        <w:t>DHL</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lang w:val="en-US"/>
        </w:rPr>
        <w:t>Express</w:t>
      </w:r>
      <w:r>
        <w:rPr>
          <w:rFonts w:ascii="Times New Roman" w:cs="Times New Roman" w:hAnsi="Times New Roman"/>
          <w:color w:val="000000"/>
          <w:sz w:val="28"/>
          <w:szCs w:val="28"/>
        </w:rPr>
        <w:t xml:space="preserve"> обеспечило надёжную и быструю</w:t>
      </w:r>
      <w:r>
        <w:rPr>
          <w:rFonts w:ascii="Times New Roman" w:cs="Times New Roman" w:hAnsi="Times New Roman"/>
          <w:color w:val="000000"/>
          <w:sz w:val="28"/>
          <w:szCs w:val="28"/>
        </w:rPr>
        <w:t xml:space="preserve"> доставку, что повысило удовлетворённость клиентов и укрепило репутацию бренда [9].</w:t>
      </w:r>
    </w:p>
    <w:p w14:paraId="00000197">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Четвёртая возможность связана с уникальностью продукта и гибкостью производства. </w:t>
      </w:r>
      <w:r>
        <w:rPr>
          <w:rFonts w:ascii="Times New Roman" w:cs="Times New Roman" w:hAnsi="Times New Roman"/>
          <w:color w:val="000000"/>
          <w:sz w:val="28"/>
          <w:szCs w:val="28"/>
          <w:lang w:val="en-US"/>
        </w:rPr>
        <w:t>Unidragon</w:t>
      </w:r>
      <w:r>
        <w:rPr>
          <w:rFonts w:ascii="Times New Roman" w:cs="Times New Roman" w:hAnsi="Times New Roman"/>
          <w:color w:val="000000"/>
          <w:sz w:val="28"/>
          <w:szCs w:val="28"/>
        </w:rPr>
        <w:t xml:space="preserve"> смогла сохранить высокое качество и эксклюзивность деревянных пазлов, одновременно оп</w:t>
      </w:r>
      <w:r>
        <w:rPr>
          <w:rFonts w:ascii="Times New Roman" w:cs="Times New Roman" w:hAnsi="Times New Roman"/>
          <w:color w:val="000000"/>
          <w:sz w:val="28"/>
          <w:szCs w:val="28"/>
        </w:rPr>
        <w:t>тимизируя производство – например, заменив дорогие магнитные коробки на более доступные из ХДФ, что снизило себестоимость без потери привлекательности товара. Это позволило компании успешно конкурировать с зарубежными производителями и расширять ассортимен</w:t>
      </w:r>
      <w:r>
        <w:rPr>
          <w:rFonts w:ascii="Times New Roman" w:cs="Times New Roman" w:hAnsi="Times New Roman"/>
          <w:color w:val="000000"/>
          <w:sz w:val="28"/>
          <w:szCs w:val="28"/>
        </w:rPr>
        <w:t>т.</w:t>
      </w:r>
    </w:p>
    <w:p w14:paraId="00000198">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Наконец, цифровая аналитика и системный подход к выбору продуктов и рынков помогли </w:t>
      </w:r>
      <w:r>
        <w:rPr>
          <w:rFonts w:ascii="Times New Roman" w:cs="Times New Roman" w:hAnsi="Times New Roman"/>
          <w:color w:val="000000"/>
          <w:sz w:val="28"/>
          <w:szCs w:val="28"/>
          <w:lang w:val="en-US"/>
        </w:rPr>
        <w:t>Unidragon</w:t>
      </w:r>
      <w:r>
        <w:rPr>
          <w:rFonts w:ascii="Times New Roman" w:cs="Times New Roman" w:hAnsi="Times New Roman"/>
          <w:color w:val="000000"/>
          <w:sz w:val="28"/>
          <w:szCs w:val="28"/>
        </w:rPr>
        <w:t xml:space="preserve"> определить приоритетные направления для развития – Германия, Великобритания, Япония и Канада – и планировать выход на новые сегменты, включая картонные пазлы, г</w:t>
      </w:r>
      <w:r>
        <w:rPr>
          <w:rFonts w:ascii="Times New Roman" w:cs="Times New Roman" w:hAnsi="Times New Roman"/>
          <w:color w:val="000000"/>
          <w:sz w:val="28"/>
          <w:szCs w:val="28"/>
        </w:rPr>
        <w:t>де компания видит значительный потенциал роста.</w:t>
      </w:r>
    </w:p>
    <w:p w14:paraId="00000199">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В итоге опыт компании </w:t>
      </w:r>
      <w:r>
        <w:rPr>
          <w:rFonts w:ascii="Times New Roman" w:cs="Times New Roman" w:hAnsi="Times New Roman"/>
          <w:color w:val="000000"/>
          <w:sz w:val="28"/>
          <w:szCs w:val="28"/>
          <w:lang w:val="en-US"/>
        </w:rPr>
        <w:t>Unidragon</w:t>
      </w:r>
      <w:r>
        <w:rPr>
          <w:rFonts w:ascii="Times New Roman" w:cs="Times New Roman" w:hAnsi="Times New Roman"/>
          <w:color w:val="000000"/>
          <w:sz w:val="28"/>
          <w:szCs w:val="28"/>
        </w:rPr>
        <w:t xml:space="preserve"> подтверждает, что российские экспортеры могут успешно использовать возможности онлайн-торговли для выхода на зарубежные рынки. Высокое качество продукции, грамотная маркетингов</w:t>
      </w:r>
      <w:r>
        <w:rPr>
          <w:rFonts w:ascii="Times New Roman" w:cs="Times New Roman" w:hAnsi="Times New Roman"/>
          <w:color w:val="000000"/>
          <w:sz w:val="28"/>
          <w:szCs w:val="28"/>
        </w:rPr>
        <w:t xml:space="preserve">ая стратегия и продуманная логистика становятся ключевыми факторами успеха в условиях глобальной конкуренции. </w:t>
      </w:r>
    </w:p>
    <w:p w14:paraId="0000019A">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28"/>
        </w:rPr>
      </w:pPr>
      <w:r>
        <w:rPr>
          <w:rFonts w:ascii="Times New Roman" w:cs="Times New Roman" w:hAnsi="Times New Roman"/>
          <w:color w:val="000000"/>
          <w:sz w:val="28"/>
          <w:szCs w:val="28"/>
        </w:rPr>
        <w:t>Это позволяет расширять географию продаж, увеличивать прибыль и укреплять позиции российских компаний в международной электронной коммерции.</w:t>
      </w:r>
    </w:p>
    <w:p w14:paraId="0000019B">
      <w:pPr>
        <w:spacing w:line="360" w:lineRule="auto"/>
        <w:ind w:firstLine="709"/>
        <w:jc w:val="both"/>
        <w:rPr/>
      </w:pPr>
    </w:p>
    <w:p w14:paraId="0000019C">
      <w:pPr>
        <w:pStyle w:val="BodyTextIndent3"/>
        <w:spacing w:before="0" w:after="160" w:line="278" w:lineRule="auto"/>
        <w:rPr/>
      </w:pPr>
      <w:r>
        <w:t xml:space="preserve">2.3 </w:t>
      </w:r>
      <w:r>
        <w:t>Разработка рекомендаций по оптимизации онлайн-экспорта для российских компаний</w:t>
      </w:r>
    </w:p>
    <w:p w14:paraId="0000019D">
      <w:pPr>
        <w:ind w:firstLine="709"/>
        <w:rPr>
          <w:rFonts w:ascii="Times New Roman" w:cs="Times New Roman" w:hAnsi="Times New Roman"/>
          <w:b/>
          <w:bCs/>
          <w:sz w:val="28"/>
          <w:szCs w:val="28"/>
        </w:rPr>
      </w:pPr>
    </w:p>
    <w:p w14:paraId="0000019E">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34"/>
        </w:rPr>
      </w:pPr>
      <w:r>
        <w:rPr>
          <w:rFonts w:ascii="Times New Roman" w:cs="Times New Roman" w:hAnsi="Times New Roman"/>
          <w:color w:val="000000"/>
          <w:sz w:val="28"/>
          <w:szCs w:val="34"/>
        </w:rPr>
        <w:t>Прежде чем перейти к конкретным рекомендациям по оптимизации онлайн-экспорта для российских компаний, важно отметить, что успешное развитие экспортной деятельности в современных условиях требует комплексного подхода. Он включает в себя не только использова</w:t>
      </w:r>
      <w:r>
        <w:rPr>
          <w:rFonts w:ascii="Times New Roman" w:cs="Times New Roman" w:hAnsi="Times New Roman"/>
          <w:color w:val="000000"/>
          <w:sz w:val="28"/>
          <w:szCs w:val="34"/>
        </w:rPr>
        <w:t xml:space="preserve">ние цифровых технологий и платформ, но и совершенствование внутренней инфраструктуры, выбор перспективных рынков, снижение административных барьеров, повышение квалификации специалистов и активное продвижение национального бренда. </w:t>
      </w:r>
    </w:p>
    <w:p w14:paraId="0000019F">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34"/>
        </w:rPr>
      </w:pPr>
      <w:r>
        <w:rPr>
          <w:rFonts w:ascii="Times New Roman" w:cs="Times New Roman" w:hAnsi="Times New Roman"/>
          <w:color w:val="000000"/>
          <w:sz w:val="28"/>
          <w:szCs w:val="34"/>
        </w:rPr>
        <w:t xml:space="preserve">Ниже в таблице </w:t>
      </w:r>
      <w:r>
        <w:rPr>
          <w:rFonts w:ascii="Times New Roman" w:cs="Times New Roman" w:hAnsi="Times New Roman"/>
          <w:color w:val="000000"/>
          <w:sz w:val="28"/>
          <w:szCs w:val="34"/>
        </w:rPr>
        <w:t>8</w:t>
      </w:r>
      <w:r>
        <w:rPr>
          <w:rFonts w:ascii="Times New Roman" w:cs="Times New Roman" w:hAnsi="Times New Roman"/>
          <w:color w:val="000000"/>
          <w:sz w:val="28"/>
          <w:szCs w:val="34"/>
        </w:rPr>
        <w:t xml:space="preserve"> представлены ключевые направления и практические рекомендации, которые помогут российским экспортёрам повысить эффективность своей деятельности и успешно выйти на международные рынки </w:t>
      </w:r>
    </w:p>
    <w:p w14:paraId="000001A0">
      <w:pPr>
        <w:pBdr>
          <w:top w:val="none" w:sz="4" w:space="0"/>
          <w:left w:val="none" w:sz="4" w:space="0"/>
          <w:bottom w:val="none" w:sz="4" w:space="0"/>
          <w:right w:val="none" w:sz="4" w:space="0"/>
          <w:between w:val="none" w:sz="4" w:space="0"/>
          <w:bar w:val="none" w:sz="4" w:space="0"/>
        </w:pBdr>
        <w:spacing w:after="0" w:line="360" w:lineRule="auto"/>
        <w:ind w:firstLine="709"/>
        <w:jc w:val="both"/>
        <w:rPr>
          <w:rFonts w:ascii="Times New Roman" w:cs="Times New Roman" w:hAnsi="Times New Roman"/>
          <w:color w:val="000000"/>
          <w:sz w:val="28"/>
          <w:szCs w:val="34"/>
        </w:rPr>
      </w:pPr>
    </w:p>
    <w:p w14:paraId="000001A1">
      <w:pPr>
        <w:pBdr>
          <w:top w:val="none" w:sz="4" w:space="0"/>
          <w:left w:val="none" w:sz="4" w:space="0"/>
          <w:bottom w:val="none" w:sz="4" w:space="0"/>
          <w:right w:val="none" w:sz="4" w:space="0"/>
          <w:between w:val="none" w:sz="4" w:space="0"/>
          <w:bar w:val="none" w:sz="4" w:space="0"/>
        </w:pBdr>
        <w:tabs>
          <w:tab w:val="left" w:pos="0"/>
        </w:tabs>
        <w:spacing w:after="0" w:line="240" w:lineRule="auto"/>
        <w:rPr>
          <w:rFonts w:ascii="Times New Roman" w:cs="Times New Roman" w:hAnsi="Times New Roman"/>
          <w:sz w:val="28"/>
          <w:szCs w:val="28"/>
        </w:rPr>
      </w:pPr>
      <w:r>
        <w:rPr>
          <w:rFonts w:ascii="Times New Roman" w:cs="Times New Roman" w:hAnsi="Times New Roman"/>
          <w:sz w:val="28"/>
          <w:szCs w:val="28"/>
        </w:rPr>
        <w:t>Таблица 8</w:t>
      </w:r>
      <w:r>
        <w:rPr>
          <w:rFonts w:ascii="Times New Roman" w:cs="Times New Roman" w:hAnsi="Times New Roman"/>
          <w:color w:val="000000"/>
          <w:sz w:val="28"/>
          <w:szCs w:val="28"/>
        </w:rPr>
        <w:t>–Основные меры по улучшению онлайн-экспорта российских компан</w:t>
      </w:r>
      <w:r>
        <w:rPr>
          <w:rFonts w:ascii="Times New Roman" w:cs="Times New Roman" w:hAnsi="Times New Roman"/>
          <w:color w:val="000000"/>
          <w:sz w:val="28"/>
          <w:szCs w:val="28"/>
        </w:rPr>
        <w:t>ий [23].</w:t>
      </w:r>
    </w:p>
    <w:tbl>
      <w:tblPr>
        <w:tblW w:w="9363" w:type="dxa"/>
        <w:tblInd w:w="7" w:type="dxa"/>
        <w:tblBorders>
          <w:top w:val="single" w:color="e5e7eb" w:sz="6" w:space="0"/>
          <w:left w:val="single" w:color="e5e7eb" w:sz="6" w:space="0"/>
          <w:bottom w:val="single" w:color="e5e7eb" w:sz="6" w:space="0"/>
          <w:right w:val="single" w:color="e5e7eb" w:sz="6" w:space="0"/>
          <w:insideH w:val="single" w:color="e5e7eb" w:sz="6" w:space="0"/>
          <w:insideV w:val="single" w:color="e5e7eb" w:sz="6" w:space="0"/>
        </w:tblBorders>
        <w:tblLayout w:type="fixed"/>
        <w:tblCellMar>
          <w:top w:w="10" w:type="dxa"/>
          <w:left w:w="10" w:type="dxa"/>
          <w:bottom w:w="10" w:type="dxa"/>
          <w:right w:w="10" w:type="dxa"/>
        </w:tblCellMar>
        <w:tblLook w:val="04A0"/>
      </w:tblPr>
      <w:tblGrid>
        <w:gridCol w:w="2696"/>
        <w:gridCol w:w="3915"/>
        <w:gridCol w:w="2752"/>
      </w:tblGrid>
      <w:tr>
        <w:trPr/>
        <w:tc>
          <w:tcPr>
            <w:cnfStyle w:val="101000000000"/>
            <w:tcW w:w="2696" w:type="dxa"/>
            <w:tcBorders>
              <w:top w:val="single" w:color="auto" w:sz="4" w:space="0"/>
              <w:left w:val="single" w:color="auto" w:sz="4" w:space="0"/>
              <w:bottom w:val="single" w:color="auto" w:sz="4" w:space="0"/>
              <w:right w:val="single" w:color="auto" w:sz="4" w:space="0"/>
            </w:tcBorders>
          </w:tcPr>
          <w:p w14:paraId="000001A2">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Направление оптимизации</w:t>
            </w:r>
          </w:p>
        </w:tc>
        <w:tc>
          <w:tcPr>
            <w:cnfStyle w:val="100000000000"/>
            <w:tcW w:w="3915" w:type="dxa"/>
            <w:tcBorders>
              <w:top w:val="single" w:color="auto" w:sz="4" w:space="0"/>
              <w:left w:val="single" w:color="auto" w:sz="4" w:space="0"/>
              <w:bottom w:val="single" w:color="auto" w:sz="4" w:space="0"/>
              <w:right w:val="single" w:color="auto" w:sz="4" w:space="0"/>
            </w:tcBorders>
          </w:tcPr>
          <w:p w14:paraId="000001A3">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Описание и преимущества</w:t>
            </w:r>
          </w:p>
        </w:tc>
        <w:tc>
          <w:tcPr>
            <w:cnfStyle w:val="100000000000"/>
            <w:tcW w:w="2752" w:type="dxa"/>
            <w:tcBorders>
              <w:top w:val="single" w:color="auto" w:sz="4" w:space="0"/>
              <w:left w:val="single" w:color="auto" w:sz="4" w:space="0"/>
              <w:bottom w:val="single" w:color="auto" w:sz="4" w:space="0"/>
              <w:right w:val="single" w:color="auto" w:sz="4" w:space="0"/>
            </w:tcBorders>
          </w:tcPr>
          <w:p w14:paraId="000001A4">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color w:val="000000"/>
                <w:lang w:val="en-US"/>
              </w:rPr>
            </w:pPr>
            <w:r>
              <w:rPr>
                <w:rFonts w:ascii="Times New Roman" w:cs="Times New Roman" w:hAnsi="Times New Roman"/>
                <w:color w:val="000000"/>
                <w:lang w:val="en-US"/>
              </w:rPr>
              <w:t>Рекомендации</w:t>
            </w:r>
          </w:p>
        </w:tc>
      </w:tr>
      <w:tr>
        <w:trPr/>
        <w:tc>
          <w:tcPr>
            <w:cnfStyle w:val="001000100000"/>
            <w:tcW w:w="2696" w:type="dxa"/>
            <w:tcBorders>
              <w:top w:val="single" w:color="auto" w:sz="4" w:space="0"/>
              <w:left w:val="single" w:color="auto" w:sz="4" w:space="0"/>
              <w:bottom w:val="single" w:color="auto" w:sz="4" w:space="0"/>
              <w:right w:val="single" w:color="auto" w:sz="4" w:space="0"/>
            </w:tcBorders>
          </w:tcPr>
          <w:p w14:paraId="000001A5">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rFonts w:ascii="Times New Roman" w:cs="Times New Roman" w:hAnsi="Times New Roman"/>
                <w:b w:val="off"/>
                <w:bCs w:val="off"/>
                <w:color w:val="000000"/>
              </w:rPr>
              <w:t>1. Активное использование цифровых платформ и сервисов поддержки</w:t>
            </w:r>
          </w:p>
        </w:tc>
        <w:tc>
          <w:tcPr>
            <w:cnfStyle w:val="000000100000"/>
            <w:tcW w:w="3915" w:type="dxa"/>
            <w:tcBorders>
              <w:top w:val="single" w:color="auto" w:sz="4" w:space="0"/>
              <w:left w:val="single" w:color="auto" w:sz="4" w:space="0"/>
              <w:bottom w:val="single" w:color="auto" w:sz="4" w:space="0"/>
              <w:right w:val="single" w:color="auto" w:sz="4" w:space="0"/>
            </w:tcBorders>
          </w:tcPr>
          <w:p w14:paraId="000001A6">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lang w:val="en-US"/>
              </w:rPr>
            </w:pPr>
            <w:r>
              <w:rPr>
                <w:rFonts w:ascii="Times New Roman" w:cs="Times New Roman" w:hAnsi="Times New Roman"/>
                <w:b w:val="off"/>
                <w:bCs w:val="off"/>
                <w:color w:val="000000"/>
              </w:rPr>
              <w:t xml:space="preserve">Платформа «Мой экспорт» от РЭЦ предоставляет инструменты для оформления документов, получения лицензий, поиска рынков и покупателей, участия в выставках и миссиях. </w:t>
            </w:r>
            <w:r>
              <w:rPr>
                <w:rFonts w:ascii="Times New Roman" w:cs="Times New Roman" w:hAnsi="Times New Roman"/>
                <w:b w:val="off"/>
                <w:bCs w:val="off"/>
                <w:color w:val="000000"/>
                <w:lang w:val="en-US"/>
              </w:rPr>
              <w:t>Сокращает административные издержки и ускоряет выход на зарубежные рынки.</w:t>
            </w:r>
          </w:p>
        </w:tc>
        <w:tc>
          <w:tcPr>
            <w:cnfStyle w:val="000000100000"/>
            <w:tcW w:w="2752" w:type="dxa"/>
            <w:tcBorders>
              <w:top w:val="single" w:color="auto" w:sz="4" w:space="0"/>
              <w:left w:val="single" w:color="auto" w:sz="4" w:space="0"/>
              <w:bottom w:val="single" w:color="auto" w:sz="4" w:space="0"/>
              <w:right w:val="single" w:color="auto" w:sz="4" w:space="0"/>
            </w:tcBorders>
          </w:tcPr>
          <w:p w14:paraId="000001A7">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rFonts w:ascii="Times New Roman" w:cs="Times New Roman" w:hAnsi="Times New Roman"/>
                <w:b w:val="off"/>
                <w:bCs w:val="off"/>
                <w:color w:val="000000"/>
              </w:rPr>
              <w:t>- Зарегистрировать</w:t>
            </w:r>
            <w:r>
              <w:rPr>
                <w:rFonts w:ascii="Times New Roman" w:cs="Times New Roman" w:hAnsi="Times New Roman"/>
                <w:b w:val="off"/>
                <w:bCs w:val="off"/>
                <w:color w:val="000000"/>
              </w:rPr>
              <w:t>ся на «Мой экспорт» и регулярно пользоваться сервисами.</w:t>
            </w:r>
            <w:r>
              <w:rPr>
                <w:rFonts w:ascii="Times New Roman" w:cs="Times New Roman" w:hAnsi="Times New Roman"/>
                <w:b w:val="off"/>
                <w:bCs w:val="off"/>
                <w:color w:val="000000"/>
              </w:rPr>
              <w:br w:type="textWrapping"/>
            </w:r>
            <w:r>
              <w:rPr>
                <w:rFonts w:ascii="Times New Roman" w:cs="Times New Roman" w:hAnsi="Times New Roman"/>
                <w:b w:val="off"/>
                <w:bCs w:val="off"/>
                <w:color w:val="000000"/>
              </w:rPr>
              <w:t>- Участвовать в международных выставках и бизнес-миссиях через платформу.</w:t>
            </w:r>
          </w:p>
        </w:tc>
      </w:tr>
      <w:tr>
        <w:trPr/>
        <w:tc>
          <w:tcPr>
            <w:cnfStyle w:val="001000010000"/>
            <w:tcW w:w="2696" w:type="dxa"/>
            <w:tcBorders>
              <w:top w:val="single" w:color="auto" w:sz="4" w:space="0"/>
              <w:left w:val="single" w:color="auto" w:sz="4" w:space="0"/>
              <w:bottom w:val="single" w:color="auto" w:sz="4" w:space="0"/>
              <w:right w:val="single" w:color="auto" w:sz="4" w:space="0"/>
            </w:tcBorders>
          </w:tcPr>
          <w:p w14:paraId="000001A8">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b w:val="off"/>
                <w:bCs w:val="off"/>
              </w:rPr>
              <w:t>2. Оптимизация цифровой инфраструктуры компании</w:t>
            </w:r>
          </w:p>
        </w:tc>
        <w:tc>
          <w:tcPr>
            <w:cnfStyle w:val="000000010000"/>
            <w:tcW w:w="3915" w:type="dxa"/>
            <w:tcBorders>
              <w:top w:val="single" w:color="auto" w:sz="4" w:space="0"/>
              <w:left w:val="single" w:color="auto" w:sz="4" w:space="0"/>
              <w:bottom w:val="single" w:color="auto" w:sz="4" w:space="0"/>
              <w:right w:val="single" w:color="auto" w:sz="4" w:space="0"/>
            </w:tcBorders>
          </w:tcPr>
          <w:p w14:paraId="000001A9">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b w:val="off"/>
                <w:bCs w:val="off"/>
              </w:rPr>
              <w:t>Интеграция с маркетплейсами, CRM, аналитикой и логистическими сервисами повышает скорость обработки заказов, улучшает клиентский опыт и снижает операционные расходы.</w:t>
            </w:r>
          </w:p>
        </w:tc>
        <w:tc>
          <w:tcPr>
            <w:cnfStyle w:val="000000010000"/>
            <w:tcW w:w="2752" w:type="dxa"/>
            <w:tcBorders>
              <w:top w:val="single" w:color="auto" w:sz="4" w:space="0"/>
              <w:left w:val="single" w:color="auto" w:sz="4" w:space="0"/>
              <w:bottom w:val="single" w:color="auto" w:sz="4" w:space="0"/>
              <w:right w:val="single" w:color="auto" w:sz="4" w:space="0"/>
            </w:tcBorders>
          </w:tcPr>
          <w:p w14:paraId="000001AA">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b w:val="off"/>
                <w:bCs w:val="off"/>
              </w:rPr>
              <w:t>- Внедрять автоматизированные системы управления заказами и складом.</w:t>
            </w:r>
          </w:p>
        </w:tc>
      </w:tr>
    </w:tbl>
    <w:p w14:paraId="000001AB">
      <w:pPr>
        <w:rPr>
          <w:rFonts w:ascii="Times New Roman" w:cs="Times New Roman" w:hAnsi="Times New Roman"/>
          <w:b w:val="off"/>
          <w:bCs w:val="off"/>
          <w:sz w:val="28"/>
          <w:szCs w:val="28"/>
        </w:rPr>
      </w:pPr>
    </w:p>
    <w:p w14:paraId="000001AC">
      <w:pPr>
        <w:rPr>
          <w:rFonts w:ascii="Times New Roman" w:cs="Times New Roman" w:hAnsi="Times New Roman"/>
          <w:b w:val="off"/>
          <w:bCs w:val="off"/>
          <w:sz w:val="28"/>
          <w:szCs w:val="28"/>
        </w:rPr>
      </w:pPr>
    </w:p>
    <w:p w14:paraId="000001AD">
      <w:pPr>
        <w:rPr>
          <w:rFonts w:ascii="Times New Roman" w:cs="Times New Roman" w:hAnsi="Times New Roman"/>
          <w:b w:val="off"/>
          <w:bCs w:val="off"/>
          <w:sz w:val="28"/>
          <w:szCs w:val="28"/>
          <w:lang w:val="en-US"/>
        </w:rPr>
      </w:pPr>
      <w:r>
        <w:rPr>
          <w:rFonts w:ascii="Times New Roman" w:cs="Times New Roman" w:hAnsi="Times New Roman"/>
          <w:b w:val="off"/>
          <w:bCs w:val="off"/>
          <w:sz w:val="28"/>
          <w:szCs w:val="28"/>
        </w:rPr>
        <w:t>Продолжение таблицы 8</w:t>
      </w:r>
    </w:p>
    <w:tbl>
      <w:tblPr>
        <w:tblpPr w:leftFromText="187" w:rightFromText="187" w:vertAnchor="page" w:horzAnchor="page" w:tblpX="1755" w:tblpY="1670"/>
        <w:tblOverlap w:val="never"/>
        <w:tblW w:w="9363" w:type="dxa"/>
        <w:tblBorders>
          <w:top w:val="single" w:color="e5e7eb" w:sz="6" w:space="0"/>
          <w:left w:val="single" w:color="e5e7eb" w:sz="6" w:space="0"/>
          <w:bottom w:val="single" w:color="e5e7eb" w:sz="6" w:space="0"/>
          <w:right w:val="single" w:color="e5e7eb" w:sz="6" w:space="0"/>
          <w:insideH w:val="single" w:color="e5e7eb" w:sz="6" w:space="0"/>
          <w:insideV w:val="single" w:color="e5e7eb" w:sz="6" w:space="0"/>
        </w:tblBorders>
        <w:tblLayout w:type="fixed"/>
        <w:tblCellMar>
          <w:top w:w="10" w:type="dxa"/>
          <w:left w:w="10" w:type="dxa"/>
          <w:bottom w:w="10" w:type="dxa"/>
          <w:right w:w="10" w:type="dxa"/>
        </w:tblCellMar>
        <w:tblLook w:val="04A0"/>
      </w:tblPr>
      <w:tblGrid>
        <w:gridCol w:w="2696"/>
        <w:gridCol w:w="3915"/>
        <w:gridCol w:w="2752"/>
      </w:tblGrid>
      <w:tr>
        <w:trPr>
          <w:cnfStyle w:val="100000000000"/>
        </w:trPr>
        <w:tc>
          <w:tcPr>
            <w:cnfStyle w:val="101000000000"/>
            <w:tcW w:w="2696" w:type="dxa"/>
            <w:tcBorders>
              <w:top w:val="single" w:color="auto" w:sz="4" w:space="0"/>
              <w:left w:val="single" w:color="auto" w:sz="4" w:space="0"/>
              <w:bottom w:val="single" w:color="auto" w:sz="4" w:space="0"/>
              <w:right w:val="single" w:color="auto" w:sz="4" w:space="0"/>
            </w:tcBorders>
          </w:tcPr>
          <w:p w14:paraId="000001AE">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rFonts w:ascii="Times New Roman" w:cs="Times New Roman" w:hAnsi="Times New Roman"/>
                <w:color w:val="000000"/>
                <w:lang w:val="en-US"/>
              </w:rPr>
              <w:t>Направление оптимизации</w:t>
            </w:r>
          </w:p>
        </w:tc>
        <w:tc>
          <w:tcPr>
            <w:cnfStyle w:val="100000000000"/>
            <w:tcW w:w="3915" w:type="dxa"/>
            <w:tcBorders>
              <w:top w:val="single" w:color="auto" w:sz="4" w:space="0"/>
              <w:left w:val="single" w:color="auto" w:sz="4" w:space="0"/>
              <w:bottom w:val="single" w:color="auto" w:sz="4" w:space="0"/>
              <w:right w:val="single" w:color="auto" w:sz="4" w:space="0"/>
            </w:tcBorders>
          </w:tcPr>
          <w:p w14:paraId="000001AF">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rFonts w:ascii="Times New Roman" w:cs="Times New Roman" w:hAnsi="Times New Roman"/>
                <w:color w:val="000000"/>
                <w:lang w:val="en-US"/>
              </w:rPr>
              <w:t>Описание и преимущества</w:t>
            </w:r>
          </w:p>
        </w:tc>
        <w:tc>
          <w:tcPr>
            <w:cnfStyle w:val="100000000000"/>
            <w:tcW w:w="2752" w:type="dxa"/>
            <w:tcBorders>
              <w:top w:val="single" w:color="auto" w:sz="4" w:space="0"/>
              <w:left w:val="single" w:color="auto" w:sz="4" w:space="0"/>
              <w:bottom w:val="single" w:color="auto" w:sz="4" w:space="0"/>
              <w:right w:val="single" w:color="auto" w:sz="4" w:space="0"/>
            </w:tcBorders>
          </w:tcPr>
          <w:p w14:paraId="000001B0">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rFonts w:ascii="Times New Roman" w:cs="Times New Roman" w:hAnsi="Times New Roman"/>
                <w:color w:val="000000"/>
                <w:lang w:val="en-US"/>
              </w:rPr>
              <w:t>Рекомендации</w:t>
            </w:r>
          </w:p>
        </w:tc>
      </w:tr>
      <w:tr>
        <w:trPr>
          <w:cnfStyle w:val="000000100000"/>
        </w:trPr>
        <w:tc>
          <w:tcPr>
            <w:cnfStyle w:val="001000100000"/>
            <w:tcW w:w="2696" w:type="dxa"/>
            <w:tcBorders>
              <w:top w:val="single" w:color="auto" w:sz="4" w:space="0"/>
              <w:left w:val="single" w:color="auto" w:sz="4" w:space="0"/>
              <w:bottom w:val="single" w:color="auto" w:sz="4" w:space="0"/>
              <w:right w:val="single" w:color="auto" w:sz="4" w:space="0"/>
            </w:tcBorders>
          </w:tcPr>
          <w:p w14:paraId="000001B1">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rFonts w:ascii="Times New Roman" w:cs="Times New Roman" w:hAnsi="Times New Roman"/>
                <w:b w:val="off"/>
                <w:bCs w:val="off"/>
                <w:color w:val="000000"/>
              </w:rPr>
              <w:t>3. Фокус на перспективных рынках и сегментах</w:t>
            </w:r>
          </w:p>
        </w:tc>
        <w:tc>
          <w:tcPr>
            <w:cnfStyle w:val="000000100000"/>
            <w:tcW w:w="3915" w:type="dxa"/>
            <w:tcBorders>
              <w:top w:val="single" w:color="auto" w:sz="4" w:space="0"/>
              <w:left w:val="single" w:color="auto" w:sz="4" w:space="0"/>
              <w:bottom w:val="single" w:color="auto" w:sz="4" w:space="0"/>
              <w:right w:val="single" w:color="auto" w:sz="4" w:space="0"/>
            </w:tcBorders>
          </w:tcPr>
          <w:p w14:paraId="000001B2">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rFonts w:ascii="Times New Roman" w:cs="Times New Roman" w:hAnsi="Times New Roman"/>
                <w:b w:val="off"/>
                <w:bCs w:val="off"/>
                <w:color w:val="000000"/>
              </w:rPr>
              <w:t xml:space="preserve">Рост экспорта ИКТ-услуг и высокотехнологичной продукции, ключевые рынки – США, Китай, ЕС и СНГ. </w:t>
            </w:r>
            <w:r>
              <w:rPr>
                <w:rFonts w:ascii="Times New Roman" w:cs="Times New Roman" w:hAnsi="Times New Roman"/>
                <w:b w:val="off"/>
                <w:bCs w:val="off"/>
                <w:color w:val="000000"/>
                <w:lang w:val="en-US"/>
              </w:rPr>
              <w:t>Китай остаётся лидером трансграничной торговли традиционными товарами.</w:t>
            </w:r>
          </w:p>
        </w:tc>
        <w:tc>
          <w:tcPr>
            <w:cnfStyle w:val="000000100000"/>
            <w:tcW w:w="2752" w:type="dxa"/>
            <w:tcBorders>
              <w:top w:val="single" w:color="auto" w:sz="4" w:space="0"/>
              <w:left w:val="single" w:color="auto" w:sz="4" w:space="0"/>
              <w:bottom w:val="single" w:color="auto" w:sz="4" w:space="0"/>
              <w:right w:val="single" w:color="auto" w:sz="4" w:space="0"/>
            </w:tcBorders>
          </w:tcPr>
          <w:p w14:paraId="000001B3">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rFonts w:ascii="Times New Roman" w:cs="Times New Roman" w:hAnsi="Times New Roman"/>
                <w:b w:val="off"/>
                <w:bCs w:val="off"/>
                <w:color w:val="000000"/>
              </w:rPr>
              <w:t xml:space="preserve">- Анализировать и выбирать рынки с </w:t>
            </w:r>
            <w:r>
              <w:rPr>
                <w:rFonts w:ascii="Times New Roman" w:cs="Times New Roman" w:hAnsi="Times New Roman"/>
                <w:b w:val="off"/>
                <w:bCs w:val="off"/>
                <w:color w:val="000000"/>
              </w:rPr>
              <w:t>учётом спроса и нормативных требований.</w:t>
            </w:r>
            <w:r>
              <w:rPr>
                <w:rFonts w:ascii="Times New Roman" w:cs="Times New Roman" w:hAnsi="Times New Roman"/>
                <w:b w:val="off"/>
                <w:bCs w:val="off"/>
                <w:color w:val="000000"/>
              </w:rPr>
              <w:br w:type="textWrapping"/>
            </w:r>
            <w:r>
              <w:rPr>
                <w:rFonts w:ascii="Times New Roman" w:cs="Times New Roman" w:hAnsi="Times New Roman"/>
                <w:b w:val="off"/>
                <w:bCs w:val="off"/>
                <w:color w:val="000000"/>
              </w:rPr>
              <w:t>- Использовать данные аналитических агентств (</w:t>
            </w:r>
            <w:r>
              <w:rPr>
                <w:rFonts w:ascii="Times New Roman" w:cs="Times New Roman" w:hAnsi="Times New Roman"/>
                <w:b w:val="off"/>
                <w:bCs w:val="off"/>
                <w:color w:val="000000"/>
                <w:lang w:val="en-US"/>
              </w:rPr>
              <w:t>Data</w:t>
            </w:r>
            <w:r>
              <w:rPr>
                <w:rFonts w:ascii="Times New Roman" w:cs="Times New Roman" w:hAnsi="Times New Roman"/>
                <w:b w:val="off"/>
                <w:bCs w:val="off"/>
                <w:color w:val="000000"/>
              </w:rPr>
              <w:t xml:space="preserve"> </w:t>
            </w:r>
            <w:r>
              <w:rPr>
                <w:rFonts w:ascii="Times New Roman" w:cs="Times New Roman" w:hAnsi="Times New Roman"/>
                <w:b w:val="off"/>
                <w:bCs w:val="off"/>
                <w:color w:val="000000"/>
                <w:lang w:val="en-US"/>
              </w:rPr>
              <w:t>Insight</w:t>
            </w:r>
            <w:r>
              <w:rPr>
                <w:rFonts w:ascii="Times New Roman" w:cs="Times New Roman" w:hAnsi="Times New Roman"/>
                <w:b w:val="off"/>
                <w:bCs w:val="off"/>
                <w:color w:val="000000"/>
              </w:rPr>
              <w:t xml:space="preserve">). </w:t>
            </w:r>
          </w:p>
        </w:tc>
      </w:tr>
      <w:tr>
        <w:trPr>
          <w:cnfStyle w:val="000000010000"/>
        </w:trPr>
        <w:tc>
          <w:tcPr>
            <w:cnfStyle w:val="001000010000"/>
            <w:tcW w:w="2696" w:type="dxa"/>
            <w:tcBorders>
              <w:top w:val="single" w:color="auto" w:sz="4" w:space="0"/>
              <w:left w:val="single" w:color="auto" w:sz="4" w:space="0"/>
              <w:bottom w:val="single" w:color="auto" w:sz="4" w:space="0"/>
              <w:right w:val="single" w:color="auto" w:sz="4" w:space="0"/>
            </w:tcBorders>
          </w:tcPr>
          <w:p w14:paraId="000001B4">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rFonts w:ascii="Times New Roman" w:cs="Times New Roman" w:hAnsi="Times New Roman"/>
                <w:b w:val="off"/>
                <w:bCs w:val="off"/>
                <w:color w:val="000000"/>
              </w:rPr>
              <w:t>4. Снижение административных барьеров и соблюдение нормативных требований</w:t>
            </w:r>
          </w:p>
        </w:tc>
        <w:tc>
          <w:tcPr>
            <w:cnfStyle w:val="000000010000"/>
            <w:tcW w:w="3915" w:type="dxa"/>
            <w:tcBorders>
              <w:top w:val="single" w:color="auto" w:sz="4" w:space="0"/>
              <w:left w:val="single" w:color="auto" w:sz="4" w:space="0"/>
              <w:bottom w:val="single" w:color="auto" w:sz="4" w:space="0"/>
              <w:right w:val="single" w:color="auto" w:sz="4" w:space="0"/>
            </w:tcBorders>
          </w:tcPr>
          <w:p w14:paraId="000001B5">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rFonts w:ascii="Times New Roman" w:cs="Times New Roman" w:hAnsi="Times New Roman"/>
                <w:b w:val="off"/>
                <w:bCs w:val="off"/>
                <w:color w:val="000000"/>
              </w:rPr>
              <w:t xml:space="preserve">Государственная поддержка упрощает лицензирование, сертификацию и </w:t>
            </w:r>
            <w:r>
              <w:rPr>
                <w:rFonts w:ascii="Times New Roman" w:cs="Times New Roman" w:hAnsi="Times New Roman"/>
                <w:b w:val="off"/>
                <w:bCs w:val="off"/>
                <w:color w:val="000000"/>
              </w:rPr>
              <w:t>таможенное оформление через электронные сервисы, снижая риски и ускоряя процессы.</w:t>
            </w:r>
          </w:p>
        </w:tc>
        <w:tc>
          <w:tcPr>
            <w:cnfStyle w:val="000000010000"/>
            <w:tcW w:w="2752" w:type="dxa"/>
            <w:tcBorders>
              <w:top w:val="single" w:color="auto" w:sz="4" w:space="0"/>
              <w:left w:val="single" w:color="auto" w:sz="4" w:space="0"/>
              <w:bottom w:val="single" w:color="auto" w:sz="4" w:space="0"/>
              <w:right w:val="single" w:color="auto" w:sz="4" w:space="0"/>
            </w:tcBorders>
          </w:tcPr>
          <w:p w14:paraId="000001B6">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rFonts w:ascii="Times New Roman" w:cs="Times New Roman" w:hAnsi="Times New Roman"/>
                <w:b w:val="off"/>
                <w:bCs w:val="off"/>
                <w:color w:val="000000"/>
              </w:rPr>
              <w:t>- Использовать электронные услуги по лицензированию и сертификации.</w:t>
            </w:r>
            <w:r>
              <w:rPr>
                <w:rFonts w:ascii="Times New Roman" w:cs="Times New Roman" w:hAnsi="Times New Roman"/>
                <w:b w:val="off"/>
                <w:bCs w:val="off"/>
                <w:color w:val="000000"/>
              </w:rPr>
              <w:br w:type="textWrapping"/>
            </w:r>
            <w:r>
              <w:rPr>
                <w:rFonts w:ascii="Times New Roman" w:cs="Times New Roman" w:hAnsi="Times New Roman"/>
                <w:b w:val="off"/>
                <w:bCs w:val="off"/>
                <w:color w:val="000000"/>
              </w:rPr>
              <w:t>- Взаимодействовать с профильными органами и использовать государственные программы.</w:t>
            </w:r>
          </w:p>
        </w:tc>
      </w:tr>
      <w:tr>
        <w:trPr>
          <w:cnfStyle w:val="000000100000"/>
        </w:trPr>
        <w:tc>
          <w:tcPr>
            <w:cnfStyle w:val="001000100000"/>
            <w:tcW w:w="2696" w:type="dxa"/>
            <w:tcBorders>
              <w:top w:val="single" w:color="auto" w:sz="4" w:space="0"/>
              <w:left w:val="single" w:color="auto" w:sz="4" w:space="0"/>
              <w:bottom w:val="single" w:color="auto" w:sz="4" w:space="0"/>
              <w:right w:val="single" w:color="auto" w:sz="4" w:space="0"/>
            </w:tcBorders>
          </w:tcPr>
          <w:p w14:paraId="000001B7">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rFonts w:ascii="Times New Roman" w:cs="Times New Roman" w:hAnsi="Times New Roman"/>
                <w:b w:val="off"/>
                <w:bCs w:val="off"/>
                <w:color w:val="000000"/>
              </w:rPr>
              <w:t>5. Повышение квалификации и цифровой грамотности</w:t>
            </w:r>
          </w:p>
        </w:tc>
        <w:tc>
          <w:tcPr>
            <w:cnfStyle w:val="000000100000"/>
            <w:tcW w:w="3915" w:type="dxa"/>
            <w:tcBorders>
              <w:top w:val="single" w:color="auto" w:sz="4" w:space="0"/>
              <w:left w:val="single" w:color="auto" w:sz="4" w:space="0"/>
              <w:bottom w:val="single" w:color="auto" w:sz="4" w:space="0"/>
              <w:right w:val="single" w:color="auto" w:sz="4" w:space="0"/>
            </w:tcBorders>
          </w:tcPr>
          <w:p w14:paraId="000001B8">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rFonts w:ascii="Times New Roman" w:cs="Times New Roman" w:hAnsi="Times New Roman"/>
                <w:b w:val="off"/>
                <w:bCs w:val="off"/>
                <w:color w:val="000000"/>
              </w:rPr>
              <w:t>Знания в области международной торговли, цифровых технологий и маркетинга необходимы для успешного онлайн-экспорта.</w:t>
            </w:r>
          </w:p>
        </w:tc>
        <w:tc>
          <w:tcPr>
            <w:cnfStyle w:val="000000100000"/>
            <w:tcW w:w="2752" w:type="dxa"/>
            <w:tcBorders>
              <w:top w:val="single" w:color="auto" w:sz="4" w:space="0"/>
              <w:left w:val="single" w:color="auto" w:sz="4" w:space="0"/>
              <w:bottom w:val="single" w:color="auto" w:sz="4" w:space="0"/>
              <w:right w:val="single" w:color="auto" w:sz="4" w:space="0"/>
            </w:tcBorders>
          </w:tcPr>
          <w:p w14:paraId="000001B9">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rFonts w:ascii="Times New Roman" w:cs="Times New Roman" w:hAnsi="Times New Roman"/>
                <w:b w:val="off"/>
                <w:bCs w:val="off"/>
                <w:color w:val="000000"/>
              </w:rPr>
              <w:t>- Проходить обучающие программы и вебинары.</w:t>
            </w:r>
            <w:r>
              <w:rPr>
                <w:rFonts w:ascii="Times New Roman" w:cs="Times New Roman" w:hAnsi="Times New Roman"/>
                <w:b w:val="off"/>
                <w:bCs w:val="off"/>
                <w:color w:val="000000"/>
              </w:rPr>
              <w:br w:type="textWrapping"/>
            </w:r>
            <w:r>
              <w:rPr>
                <w:rFonts w:ascii="Times New Roman" w:cs="Times New Roman" w:hAnsi="Times New Roman"/>
                <w:b w:val="off"/>
                <w:bCs w:val="off"/>
                <w:color w:val="000000"/>
              </w:rPr>
              <w:t>- Пользоваться консультациями Центров поддержки</w:t>
            </w:r>
            <w:r>
              <w:rPr>
                <w:rFonts w:ascii="Times New Roman" w:cs="Times New Roman" w:hAnsi="Times New Roman"/>
                <w:b w:val="off"/>
                <w:bCs w:val="off"/>
                <w:color w:val="000000"/>
              </w:rPr>
              <w:t xml:space="preserve"> экспорта.</w:t>
            </w:r>
          </w:p>
        </w:tc>
      </w:tr>
      <w:tr>
        <w:trPr>
          <w:cnfStyle w:val="000000010000"/>
        </w:trPr>
        <w:tc>
          <w:tcPr>
            <w:cnfStyle w:val="001000010000"/>
            <w:tcW w:w="2696" w:type="dxa"/>
            <w:tcBorders>
              <w:top w:val="single" w:color="auto" w:sz="4" w:space="0"/>
              <w:left w:val="single" w:color="auto" w:sz="4" w:space="0"/>
              <w:bottom w:val="single" w:color="auto" w:sz="4" w:space="0"/>
              <w:right w:val="single" w:color="auto" w:sz="4" w:space="0"/>
            </w:tcBorders>
          </w:tcPr>
          <w:p w14:paraId="000001BA">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lang w:val="en-US"/>
              </w:rPr>
            </w:pPr>
            <w:r>
              <w:rPr>
                <w:rFonts w:ascii="Times New Roman" w:cs="Times New Roman" w:hAnsi="Times New Roman"/>
                <w:b w:val="off"/>
                <w:bCs w:val="off"/>
                <w:color w:val="000000"/>
                <w:lang w:val="en-US"/>
              </w:rPr>
              <w:t>6. Активное продвижение национального бренда</w:t>
            </w:r>
          </w:p>
        </w:tc>
        <w:tc>
          <w:tcPr>
            <w:cnfStyle w:val="000000010000"/>
            <w:tcW w:w="3915" w:type="dxa"/>
            <w:tcBorders>
              <w:top w:val="single" w:color="auto" w:sz="4" w:space="0"/>
              <w:left w:val="single" w:color="auto" w:sz="4" w:space="0"/>
              <w:bottom w:val="single" w:color="auto" w:sz="4" w:space="0"/>
              <w:right w:val="single" w:color="auto" w:sz="4" w:space="0"/>
            </w:tcBorders>
          </w:tcPr>
          <w:p w14:paraId="000001BB">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rFonts w:ascii="Times New Roman" w:cs="Times New Roman" w:hAnsi="Times New Roman"/>
                <w:b w:val="off"/>
                <w:bCs w:val="off"/>
                <w:color w:val="000000"/>
              </w:rPr>
              <w:t>Программа «Сделано в России» формирует положительный имидж и повышает конкурентоспособность отечественной продукции на зарубежных рынках.</w:t>
            </w:r>
          </w:p>
        </w:tc>
        <w:tc>
          <w:tcPr>
            <w:cnfStyle w:val="000000010000"/>
            <w:tcW w:w="2752" w:type="dxa"/>
            <w:tcBorders>
              <w:top w:val="single" w:color="auto" w:sz="4" w:space="0"/>
              <w:left w:val="single" w:color="auto" w:sz="4" w:space="0"/>
              <w:bottom w:val="single" w:color="auto" w:sz="4" w:space="0"/>
              <w:right w:val="single" w:color="auto" w:sz="4" w:space="0"/>
            </w:tcBorders>
          </w:tcPr>
          <w:p w14:paraId="000001BC">
            <w:pPr>
              <w:pBdr>
                <w:top w:val="none" w:sz="4" w:space="0"/>
                <w:left w:val="none" w:sz="4" w:space="0"/>
                <w:bottom w:val="none" w:sz="4" w:space="0"/>
                <w:right w:val="none" w:sz="4" w:space="0"/>
                <w:between w:val="none" w:sz="4" w:space="0"/>
                <w:bar w:val="none" w:sz="4" w:space="0"/>
              </w:pBdr>
              <w:spacing w:after="0" w:line="240" w:lineRule="auto"/>
              <w:rPr>
                <w:rFonts w:ascii="Times New Roman" w:cs="Times New Roman" w:hAnsi="Times New Roman"/>
                <w:b w:val="off"/>
                <w:bCs w:val="off"/>
                <w:color w:val="000000"/>
              </w:rPr>
            </w:pPr>
            <w:r>
              <w:rPr>
                <w:rFonts w:ascii="Times New Roman" w:cs="Times New Roman" w:hAnsi="Times New Roman"/>
                <w:b w:val="off"/>
                <w:bCs w:val="off"/>
                <w:color w:val="000000"/>
              </w:rPr>
              <w:t xml:space="preserve">- Использовать бренд «Сделано в России» в </w:t>
            </w:r>
            <w:r>
              <w:rPr>
                <w:rFonts w:ascii="Times New Roman" w:cs="Times New Roman" w:hAnsi="Times New Roman"/>
                <w:b w:val="off"/>
                <w:bCs w:val="off"/>
                <w:color w:val="000000"/>
              </w:rPr>
              <w:t>маркетинге и упаковке.</w:t>
            </w:r>
            <w:r>
              <w:rPr>
                <w:rFonts w:ascii="Times New Roman" w:cs="Times New Roman" w:hAnsi="Times New Roman"/>
                <w:b w:val="off"/>
                <w:bCs w:val="off"/>
                <w:color w:val="000000"/>
              </w:rPr>
              <w:br w:type="textWrapping"/>
            </w:r>
            <w:r>
              <w:rPr>
                <w:rFonts w:ascii="Times New Roman" w:cs="Times New Roman" w:hAnsi="Times New Roman"/>
                <w:b w:val="off"/>
                <w:bCs w:val="off"/>
                <w:color w:val="000000"/>
              </w:rPr>
              <w:t>- Участвовать в национальных и международных рекламных акциях.</w:t>
            </w:r>
          </w:p>
        </w:tc>
      </w:tr>
    </w:tbl>
    <w:p w14:paraId="000001BD">
      <w:pPr>
        <w:spacing w:line="360" w:lineRule="auto"/>
        <w:jc w:val="both"/>
        <w:rPr>
          <w:rFonts w:ascii="Times New Roman" w:cs="Times New Roman" w:hAnsi="Times New Roman"/>
          <w:sz w:val="28"/>
          <w:szCs w:val="28"/>
        </w:rPr>
      </w:pPr>
    </w:p>
    <w:p w14:paraId="000001BE">
      <w:pPr>
        <w:spacing w:after="0" w:line="360" w:lineRule="auto"/>
        <w:ind w:firstLine="709"/>
        <w:jc w:val="both"/>
        <w:rPr>
          <w:rFonts w:ascii="Times New Roman" w:cs="Times New Roman" w:hAnsi="Times New Roman"/>
          <w:sz w:val="28"/>
          <w:szCs w:val="28"/>
        </w:rPr>
      </w:pPr>
      <w:r>
        <w:rPr>
          <w:rFonts w:ascii="Times New Roman" w:cs="Times New Roman" w:hAnsi="Times New Roman"/>
          <w:sz w:val="28"/>
          <w:szCs w:val="28"/>
        </w:rPr>
        <w:t xml:space="preserve">Оптимизация онлайн-экспорта российских компаний требует комплексного подхода, включающего активное использование цифровых платформ, развитие </w:t>
      </w:r>
      <w:r>
        <w:rPr>
          <w:rFonts w:ascii="Times New Roman" w:cs="Times New Roman" w:hAnsi="Times New Roman"/>
          <w:sz w:val="28"/>
          <w:szCs w:val="28"/>
          <w:lang w:val="en-US"/>
        </w:rPr>
        <w:t>IT</w:t>
      </w:r>
      <w:r>
        <w:rPr>
          <w:rFonts w:ascii="Times New Roman" w:cs="Times New Roman" w:hAnsi="Times New Roman"/>
          <w:sz w:val="28"/>
          <w:szCs w:val="28"/>
        </w:rPr>
        <w:t xml:space="preserve">-инфраструктуры, </w:t>
      </w:r>
      <w:r>
        <w:rPr>
          <w:rFonts w:ascii="Times New Roman" w:cs="Times New Roman" w:hAnsi="Times New Roman"/>
          <w:sz w:val="28"/>
          <w:szCs w:val="28"/>
        </w:rPr>
        <w:t xml:space="preserve">фокус на перспективных рынках, снижение административных барьеров, повышение квалификации и продвижение национального бренда Государственная поддержка и современные цифровые сервисы создают благоприятные условия для успешного выхода на международные рынки </w:t>
      </w:r>
      <w:r>
        <w:rPr>
          <w:rFonts w:ascii="Times New Roman" w:cs="Times New Roman" w:hAnsi="Times New Roman"/>
          <w:sz w:val="28"/>
          <w:szCs w:val="28"/>
        </w:rPr>
        <w:t>и повышения конкурентоспособности российских товаров и услуг.</w:t>
      </w:r>
    </w:p>
    <w:p w14:paraId="000001BF">
      <w:pPr>
        <w:tabs>
          <w:tab w:val="left" w:pos="7276"/>
        </w:tabs>
        <w:spacing w:after="0" w:line="360" w:lineRule="auto"/>
        <w:ind w:firstLine="709"/>
        <w:jc w:val="center"/>
        <w:rPr>
          <w:rFonts w:ascii="Times New Roman" w:cs="Times New Roman" w:hAnsi="Times New Roman"/>
          <w:b/>
          <w:bCs/>
          <w:sz w:val="28"/>
          <w:szCs w:val="28"/>
        </w:rPr>
      </w:pPr>
    </w:p>
    <w:p w14:paraId="000001C0">
      <w:pPr>
        <w:tabs>
          <w:tab w:val="left" w:pos="7276"/>
        </w:tabs>
        <w:spacing w:line="360" w:lineRule="auto"/>
        <w:rPr>
          <w:rFonts w:ascii="Times New Roman" w:cs="Times New Roman" w:hAnsi="Times New Roman"/>
          <w:b/>
          <w:bCs/>
          <w:sz w:val="28"/>
          <w:szCs w:val="28"/>
        </w:rPr>
      </w:pPr>
    </w:p>
    <w:p w14:paraId="000001C1">
      <w:pPr>
        <w:tabs>
          <w:tab w:val="left" w:pos="7276"/>
        </w:tabs>
        <w:spacing w:line="360" w:lineRule="auto"/>
        <w:ind w:firstLine="709"/>
        <w:jc w:val="center"/>
        <w:rPr>
          <w:rFonts w:ascii="Times New Roman" w:cs="Times New Roman" w:hAnsi="Times New Roman"/>
          <w:b/>
          <w:bCs/>
          <w:sz w:val="28"/>
          <w:szCs w:val="28"/>
        </w:rPr>
      </w:pPr>
      <w:r>
        <w:rPr>
          <w:rFonts w:ascii="Times New Roman" w:cs="Times New Roman" w:hAnsi="Times New Roman"/>
          <w:b/>
          <w:bCs/>
          <w:sz w:val="28"/>
          <w:szCs w:val="28"/>
        </w:rPr>
        <w:t>ЗАКЛЮЧЕНИЕ</w:t>
      </w:r>
    </w:p>
    <w:p w14:paraId="000001C2">
      <w:pPr>
        <w:spacing w:after="0" w:line="360" w:lineRule="auto"/>
        <w:ind w:firstLine="709"/>
        <w:jc w:val="both"/>
        <w:rPr>
          <w:rFonts w:ascii="Times New Roman" w:cs="Times New Roman" w:hAnsi="Times New Roman"/>
          <w:sz w:val="28"/>
          <w:szCs w:val="28"/>
        </w:rPr>
      </w:pPr>
      <w:r>
        <w:rPr>
          <w:rFonts w:ascii="Times New Roman" w:cs="Times New Roman" w:hAnsi="Times New Roman"/>
          <w:sz w:val="28"/>
          <w:szCs w:val="28"/>
        </w:rPr>
        <w:t xml:space="preserve">В ходе выполнения курсовой работы была проведена всесторонняя оценка современных моделей онлайн-экспорта российских компаний, включая собственные </w:t>
      </w:r>
      <w:r>
        <w:rPr>
          <w:rFonts w:ascii="Times New Roman" w:cs="Times New Roman" w:hAnsi="Times New Roman"/>
          <w:sz w:val="28"/>
          <w:szCs w:val="28"/>
        </w:rPr>
        <w:t xml:space="preserve">интернет-магазины, маркетплейсы и B2B-платформы. Были подробно проанализированы ключевые показатели затрат и доходов для каждой модели, что позволило выявить их сильные и слабые стороны с точки зрения экономической эффективности.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t>Особое внимание уде</w:t>
      </w:r>
      <w:r>
        <w:rPr>
          <w:rFonts w:ascii="Times New Roman" w:cs="Times New Roman" w:hAnsi="Times New Roman"/>
          <w:sz w:val="28"/>
          <w:szCs w:val="28"/>
        </w:rPr>
        <w:t>лялось цифровым экспортным платформам, таким как «Мой экспорт», которые значительно упрощают выход на зарубежные рынки и повышают конкурентоспособность российских экспортеров.</w:t>
      </w:r>
      <w:r>
        <w:rPr>
          <w:rFonts w:ascii="Times New Roman" w:cs="Times New Roman" w:hAnsi="Times New Roman"/>
          <w:sz w:val="28"/>
          <w:szCs w:val="28"/>
        </w:rPr>
        <w:t xml:space="preserve"> </w:t>
      </w:r>
      <w:r>
        <w:rPr>
          <w:rFonts w:ascii="Times New Roman" w:cs="Times New Roman" w:hAnsi="Times New Roman"/>
          <w:sz w:val="28"/>
          <w:szCs w:val="28"/>
        </w:rPr>
        <w:t>Далее</w:t>
      </w:r>
      <w:r>
        <w:rPr>
          <w:rFonts w:ascii="Times New Roman" w:cs="Times New Roman" w:hAnsi="Times New Roman"/>
          <w:sz w:val="28"/>
          <w:szCs w:val="28"/>
        </w:rPr>
        <w:t xml:space="preserve"> </w:t>
      </w:r>
      <w:r>
        <w:rPr>
          <w:rFonts w:ascii="Times New Roman" w:cs="Times New Roman" w:hAnsi="Times New Roman"/>
          <w:sz w:val="28"/>
          <w:szCs w:val="28"/>
        </w:rPr>
        <w:t>проведено моделирование потенциального роста выручки и прибыли при расширен</w:t>
      </w:r>
      <w:r>
        <w:rPr>
          <w:rFonts w:ascii="Times New Roman" w:cs="Times New Roman" w:hAnsi="Times New Roman"/>
          <w:sz w:val="28"/>
          <w:szCs w:val="28"/>
        </w:rPr>
        <w:t xml:space="preserve">ии онлайн-продаж на международные рынки с использованием реальных данных и проверенных формул.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t>Это позволило оценить, как изменение объёмов заказов и среднего чека влияет на финансовые показатели бизнеса, а также выявить возможности для оптимизации з</w:t>
      </w:r>
      <w:r>
        <w:rPr>
          <w:rFonts w:ascii="Times New Roman" w:cs="Times New Roman" w:hAnsi="Times New Roman"/>
          <w:sz w:val="28"/>
          <w:szCs w:val="28"/>
        </w:rPr>
        <w:t>атрат и повышения маржинальности при масштабировании.В практической части работы разработаны рекомендации по оптимизации онлайн-экспорта, включающие активное использование цифровых платформ, развитие IT-инфраструктуры, фокус на перспективных рынках, снижен</w:t>
      </w:r>
      <w:r>
        <w:rPr>
          <w:rFonts w:ascii="Times New Roman" w:cs="Times New Roman" w:hAnsi="Times New Roman"/>
          <w:sz w:val="28"/>
          <w:szCs w:val="28"/>
        </w:rPr>
        <w:t xml:space="preserve">ие административных барьеров, повышение цифровой грамотности и продвижение национального бренда.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Таким образом, прове</w:t>
      </w:r>
      <w:r>
        <w:rPr>
          <w:rFonts w:ascii="Times New Roman" w:cs="Times New Roman" w:hAnsi="Times New Roman"/>
          <w:sz w:val="28"/>
          <w:szCs w:val="28"/>
        </w:rPr>
        <w:t>дённое исследование не только отражает текущие тенденции и вызовы в сфере международной электронной коммерции, но и предлагает конкретные инструменты и стратегии для повышения эффективности экспортной деятельности. Полученные результаты могут служить основ</w:t>
      </w:r>
      <w:r>
        <w:rPr>
          <w:rFonts w:ascii="Times New Roman" w:cs="Times New Roman" w:hAnsi="Times New Roman"/>
          <w:sz w:val="28"/>
          <w:szCs w:val="28"/>
        </w:rPr>
        <w:t>ой для дальнейших исследований и практических решений в области цифрового трансформационного развития внешнеэкономической деятельности российских предприятий.</w:t>
      </w:r>
    </w:p>
    <w:p w14:paraId="000001C3">
      <w:pPr>
        <w:spacing w:after="0"/>
        <w:ind w:firstLine="709"/>
        <w:rPr/>
      </w:pPr>
    </w:p>
    <w:p w14:paraId="000001C4">
      <w:pPr>
        <w:spacing w:after="0"/>
        <w:ind w:firstLine="709"/>
        <w:rPr/>
      </w:pPr>
    </w:p>
    <w:p w14:paraId="000001C5">
      <w:pPr>
        <w:spacing w:after="0"/>
        <w:ind w:firstLine="709"/>
        <w:jc w:val="center"/>
        <w:rPr>
          <w:rFonts w:ascii="Times New Roman" w:cs="Times New Roman" w:eastAsia="ЕШ" w:hAnsi="Times New Roman"/>
          <w:b/>
          <w:bCs/>
          <w:sz w:val="28"/>
          <w:szCs w:val="28"/>
        </w:rPr>
      </w:pPr>
      <w:r>
        <w:rPr>
          <w:rFonts w:ascii="Times New Roman" w:cs="Times New Roman" w:eastAsia="ЕШ" w:hAnsi="Times New Roman"/>
          <w:b/>
          <w:bCs/>
          <w:sz w:val="28"/>
          <w:szCs w:val="28"/>
        </w:rPr>
        <w:t>СПИСОК ИСПОЛЬЗОВАННЫХ ИСТОЧНИКОВ</w:t>
      </w:r>
      <w:r>
        <w:rPr>
          <w:rFonts w:ascii="Times New Roman" w:cs="Times New Roman" w:eastAsia="ЕШ" w:hAnsi="Times New Roman"/>
          <w:b/>
          <w:bCs/>
          <w:sz w:val="28"/>
          <w:szCs w:val="28"/>
        </w:rPr>
        <w:t xml:space="preserve"> </w:t>
      </w:r>
    </w:p>
    <w:p w14:paraId="000001C6">
      <w:pPr>
        <w:spacing w:after="0"/>
        <w:ind w:firstLine="709"/>
        <w:jc w:val="center"/>
        <w:rPr>
          <w:rFonts w:ascii="Times New Roman" w:cs="Times New Roman" w:eastAsia="ЕШ" w:hAnsi="Times New Roman"/>
          <w:b/>
          <w:bCs/>
          <w:sz w:val="28"/>
          <w:szCs w:val="28"/>
        </w:rPr>
      </w:pPr>
    </w:p>
    <w:p w14:paraId="000001C7">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Гражданский кодекс Российской Федерации (часть четвёртая): от 18.12.2006 № 230-ФЗ (ред. от 22.07.2024) // КонсультантПлюс.</w:t>
      </w:r>
      <w:r>
        <w:rPr>
          <w:rFonts w:ascii="Times New Roman" w:cs="Times New Roman" w:hAnsi="Times New Roman"/>
          <w:sz w:val="28"/>
          <w:szCs w:val="28"/>
        </w:rPr>
        <w:t>–</w:t>
      </w:r>
      <w:r>
        <w:rPr>
          <w:rFonts w:ascii="Times New Roman" w:cs="Times New Roman" w:eastAsia="inter" w:hAnsi="Times New Roman"/>
          <w:color w:val="000000"/>
          <w:sz w:val="28"/>
          <w:szCs w:val="28"/>
        </w:rPr>
        <w:t>URL:</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"https://www.consultant.ru/document/cons_doc_LAW_64034/"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https://www.consultant.ru/document/cons_doc_LAW_64034/</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10.06.2025).</w:t>
      </w:r>
    </w:p>
    <w:p w14:paraId="000001C8">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 xml:space="preserve">Федеральная служба государственной статистики (Росстат). Внешнеэкономическая деятельность России в 2024 году. – 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"https://rosstat.gov.ru/"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https://rosstat.gov.ru/</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12.06.2025).</w:t>
      </w:r>
    </w:p>
    <w:p w14:paraId="000001C9">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Воробьёв А.А. Электронная торговля: современные тенденции и перспективы развития // Вестник экономики и права. – 2024. – № 2. – С. 45–52.// https://epomen.ru/issues/2024/91/epomen-91-2024.pdf</w:t>
      </w:r>
    </w:p>
    <w:p w14:paraId="000001CA">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Гаврилова Т.А. Риски внешнеэкономической деятельности: оценка и управление // Международная экономика. – 2023. – № 4. – С. 88–95.</w:t>
      </w:r>
    </w:p>
    <w:p w14:paraId="000001CB">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 xml:space="preserve">Интервью с основателями Unidragon на портале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"http://vc.ru"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vc.ru</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w:t>
      </w:r>
      <w:r>
        <w:rPr>
          <w:rFonts w:ascii="Times New Roman" w:cs="Times New Roman" w:hAnsi="Times New Roman"/>
          <w:sz w:val="28"/>
          <w:szCs w:val="28"/>
        </w:rPr>
        <w:t>–</w:t>
      </w:r>
      <w:r>
        <w:rPr>
          <w:rFonts w:ascii="Times New Roman" w:cs="Times New Roman" w:eastAsia="inter" w:hAnsi="Times New Roman"/>
          <w:color w:val="000000"/>
          <w:sz w:val="28"/>
          <w:szCs w:val="28"/>
        </w:rPr>
        <w:t xml:space="preserve"> 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"https://vc.ru/"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https://vc.ru/</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12.06.2025).</w:t>
      </w:r>
    </w:p>
    <w:p w14:paraId="000001CC">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Котлер Ф., Армстронг Г. Основы маркетинга. – М.: Вильямс, 2022. – 656 с.</w:t>
      </w:r>
    </w:p>
    <w:p w14:paraId="000001CD">
      <w:pPr>
        <w:numPr>
          <w:ilvl w:val="0"/>
          <w:numId w:val="16"/>
        </w:numPr>
        <w:spacing w:after="0" w:line="360" w:lineRule="auto"/>
        <w:ind w:left="0" w:firstLine="709"/>
        <w:jc w:val="both"/>
        <w:rPr>
          <w:rFonts w:ascii="Times New Roman" w:cs="Times New Roman" w:eastAsia="inter" w:hAnsi="Times New Roman"/>
          <w:color w:val="000000"/>
          <w:sz w:val="28"/>
          <w:szCs w:val="28"/>
        </w:rPr>
      </w:pPr>
      <w:r>
        <w:rPr>
          <w:rFonts w:ascii="Times New Roman" w:cs="Times New Roman" w:eastAsia="inter" w:hAnsi="Times New Roman"/>
          <w:color w:val="000000"/>
          <w:sz w:val="28"/>
          <w:szCs w:val="28"/>
        </w:rPr>
        <w:t xml:space="preserve">Минпромторг России. Пресс-центр. Развитие экспортной деятельности российских компаний в цифровую эпоху. – 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"https://minpromtorg.gov.ru/press-centre/news"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https://minpromtorg.gov.ru/press-centre/news</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13.06.2025)</w:t>
      </w:r>
    </w:p>
    <w:p w14:paraId="000001CE">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Паздникова Н.П., Малухин А.С. Тенденции развития электронной коммерции в условиях диджитализации: тренды региональной и мировой экономики // Вестник ПСТУ. – 2024. – № 2. – С. 216–225. – DOI: 10.15593/2224-9354/2024.2.16.</w:t>
      </w:r>
    </w:p>
    <w:p w14:paraId="000001CF">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 xml:space="preserve">Портал «Управление учётом». Электронная торговля и направления её развития в России. </w:t>
      </w:r>
      <w:r>
        <w:rPr>
          <w:rFonts w:ascii="Times New Roman" w:cs="Times New Roman" w:hAnsi="Times New Roman"/>
          <w:sz w:val="28"/>
          <w:szCs w:val="28"/>
        </w:rPr>
        <w:t>–</w:t>
      </w:r>
      <w:r>
        <w:rPr>
          <w:rFonts w:ascii="Times New Roman" w:cs="Times New Roman" w:eastAsia="inter" w:hAnsi="Times New Roman"/>
          <w:color w:val="000000"/>
          <w:sz w:val="28"/>
          <w:szCs w:val="28"/>
        </w:rPr>
        <w:t xml:space="preserve"> 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"https://uprav-uchet.ru/index.php/journal/article/view/4109"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https://uprav-uchet.ru/index.php/journal/article/view/4109</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15.06.2025).</w:t>
      </w:r>
    </w:p>
    <w:p w14:paraId="000001D0">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 xml:space="preserve">Российская ассоциация электронной коммерции (РАЭК). Тенденции и прогнозы развития онлайн-торговли в России. – 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"https://raec.ru/"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https://raec.ru/</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14.06.2025).</w:t>
      </w:r>
    </w:p>
    <w:p w14:paraId="000001D1">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 xml:space="preserve">Российская ассоциация франчайзинга (РАФ). Итоги ежегодного исследования рынка франчайзинга в России. </w:t>
      </w:r>
      <w:r>
        <w:rPr>
          <w:rFonts w:ascii="Times New Roman" w:cs="Times New Roman" w:hAnsi="Times New Roman"/>
          <w:sz w:val="28"/>
          <w:szCs w:val="28"/>
        </w:rPr>
        <w:t>–</w:t>
      </w:r>
      <w:r>
        <w:rPr>
          <w:rFonts w:ascii="Times New Roman" w:cs="Times New Roman" w:eastAsia="inter" w:hAnsi="Times New Roman"/>
          <w:color w:val="000000"/>
          <w:sz w:val="28"/>
          <w:szCs w:val="28"/>
        </w:rPr>
        <w:t xml:space="preserve"> 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"https://franshiza.ru/article/read/rynok_franchajzinga_rossii_oborot_rynka_i_zanyatost_osnovnye_cifry_za_2023_god"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https://franshiza.ru/article/read/rynok_franchajzinga_rossii_oborot_rynka_i_zanyatost_osnovnye_cifry_za_2023_god</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15.06.2025).</w:t>
      </w:r>
    </w:p>
    <w:p w14:paraId="000001D2">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Российский экспортный центр. Платформа «Мой экспорт»: инструменты поддержки российских экспортеров.</w:t>
      </w:r>
      <w:r>
        <w:rPr>
          <w:rFonts w:ascii="Times New Roman" w:cs="Times New Roman" w:hAnsi="Times New Roman"/>
          <w:sz w:val="28"/>
          <w:szCs w:val="28"/>
        </w:rPr>
        <w:t>–</w:t>
      </w:r>
      <w:r>
        <w:rPr>
          <w:rFonts w:ascii="Times New Roman" w:cs="Times New Roman" w:eastAsia="inter" w:hAnsi="Times New Roman"/>
          <w:color w:val="000000"/>
          <w:sz w:val="28"/>
          <w:szCs w:val="28"/>
        </w:rPr>
        <w:t xml:space="preserve"> 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"https://myexport.exportcenter.ru/"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https://myexport.exportcenter.ru/</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12.06.2025).</w:t>
      </w:r>
    </w:p>
    <w:p w14:paraId="000001D3">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Роспатент. Аналитика рынка лицензирования и защиты брендов в России</w:t>
      </w:r>
      <w:r>
        <w:rPr>
          <w:rFonts w:ascii="Times New Roman" w:cs="Times New Roman" w:eastAsia="inter" w:hAnsi="Times New Roman"/>
          <w:color w:val="000000"/>
          <w:sz w:val="28"/>
          <w:szCs w:val="28"/>
        </w:rPr>
        <w:t xml:space="preserve"> </w:t>
      </w:r>
      <w:r>
        <w:rPr>
          <w:rFonts w:ascii="Times New Roman" w:cs="Times New Roman" w:hAnsi="Times New Roman"/>
          <w:sz w:val="28"/>
          <w:szCs w:val="28"/>
        </w:rPr>
        <w:t>–</w:t>
      </w:r>
      <w:r>
        <w:rPr>
          <w:rFonts w:ascii="Times New Roman" w:cs="Times New Roman" w:eastAsia="inter" w:hAnsi="Times New Roman"/>
          <w:color w:val="000000"/>
          <w:sz w:val="28"/>
          <w:szCs w:val="28"/>
        </w:rPr>
        <w:t xml:space="preserve"> 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"https://rospatent.gov.ru/"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https://rospatent.gov.ru/</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15.06.2025).</w:t>
      </w:r>
    </w:p>
    <w:p w14:paraId="000001D4">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 xml:space="preserve">Федеральный институт промышленной собственности (ФИПС). Защита интеллектуальной собственности в сфере онлайн-торговли. </w:t>
      </w:r>
      <w:r>
        <w:rPr>
          <w:rFonts w:ascii="Times New Roman" w:cs="Times New Roman" w:hAnsi="Times New Roman"/>
          <w:sz w:val="28"/>
          <w:szCs w:val="28"/>
        </w:rPr>
        <w:t>–</w:t>
      </w:r>
      <w:r>
        <w:rPr>
          <w:rFonts w:ascii="Times New Roman" w:cs="Times New Roman" w:eastAsia="inter" w:hAnsi="Times New Roman"/>
          <w:color w:val="000000"/>
          <w:sz w:val="28"/>
          <w:szCs w:val="28"/>
        </w:rPr>
        <w:t xml:space="preserve"> 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"https://www.fips.ru/"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https://www.fips.ru/</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15.06.2025).</w:t>
      </w:r>
    </w:p>
    <w:p w14:paraId="000001D5">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 xml:space="preserve">Business Insider. История успеха Unidragon: как российская компания покорила зарубежные рынки. </w:t>
      </w:r>
      <w:r>
        <w:rPr>
          <w:rFonts w:ascii="Times New Roman" w:cs="Times New Roman" w:hAnsi="Times New Roman"/>
          <w:sz w:val="28"/>
          <w:szCs w:val="28"/>
        </w:rPr>
        <w:t>–</w:t>
      </w:r>
      <w:r>
        <w:rPr>
          <w:rFonts w:ascii="Times New Roman" w:cs="Times New Roman" w:eastAsia="inter" w:hAnsi="Times New Roman"/>
          <w:color w:val="000000"/>
          <w:sz w:val="28"/>
          <w:szCs w:val="28"/>
        </w:rPr>
        <w:t xml:space="preserve"> 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"https://businessinsider.ru/"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https://businessinsider.ru/</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14.06.2025).</w:t>
      </w:r>
    </w:p>
    <w:p w14:paraId="000001D6">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 xml:space="preserve">CyberLeninka. Развитие рынка электронной коммерции в условиях цифровизации экономики. </w:t>
      </w:r>
      <w:r>
        <w:rPr>
          <w:rFonts w:ascii="Times New Roman" w:cs="Times New Roman" w:hAnsi="Times New Roman"/>
          <w:sz w:val="28"/>
          <w:szCs w:val="28"/>
        </w:rPr>
        <w:t>–</w:t>
      </w:r>
      <w:r>
        <w:rPr>
          <w:rFonts w:ascii="Times New Roman" w:cs="Times New Roman" w:eastAsia="inter" w:hAnsi="Times New Roman"/>
          <w:color w:val="000000"/>
          <w:sz w:val="28"/>
          <w:szCs w:val="28"/>
          <w:lang w:val="en-US"/>
        </w:rPr>
        <w:t xml:space="preserve"> 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"https://cyberleninka.ru/article/n/razvitie-rynka-elektronnoy-kommertsii-v-usloviyah-tsifrovizatsii-ekonomiki"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https://cyberleninka.ru/article/n/razvitie-rynka-elektronnoy-kommertsii-v-usloviyah-tsifrovizatsii-ekonomiki</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15.06.2025).</w:t>
      </w:r>
    </w:p>
    <w:p w14:paraId="000001D7">
      <w:pPr>
        <w:numPr>
          <w:ilvl w:val="0"/>
          <w:numId w:val="16"/>
        </w:numPr>
        <w:spacing w:after="0" w:line="360" w:lineRule="auto"/>
        <w:ind w:left="0" w:firstLine="709"/>
        <w:jc w:val="both"/>
        <w:rPr>
          <w:rFonts w:ascii="Times New Roman" w:cs="Times New Roman" w:eastAsia="inter" w:hAnsi="Times New Roman"/>
          <w:color w:val="000000"/>
          <w:sz w:val="28"/>
          <w:szCs w:val="28"/>
        </w:rPr>
      </w:pPr>
      <w:r>
        <w:rPr>
          <w:rFonts w:ascii="Times New Roman" w:cs="Times New Roman" w:eastAsia="inter" w:hAnsi="Times New Roman"/>
          <w:color w:val="000000"/>
          <w:sz w:val="28"/>
          <w:szCs w:val="28"/>
        </w:rPr>
        <w:t xml:space="preserve">ComNews. Российский рынок электронной коммерции вырастет почти в три раза к 2030 году. </w:t>
      </w:r>
      <w:r>
        <w:rPr>
          <w:rFonts w:ascii="Times New Roman" w:cs="Times New Roman" w:hAnsi="Times New Roman"/>
          <w:sz w:val="28"/>
          <w:szCs w:val="28"/>
        </w:rPr>
        <w:t>–</w:t>
      </w:r>
      <w:r>
        <w:rPr>
          <w:rFonts w:ascii="Times New Roman" w:cs="Times New Roman" w:eastAsia="inter" w:hAnsi="Times New Roman"/>
          <w:color w:val="000000"/>
          <w:sz w:val="28"/>
          <w:szCs w:val="28"/>
        </w:rPr>
        <w:t xml:space="preserve"> 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"https://www.comnews.ru/content/238254/2025-03-14/2025-w11/1008/rossiyskiy-rynok-elektronnoy-kommercii-vyrastet-pochti-tri-raza-k-2030-g"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https://www.comnews.ru/content/238254/2025-03-14/2025-w11/1008/rossiyskiy-rynok-elektronnoy-kommercii-vyrastet-pochti-tri-raza-k-2030-g</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15.06.2025).</w:t>
      </w:r>
    </w:p>
    <w:p w14:paraId="000001D8">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CyberLeninka. Современные технологии развития электронной коммерции и их применение в розничной торговле. – URL:</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"https://cyberleninka.ru/article/n/sovremennye-tehnologii-razvitiya-elektronnoy-kommertsii-i-ih-primenenie-v-roznichnoy-torgovle"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https://cyberleninka.ru/article/n/sovremennye-tehnologii-razvitiya-elektronnoy-kommertsii-i-ih-primenenie-v-roznichnoy-torgovle</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ab/>
        <w:t>(дата обращения: 15.06.2025).</w:t>
      </w:r>
    </w:p>
    <w:p w14:paraId="000001D9">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 xml:space="preserve">Data Insight. eCommerce in Russia 2024. – 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"https://datainsight.ru/sites/default/files/DI_eCommerce_in_Russia_2023.pdf"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https://datainsight.ru/sites/default/files/DI_eCommerce_in_Russia_2023.pdf</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13.06.2025).</w:t>
      </w:r>
    </w:p>
    <w:p w14:paraId="000001DA">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 xml:space="preserve">Yakov &amp; Partners. Развитие электронной коммерции в России. </w:t>
      </w:r>
      <w:r>
        <w:rPr>
          <w:rFonts w:ascii="Times New Roman" w:cs="Times New Roman" w:hAnsi="Times New Roman"/>
          <w:sz w:val="28"/>
          <w:szCs w:val="28"/>
        </w:rPr>
        <w:t>–</w:t>
      </w:r>
      <w:r>
        <w:rPr>
          <w:rFonts w:ascii="Times New Roman" w:cs="Times New Roman" w:eastAsia="inter" w:hAnsi="Times New Roman"/>
          <w:color w:val="000000"/>
          <w:sz w:val="28"/>
          <w:szCs w:val="28"/>
        </w:rPr>
        <w:t xml:space="preserve"> 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"https://yakovpartners.ru/publications/ecom/"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https://yakovpartners.ru/publications/ecom/</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15.06.2025).</w:t>
      </w:r>
    </w:p>
    <w:p w14:paraId="000001DB">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"http://1Economic.ru"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1Economic.ru</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Электронная торговля в России и за рубежом: анализ динамики и перспектив. – 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"https://1economic.ru/lib/121312"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https://1economic.ru/lib/121312</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15.06.2025).</w:t>
      </w:r>
    </w:p>
    <w:p w14:paraId="000001DC">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RBC. SAP и Microsoft: примеры ограничений доступа к ERP-системам в России.–URL:</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"https://www.rbc.ru/technology_and_media/03/06/2025/683ef84c9a794766afa719b3"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https://www.rbc.ru/technology_and_media/03/06/2025/683ef84c9a794766afa719b3</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15.06.2025).</w:t>
      </w:r>
    </w:p>
    <w:p w14:paraId="000001DD">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 xml:space="preserve">Small Business Administration (SBA). Business Planning Guide. </w:t>
      </w:r>
      <w:r>
        <w:rPr>
          <w:rFonts w:ascii="Times New Roman" w:cs="Times New Roman" w:hAnsi="Times New Roman"/>
          <w:sz w:val="28"/>
          <w:szCs w:val="28"/>
        </w:rPr>
        <w:t>–</w:t>
      </w:r>
      <w:r>
        <w:rPr>
          <w:rFonts w:ascii="Times New Roman" w:cs="Times New Roman" w:eastAsia="inter" w:hAnsi="Times New Roman"/>
          <w:color w:val="000000"/>
          <w:sz w:val="28"/>
          <w:szCs w:val="28"/>
        </w:rPr>
        <w:t xml:space="preserve">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"https://www.sba.gov/"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https://www.sba.gov/</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14.06.2025).</w:t>
      </w:r>
    </w:p>
    <w:p w14:paraId="000001DE">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 xml:space="preserve">Trade Data Monitor. Статистика по торговле высокотехнологичными товарами. – 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"https://tradedatamonitor.com/"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https://tradedatamonitor.com/</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15.06.2025).</w:t>
      </w:r>
    </w:p>
    <w:p w14:paraId="000001DF">
      <w:pPr>
        <w:numPr>
          <w:ilvl w:val="0"/>
          <w:numId w:val="16"/>
        </w:numPr>
        <w:spacing w:after="0" w:line="360" w:lineRule="auto"/>
        <w:ind w:left="0" w:firstLine="709"/>
        <w:jc w:val="both"/>
        <w:rPr>
          <w:rFonts w:ascii="Times New Roman" w:cs="Times New Roman" w:hAnsi="Times New Roman"/>
          <w:sz w:val="28"/>
          <w:szCs w:val="28"/>
        </w:rPr>
      </w:pPr>
      <w:r>
        <w:rPr>
          <w:rFonts w:ascii="Times New Roman" w:cs="Times New Roman" w:eastAsia="inter" w:hAnsi="Times New Roman"/>
          <w:color w:val="000000"/>
          <w:sz w:val="28"/>
          <w:szCs w:val="28"/>
        </w:rPr>
        <w:t xml:space="preserve">World Bank. Technology Transfer and Economic Growth. </w:t>
      </w:r>
      <w:r>
        <w:rPr>
          <w:rFonts w:ascii="Times New Roman" w:cs="Times New Roman" w:hAnsi="Times New Roman"/>
          <w:sz w:val="28"/>
          <w:szCs w:val="28"/>
        </w:rPr>
        <w:t xml:space="preserve">– </w:t>
      </w:r>
      <w:r>
        <w:rPr>
          <w:rFonts w:ascii="Times New Roman" w:cs="Times New Roman" w:eastAsia="inter" w:hAnsi="Times New Roman"/>
          <w:color w:val="000000"/>
          <w:sz w:val="28"/>
          <w:szCs w:val="28"/>
        </w:rPr>
        <w:t xml:space="preserve">URL: </w:t>
      </w:r>
      <w:r>
        <w:rPr>
          <w:rFonts w:ascii="Times New Roman" w:cs="Times New Roman" w:eastAsia="inter" w:hAnsi="Times New Roman"/>
          <w:color w:val="000000"/>
          <w:sz w:val="28"/>
          <w:szCs w:val="28"/>
          <w:u w:val="single"/>
        </w:rPr>
        <w:fldChar w:fldCharType="begin"/>
      </w:r>
      <w:r>
        <w:rPr>
          <w:rFonts w:ascii="Times New Roman" w:cs="Times New Roman" w:eastAsia="inter" w:hAnsi="Times New Roman"/>
          <w:color w:val="000000"/>
          <w:sz w:val="28"/>
          <w:szCs w:val="28"/>
          <w:u w:val="single"/>
        </w:rPr>
        <w:instrText xml:space="preserve">HYPERLINK "https://openknowledge.worldbank.org/server/api/core/bitstreams/95fe55e9-f110-4ba8-933f-e65572e05395/content" </w:instrText>
      </w:r>
      <w:r>
        <w:rPr>
          <w:rFonts w:ascii="Times New Roman" w:cs="Times New Roman" w:eastAsia="inter" w:hAnsi="Times New Roman"/>
          <w:color w:val="000000"/>
          <w:sz w:val="28"/>
          <w:szCs w:val="28"/>
          <w:u w:val="single"/>
        </w:rPr>
        <w:fldChar w:fldCharType="separate"/>
      </w:r>
      <w:r>
        <w:rPr>
          <w:rFonts w:ascii="Times New Roman" w:cs="Times New Roman" w:eastAsia="inter" w:hAnsi="Times New Roman"/>
          <w:color w:val="000000"/>
          <w:sz w:val="28"/>
          <w:szCs w:val="28"/>
          <w:u w:val="single"/>
        </w:rPr>
        <w:t>https://openknowledge.worldbank.org/server/api/core/bitstreams/95fe55e9-f110-4ba8-933f-e65572e05395/content</w:t>
      </w:r>
      <w:r>
        <w:rPr>
          <w:rFonts w:ascii="Times New Roman" w:cs="Times New Roman" w:eastAsia="inter" w:hAnsi="Times New Roman"/>
          <w:color w:val="000000"/>
          <w:sz w:val="28"/>
          <w:szCs w:val="28"/>
        </w:rPr>
        <w:fldChar w:fldCharType="end"/>
      </w:r>
      <w:r>
        <w:rPr>
          <w:rFonts w:ascii="Times New Roman" w:cs="Times New Roman" w:eastAsia="inter" w:hAnsi="Times New Roman"/>
          <w:color w:val="000000"/>
          <w:sz w:val="28"/>
          <w:szCs w:val="28"/>
        </w:rPr>
        <w:t xml:space="preserve"> (дата обращения: 15.06.2025). </w:t>
      </w:r>
    </w:p>
    <w:p w14:paraId="000001E0">
      <w:pPr>
        <w:spacing w:after="0" w:line="360" w:lineRule="auto"/>
        <w:ind w:left="563" w:right="0" w:hanging="563"/>
        <w:jc w:val="center"/>
        <w:rPr>
          <w:rFonts w:ascii="Times New Roman" w:cs="Times New Roman" w:hAnsi="Times New Roman"/>
          <w:sz w:val="28"/>
          <w:szCs w:val="28"/>
        </w:rPr>
      </w:pPr>
    </w:p>
    <w:p w14:paraId="000001E1">
      <w:pPr>
        <w:spacing w:after="0"/>
        <w:ind w:left="563" w:hanging="563"/>
        <w:jc w:val="both"/>
        <w:rPr>
          <w:rFonts w:ascii="Times New Roman" w:cs="Times New Roman" w:eastAsia="ЕШ" w:hAnsi="Times New Roman"/>
          <w:b/>
          <w:bCs/>
          <w:sz w:val="28"/>
          <w:szCs w:val="28"/>
        </w:rPr>
      </w:pPr>
    </w:p>
    <w:sectPr>
      <w:headerReference w:type="default" r:id="rId21"/>
      <w:footerReference w:type="default" r:id="rId22"/>
      <w:pgSz w:w="11906" w:h="16838"/>
      <w:pgMar w:top="1134" w:right="850"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endnote w:type="separator" w:id="0">
    <w:p w14:paraId="00000003">
      <w:pPr>
        <w:spacing w:after="0" w:line="240" w:lineRule="auto"/>
        <w:rPr/>
      </w:pPr>
      <w:r>
        <w:rPr/>
        <w:separator/>
      </w:r>
    </w:p>
  </w:endnote>
  <w:endnote w:type="continuationSeparator" w:id="1">
    <w:p w14:paraId="00000004">
      <w:pPr>
        <w:spacing w:after="0" w:line="240" w:lineRule="auto"/>
        <w:rPr/>
      </w:pPr>
      <w:r>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00000000" w:csb1="00000000"/>
  </w:font>
  <w:font w:name="Times New Roman">
    <w:panose1 w:val="02020603050405020304"/>
    <w:charset w:val="cc"/>
    <w:family w:val="roman"/>
    <w:pitch w:val="variable"/>
    <w:sig w:usb0="00000000" w:usb1="00000000" w:usb2="00000009" w:usb3="00000000" w:csb0="000001ff" w:csb1="00000000"/>
  </w:font>
  <w:font w:name="Courier New">
    <w:panose1 w:val="02070309020205020404"/>
    <w:charset w:val="cc"/>
    <w:family w:val="modern"/>
    <w:pitch w:val="fixed"/>
    <w:sig w:usb0="00000000" w:usb1="00000000" w:usb2="00000009" w:usb3="00000000" w:csb0="000001ff" w:csb1="00000000"/>
  </w:font>
  <w:font w:name="Wingdings">
    <w:panose1 w:val="05000000000000000000"/>
    <w:charset w:val="02"/>
    <w:family w:val="auto"/>
    <w:pitch w:val="variable"/>
    <w:sig w:usb0="00000000" w:usb1="10000000" w:usb2="00000000" w:usb3="00000000" w:csb0="00000000" w:csb1="00000000"/>
  </w:font>
  <w:font w:name="Calibri">
    <w:panose1 w:val="020f0502020204030204"/>
    <w:charset w:val="cc"/>
    <w:family w:val="swiss"/>
    <w:pitch w:val="variable"/>
    <w:sig w:usb0="00000000" w:usb1="00000000" w:usb2="00000009" w:usb3="00000000" w:csb0="000001ff" w:csb1="00000000"/>
  </w:font>
  <w:font w:name="Calibri Light">
    <w:panose1 w:val="020f0302020204030204"/>
    <w:charset w:val="cc"/>
    <w:family w:val="swiss"/>
    <w:pitch w:val="variable"/>
    <w:sig w:usb0="00000000" w:usb1="00000000" w:usb2="00000009" w:usb3="00000000" w:csb0="000001ff" w:csb1="00000000"/>
  </w:font>
  <w:font w:name=".SF UI">
    <w:altName w:val="Cambria"/>
    <w:charset w:val="00"/>
    <w:family w:val="roman"/>
    <w:pitch w:val="default"/>
  </w:font>
  <w:font w:name=".SFUI-Regular">
    <w:altName w:val="Cambria"/>
    <w:charset w:val="00"/>
    <w:family w:val="roman"/>
    <w:pitch w:val="default"/>
  </w:font>
  <w:font w:name="Arial">
    <w:panose1 w:val="020b0604020202020204"/>
    <w:charset w:val="cc"/>
    <w:family w:val="swiss"/>
    <w:pitch w:val="variable"/>
    <w:sig w:usb0="00000000" w:usb1="00000000" w:usb2="00000009" w:usb3="00000000" w:csb0="000001ff" w:csb1="00000000"/>
  </w:font>
  <w:font w:name="Segoe UI">
    <w:panose1 w:val="020b0502040204020203"/>
    <w:charset w:val="cc"/>
    <w:family w:val="swiss"/>
    <w:pitch w:val="variable"/>
    <w:sig w:usb0="00000000" w:usb1="00000000" w:usb2="00000009" w:usb3="00000000" w:csb0="000001ff" w:csb1="00000000"/>
  </w:font>
  <w:font w:name="Cambria">
    <w:panose1 w:val="02040503050406030204"/>
    <w:charset w:val="00"/>
    <w:family w:val="roman"/>
    <w:pitch w:val="variable"/>
    <w:sig w:usb0="00000000" w:usb1="4000004b" w:usb2="00000000" w:usb3="00000000" w:csb0="0000009f" w:csb1="00000000"/>
  </w:font>
  <w:font w:name="Tahoma">
    <w:panose1 w:val="020b0604030504040204"/>
    <w:charset w:val="00"/>
    <w:family w:val="roman"/>
    <w:pitch w:val="variable"/>
    <w:sig w:usb0="61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Helvetica Neue">
    <w:charset w:val="00"/>
    <w:family w:val="swiss"/>
    <w:pitch w:val="variable"/>
  </w:font>
  <w:font w:name="ЕШ"/>
  <w:font w:name="inter"/>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14:paraId="000001E3">
    <w:pPr>
      <w:pStyle w:val="Footer"/>
      <w:jc w:val="center"/>
      <w:rPr/>
    </w:pPr>
    <w:r>
      <w:fldChar w:fldCharType="begin"/>
    </w:r>
    <w:r>
      <w:instrText xml:space="preserve">PAGE   \* MERGEFORMAT</w:instrText>
    </w:r>
    <w:r>
      <w:fldChar w:fldCharType="separate"/>
    </w:r>
    <w:r>
      <w:t>2</w:t>
    </w:r>
    <w:r>
      <w:fldChar w:fldCharType="end"/>
    </w:r>
  </w:p>
  <w:p w14:paraId="000001E4">
    <w:pPr>
      <w:spacing w:after="0" w:line="240" w:lineRule="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footnote w:type="separator" w:id="0">
    <w:p w14:paraId="00000001">
      <w:pPr>
        <w:spacing w:after="0" w:line="240" w:lineRule="auto"/>
        <w:rPr/>
      </w:pPr>
      <w:r>
        <w:rPr/>
        <w:separator/>
      </w:r>
    </w:p>
  </w:footnote>
  <w:footnote w:type="continuationSeparator" w:id="1">
    <w:p w14:paraId="00000002">
      <w:pPr>
        <w:spacing w:after="0" w:line="240" w:lineRule="auto"/>
        <w:rPr/>
      </w:pPr>
      <w: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p w14:paraId="000001E2">
    <w:pPr>
      <w:spacing w:after="0" w:line="240" w:lineRule="auto"/>
      <w:rP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36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36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360"/>
      </w:pPr>
    </w:lvl>
  </w:abstractNum>
  <w:abstractNum w:abstractNumId="1">
    <w:multiLevelType w:val="multilevel"/>
    <w:lvl w:ilvl="0" w:tentative="0">
      <w:start w:val="1"/>
      <w:numFmt w:val="bullet"/>
      <w:lvlText w:val=""/>
      <w:lvlJc w:val="left"/>
      <w:pPr>
        <w:tabs>
          <w:tab w:val="num" w:pos="720"/>
        </w:tabs>
        <w:ind w:left="720" w:hanging="360"/>
      </w:pPr>
      <w:rPr>
        <w:rFonts w:ascii="Symbol" w:hAnsi="Symbol" w:hint="default"/>
        <w:sz w:val="20"/>
      </w:rPr>
    </w:lvl>
    <w:lvl w:ilvl="1" w:tentative="0">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multiLevelType w:val="multilevel"/>
    <w:lvl w:ilvl="0" w:tentative="0">
      <w:numFmt w:val="decimal"/>
      <w:lvlText w:val=""/>
      <w:lvlJc w:val="left"/>
    </w:lvl>
    <w:lvl w:ilvl="1" w:tentative="0">
      <w:numFmt w:val="decimal"/>
      <w:lvlText w:val=""/>
      <w:lvlJc w:val="left"/>
    </w:lvl>
    <w:lvl w:ilvl="2" w:tentative="0">
      <w:numFmt w:val="decimal"/>
      <w:lvlText w:val=""/>
      <w:lvlJc w:val="left"/>
    </w:lvl>
    <w:lvl w:ilvl="3" w:tentative="0">
      <w:numFmt w:val="decimal"/>
      <w:lvlText w:val=""/>
      <w:lvlJc w:val="left"/>
    </w:lvl>
    <w:lvl w:ilvl="4" w:tentative="0">
      <w:numFmt w:val="decimal"/>
      <w:lvlText w:val=""/>
      <w:lvlJc w:val="left"/>
    </w:lvl>
    <w:lvl w:ilvl="5" w:tentative="0">
      <w:numFmt w:val="decimal"/>
      <w:lvlText w:val=""/>
      <w:lvlJc w:val="left"/>
    </w:lvl>
    <w:lvl w:ilvl="6" w:tentative="0">
      <w:numFmt w:val="decimal"/>
      <w:lvlText w:val=""/>
      <w:lvlJc w:val="left"/>
    </w:lvl>
    <w:lvl w:ilvl="7" w:tentative="0">
      <w:numFmt w:val="decimal"/>
      <w:lvlText w:val=""/>
      <w:lvlJc w:val="left"/>
    </w:lvl>
    <w:lvl w:ilvl="8" w:tentative="0">
      <w:numFmt w:val="decimal"/>
      <w:lvlText w:val=""/>
      <w:lvlJc w:val="left"/>
    </w:lvl>
  </w:abstractNum>
  <w:abstractNum w:abstractNumId="3">
    <w:multiLevelType w:val="multilevel"/>
    <w:lvl w:ilvl="0" w:tentative="0">
      <w:numFmt w:val="decimal"/>
      <w:lvlText w:val=""/>
      <w:lvlJc w:val="left"/>
    </w:lvl>
    <w:lvl w:ilvl="1" w:tentative="0">
      <w:numFmt w:val="decimal"/>
      <w:lvlText w:val=""/>
      <w:lvlJc w:val="left"/>
    </w:lvl>
    <w:lvl w:ilvl="2" w:tentative="0">
      <w:numFmt w:val="decimal"/>
      <w:lvlText w:val=""/>
      <w:lvlJc w:val="left"/>
    </w:lvl>
    <w:lvl w:ilvl="3" w:tentative="0">
      <w:numFmt w:val="decimal"/>
      <w:lvlText w:val=""/>
      <w:lvlJc w:val="left"/>
    </w:lvl>
    <w:lvl w:ilvl="4" w:tentative="0">
      <w:numFmt w:val="decimal"/>
      <w:lvlText w:val=""/>
      <w:lvlJc w:val="left"/>
    </w:lvl>
    <w:lvl w:ilvl="5" w:tentative="0">
      <w:numFmt w:val="decimal"/>
      <w:lvlText w:val=""/>
      <w:lvlJc w:val="left"/>
    </w:lvl>
    <w:lvl w:ilvl="6" w:tentative="0">
      <w:numFmt w:val="decimal"/>
      <w:lvlText w:val=""/>
      <w:lvlJc w:val="left"/>
    </w:lvl>
    <w:lvl w:ilvl="7" w:tentative="0">
      <w:numFmt w:val="decimal"/>
      <w:lvlText w:val=""/>
      <w:lvlJc w:val="left"/>
    </w:lvl>
    <w:lvl w:ilvl="8" w:tentative="0">
      <w:numFmt w:val="decimal"/>
      <w:lvlText w:val=""/>
      <w:lvlJc w:val="left"/>
    </w:lvl>
  </w:abstractNum>
  <w:abstractNum w:abstractNumId="4">
    <w:multiLevelType w:val="hybridMultilevel"/>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1">
      <w:start w:val="1"/>
      <w:numFmt w:val="lowerRoman"/>
      <w:lvlText w:val="%3."/>
      <w:lvlJc w:val="right"/>
      <w:pPr>
        <w:ind w:left="2160" w:hanging="36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36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360"/>
      </w:pPr>
    </w:lvl>
  </w:abstractNum>
  <w:abstractNum w:abstractNumId="5">
    <w:multiLevelType w:val="multilevel"/>
    <w:lvl w:ilvl="0" w:tentative="0">
      <w:numFmt w:val="decimal"/>
      <w:lvlText w:val=""/>
      <w:lvlJc w:val="left"/>
    </w:lvl>
    <w:lvl w:ilvl="1" w:tentative="0">
      <w:numFmt w:val="decimal"/>
      <w:lvlText w:val=""/>
      <w:lvlJc w:val="left"/>
    </w:lvl>
    <w:lvl w:ilvl="2" w:tentative="0">
      <w:numFmt w:val="decimal"/>
      <w:lvlText w:val=""/>
      <w:lvlJc w:val="left"/>
    </w:lvl>
    <w:lvl w:ilvl="3" w:tentative="0">
      <w:numFmt w:val="decimal"/>
      <w:lvlText w:val=""/>
      <w:lvlJc w:val="left"/>
    </w:lvl>
    <w:lvl w:ilvl="4" w:tentative="0">
      <w:numFmt w:val="decimal"/>
      <w:lvlText w:val=""/>
      <w:lvlJc w:val="left"/>
    </w:lvl>
    <w:lvl w:ilvl="5" w:tentative="0">
      <w:numFmt w:val="decimal"/>
      <w:lvlText w:val=""/>
      <w:lvlJc w:val="left"/>
    </w:lvl>
    <w:lvl w:ilvl="6" w:tentative="0">
      <w:numFmt w:val="decimal"/>
      <w:lvlText w:val=""/>
      <w:lvlJc w:val="left"/>
    </w:lvl>
    <w:lvl w:ilvl="7" w:tentative="0">
      <w:numFmt w:val="decimal"/>
      <w:lvlText w:val=""/>
      <w:lvlJc w:val="left"/>
    </w:lvl>
    <w:lvl w:ilvl="8" w:tentative="0">
      <w:numFmt w:val="decimal"/>
      <w:lvlText w:val=""/>
      <w:lvlJc w:val="left"/>
    </w:lvl>
  </w:abstractNum>
  <w:abstractNum w:abstractNumId="6">
    <w:multiLevelType w:val="multilevel"/>
    <w:lvl w:ilvl="0" w:tentative="0">
      <w:numFmt w:val="decimal"/>
      <w:lvlText w:val=""/>
      <w:lvlJc w:val="left"/>
    </w:lvl>
    <w:lvl w:ilvl="1" w:tentative="0">
      <w:numFmt w:val="decimal"/>
      <w:lvlText w:val=""/>
      <w:lvlJc w:val="left"/>
    </w:lvl>
    <w:lvl w:ilvl="2" w:tentative="0">
      <w:numFmt w:val="decimal"/>
      <w:lvlText w:val=""/>
      <w:lvlJc w:val="left"/>
    </w:lvl>
    <w:lvl w:ilvl="3" w:tentative="0">
      <w:numFmt w:val="decimal"/>
      <w:lvlText w:val=""/>
      <w:lvlJc w:val="left"/>
    </w:lvl>
    <w:lvl w:ilvl="4" w:tentative="0">
      <w:numFmt w:val="decimal"/>
      <w:lvlText w:val=""/>
      <w:lvlJc w:val="left"/>
    </w:lvl>
    <w:lvl w:ilvl="5" w:tentative="0">
      <w:numFmt w:val="decimal"/>
      <w:lvlText w:val=""/>
      <w:lvlJc w:val="left"/>
    </w:lvl>
    <w:lvl w:ilvl="6" w:tentative="0">
      <w:numFmt w:val="decimal"/>
      <w:lvlText w:val=""/>
      <w:lvlJc w:val="left"/>
    </w:lvl>
    <w:lvl w:ilvl="7" w:tentative="0">
      <w:numFmt w:val="decimal"/>
      <w:lvlText w:val=""/>
      <w:lvlJc w:val="left"/>
    </w:lvl>
    <w:lvl w:ilvl="8" w:tentative="0">
      <w:numFmt w:val="decimal"/>
      <w:lvlText w:val=""/>
      <w:lvlJc w:val="left"/>
    </w:lvl>
  </w:abstractNum>
  <w:abstractNum w:abstractNumId="7">
    <w:multiLevelType w:val="hybridMultilevel"/>
    <w:lvl w:ilvl="0" w:tentative="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36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36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360"/>
      </w:pPr>
    </w:lvl>
  </w:abstractNum>
  <w:abstractNum w:abstractNumId="8">
    <w:multiLevelType w:val="hybridMultilevel"/>
    <w:lvl w:ilvl="0" w:tentative="1">
      <w:start w:val="1"/>
      <w:numFmt w:val="bullet"/>
      <w:lvlText w:val=""/>
      <w:lvlJc w:val="left"/>
      <w:pPr>
        <w:ind w:left="720" w:hanging="360"/>
      </w:pPr>
    </w:lvl>
    <w:lvl w:ilvl="1" w:tentative="1">
      <w:start w:val="1"/>
      <w:numFmt w:val="bullet"/>
      <w:lvlText w:val=""/>
      <w:lvlJc w:val="left"/>
      <w:pPr>
        <w:ind w:left="1440" w:hanging="360"/>
      </w:pPr>
    </w:lvl>
    <w:lvl w:ilvl="2" w:tentative="1">
      <w:start w:val="1"/>
      <w:numFmt w:val="decimal"/>
      <w:lvlText w:val="%3."/>
      <w:lvlJc w:val="left"/>
      <w:pPr>
        <w:ind w:left="2160" w:hanging="360"/>
      </w:pPr>
    </w:lvl>
    <w:lvl w:ilvl="3" w:tentative="1">
      <w:start w:val="1"/>
      <w:numFmt w:val="decimal"/>
      <w:lvlText w:val="%4."/>
      <w:lvlJc w:val="left"/>
      <w:pPr>
        <w:ind w:left="2880" w:hanging="360"/>
      </w:pPr>
    </w:lvl>
    <w:lvl w:ilvl="4" w:tentative="1">
      <w:start w:val="1"/>
      <w:numFmt w:val="decimal"/>
      <w:lvlText w:val="%5."/>
      <w:lvlJc w:val="left"/>
      <w:pPr>
        <w:ind w:left="3600" w:hanging="360"/>
      </w:pPr>
    </w:lvl>
    <w:lvl w:ilvl="5" w:tentative="1">
      <w:start w:val="1"/>
      <w:numFmt w:val="decimal"/>
      <w:lvlText w:val="%6."/>
      <w:lvlJc w:val="left"/>
      <w:pPr>
        <w:ind w:left="4320" w:hanging="360"/>
      </w:pPr>
    </w:lvl>
    <w:lvl w:ilvl="6" w:tentative="1">
      <w:start w:val="1"/>
      <w:numFmt w:val="decimal"/>
      <w:lvlText w:val="%7."/>
      <w:lvlJc w:val="left"/>
      <w:pPr>
        <w:ind w:left="5040" w:hanging="360"/>
      </w:pPr>
    </w:lvl>
    <w:lvl w:ilvl="7" w:tentative="1">
      <w:start w:val="1"/>
      <w:numFmt w:val="decimal"/>
      <w:lvlText w:val="%8."/>
      <w:lvlJc w:val="left"/>
      <w:pPr>
        <w:ind w:left="5760" w:hanging="360"/>
      </w:pPr>
    </w:lvl>
    <w:lvl w:ilvl="8" w:tentative="1">
      <w:start w:val="1"/>
      <w:numFmt w:val="decimal"/>
      <w:lvlText w:val="%9."/>
      <w:lvlJc w:val="left"/>
      <w:pPr>
        <w:ind w:left="6480" w:hanging="360"/>
      </w:pPr>
    </w:lvl>
  </w:abstractNum>
  <w:abstractNum w:abstractNumId="9">
    <w:multiLevelType w:val="multilevel"/>
    <w:lvl w:ilvl="0" w:tentative="0">
      <w:numFmt w:val="decimal"/>
      <w:lvlText w:val=""/>
      <w:lvlJc w:val="left"/>
    </w:lvl>
    <w:lvl w:ilvl="1" w:tentative="0">
      <w:numFmt w:val="decimal"/>
      <w:lvlText w:val=""/>
      <w:lvlJc w:val="left"/>
    </w:lvl>
    <w:lvl w:ilvl="2" w:tentative="0">
      <w:numFmt w:val="decimal"/>
      <w:lvlText w:val=""/>
      <w:lvlJc w:val="left"/>
    </w:lvl>
    <w:lvl w:ilvl="3" w:tentative="0">
      <w:numFmt w:val="decimal"/>
      <w:lvlText w:val=""/>
      <w:lvlJc w:val="left"/>
    </w:lvl>
    <w:lvl w:ilvl="4" w:tentative="0">
      <w:numFmt w:val="decimal"/>
      <w:lvlText w:val=""/>
      <w:lvlJc w:val="left"/>
    </w:lvl>
    <w:lvl w:ilvl="5" w:tentative="0">
      <w:numFmt w:val="decimal"/>
      <w:lvlText w:val=""/>
      <w:lvlJc w:val="left"/>
    </w:lvl>
    <w:lvl w:ilvl="6" w:tentative="0">
      <w:numFmt w:val="decimal"/>
      <w:lvlText w:val=""/>
      <w:lvlJc w:val="left"/>
    </w:lvl>
    <w:lvl w:ilvl="7" w:tentative="0">
      <w:numFmt w:val="decimal"/>
      <w:lvlText w:val=""/>
      <w:lvlJc w:val="left"/>
    </w:lvl>
    <w:lvl w:ilvl="8" w:tentative="0">
      <w:numFmt w:val="decimal"/>
      <w:lvlText w:val=""/>
      <w:lvlJc w:val="left"/>
    </w:lvl>
  </w:abstractNum>
  <w:abstractNum w:abstractNumId="10">
    <w:multiLevelType w:val="multilevel"/>
    <w:lvl w:ilvl="0" w:tentative="0">
      <w:numFmt w:val="decimal"/>
      <w:lvlText w:val=""/>
      <w:lvlJc w:val="left"/>
    </w:lvl>
    <w:lvl w:ilvl="1" w:tentative="0">
      <w:numFmt w:val="decimal"/>
      <w:lvlText w:val=""/>
      <w:lvlJc w:val="left"/>
    </w:lvl>
    <w:lvl w:ilvl="2" w:tentative="0">
      <w:numFmt w:val="decimal"/>
      <w:lvlText w:val=""/>
      <w:lvlJc w:val="left"/>
    </w:lvl>
    <w:lvl w:ilvl="3" w:tentative="0">
      <w:numFmt w:val="decimal"/>
      <w:lvlText w:val=""/>
      <w:lvlJc w:val="left"/>
    </w:lvl>
    <w:lvl w:ilvl="4" w:tentative="0">
      <w:numFmt w:val="decimal"/>
      <w:lvlText w:val=""/>
      <w:lvlJc w:val="left"/>
    </w:lvl>
    <w:lvl w:ilvl="5" w:tentative="0">
      <w:numFmt w:val="decimal"/>
      <w:lvlText w:val=""/>
      <w:lvlJc w:val="left"/>
    </w:lvl>
    <w:lvl w:ilvl="6" w:tentative="0">
      <w:numFmt w:val="decimal"/>
      <w:lvlText w:val=""/>
      <w:lvlJc w:val="left"/>
    </w:lvl>
    <w:lvl w:ilvl="7" w:tentative="0">
      <w:numFmt w:val="decimal"/>
      <w:lvlText w:val=""/>
      <w:lvlJc w:val="left"/>
    </w:lvl>
    <w:lvl w:ilvl="8" w:tentative="0">
      <w:numFmt w:val="decimal"/>
      <w:lvlText w:val=""/>
      <w:lvlJc w:val="left"/>
    </w:lvl>
  </w:abstractNum>
  <w:abstractNum w:abstractNumId="11">
    <w:multiLevelType w:val="multilevel"/>
    <w:lvl w:ilvl="0" w:tentative="0">
      <w:start w:val="1"/>
      <w:numFmt w:val="bullet"/>
      <w:lvlText w:val=""/>
      <w:lvlJc w:val="left"/>
      <w:pPr>
        <w:tabs>
          <w:tab w:val="num" w:pos="720"/>
        </w:tabs>
        <w:ind w:left="720" w:hanging="360"/>
      </w:pPr>
      <w:rPr>
        <w:rFonts w:ascii="Symbol" w:hAnsi="Symbol" w:hint="default"/>
        <w:sz w:val="20"/>
      </w:rPr>
    </w:lvl>
    <w:lvl w:ilvl="1" w:tentative="0">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multiLevelType w:val="hybridMultilevel"/>
    <w:lvl w:ilvl="0" w:tentative="1">
      <w:start w:val="1"/>
      <w:numFmt w:val="bullet"/>
      <w:lvlText w:val=""/>
      <w:lvlJc w:val="left"/>
      <w:pPr>
        <w:ind w:left="720" w:hanging="360"/>
      </w:pPr>
    </w:lvl>
    <w:lvl w:ilvl="1" w:tentative="1">
      <w:start w:val="1"/>
      <w:numFmt w:val="bullet"/>
      <w:lvlText w:val=""/>
      <w:lvlJc w:val="left"/>
      <w:pPr>
        <w:ind w:left="1440" w:hanging="360"/>
      </w:pPr>
    </w:lvl>
    <w:lvl w:ilvl="2" w:tentative="1">
      <w:start w:val="1"/>
      <w:numFmt w:val="decimal"/>
      <w:lvlText w:val="%3."/>
      <w:lvlJc w:val="left"/>
      <w:pPr>
        <w:ind w:left="2160" w:hanging="360"/>
      </w:pPr>
    </w:lvl>
    <w:lvl w:ilvl="3" w:tentative="1">
      <w:start w:val="1"/>
      <w:numFmt w:val="decimal"/>
      <w:lvlText w:val="%4."/>
      <w:lvlJc w:val="left"/>
      <w:pPr>
        <w:ind w:left="2880" w:hanging="360"/>
      </w:pPr>
    </w:lvl>
    <w:lvl w:ilvl="4" w:tentative="1">
      <w:start w:val="1"/>
      <w:numFmt w:val="decimal"/>
      <w:lvlText w:val="%5."/>
      <w:lvlJc w:val="left"/>
      <w:pPr>
        <w:ind w:left="3600" w:hanging="360"/>
      </w:pPr>
    </w:lvl>
    <w:lvl w:ilvl="5" w:tentative="1">
      <w:start w:val="1"/>
      <w:numFmt w:val="decimal"/>
      <w:lvlText w:val="%6."/>
      <w:lvlJc w:val="left"/>
      <w:pPr>
        <w:ind w:left="4320" w:hanging="360"/>
      </w:pPr>
    </w:lvl>
    <w:lvl w:ilvl="6" w:tentative="1">
      <w:start w:val="1"/>
      <w:numFmt w:val="decimal"/>
      <w:lvlText w:val="%7."/>
      <w:lvlJc w:val="left"/>
      <w:pPr>
        <w:ind w:left="5040" w:hanging="360"/>
      </w:pPr>
    </w:lvl>
    <w:lvl w:ilvl="7" w:tentative="1">
      <w:start w:val="1"/>
      <w:numFmt w:val="decimal"/>
      <w:lvlText w:val="%8."/>
      <w:lvlJc w:val="left"/>
      <w:pPr>
        <w:ind w:left="5760" w:hanging="360"/>
      </w:pPr>
    </w:lvl>
    <w:lvl w:ilvl="8" w:tentative="1">
      <w:start w:val="1"/>
      <w:numFmt w:val="decimal"/>
      <w:lvlText w:val="%9."/>
      <w:lvlJc w:val="left"/>
      <w:pPr>
        <w:ind w:left="6480" w:hanging="360"/>
      </w:pPr>
    </w:lvl>
  </w:abstractNum>
  <w:abstractNum w:abstractNumId="13">
    <w:multiLevelType w:val="multilevel"/>
    <w:lvl w:ilvl="0" w:tentative="0">
      <w:numFmt w:val="decimal"/>
      <w:lvlText w:val=""/>
      <w:lvlJc w:val="left"/>
    </w:lvl>
    <w:lvl w:ilvl="1" w:tentative="0">
      <w:numFmt w:val="decimal"/>
      <w:lvlText w:val=""/>
      <w:lvlJc w:val="left"/>
    </w:lvl>
    <w:lvl w:ilvl="2" w:tentative="0">
      <w:numFmt w:val="decimal"/>
      <w:lvlText w:val=""/>
      <w:lvlJc w:val="left"/>
    </w:lvl>
    <w:lvl w:ilvl="3" w:tentative="0">
      <w:numFmt w:val="decimal"/>
      <w:lvlText w:val=""/>
      <w:lvlJc w:val="left"/>
    </w:lvl>
    <w:lvl w:ilvl="4" w:tentative="0">
      <w:numFmt w:val="decimal"/>
      <w:lvlText w:val=""/>
      <w:lvlJc w:val="left"/>
    </w:lvl>
    <w:lvl w:ilvl="5" w:tentative="0">
      <w:numFmt w:val="decimal"/>
      <w:lvlText w:val=""/>
      <w:lvlJc w:val="left"/>
    </w:lvl>
    <w:lvl w:ilvl="6" w:tentative="0">
      <w:numFmt w:val="decimal"/>
      <w:lvlText w:val=""/>
      <w:lvlJc w:val="left"/>
    </w:lvl>
    <w:lvl w:ilvl="7" w:tentative="0">
      <w:numFmt w:val="decimal"/>
      <w:lvlText w:val=""/>
      <w:lvlJc w:val="left"/>
    </w:lvl>
    <w:lvl w:ilvl="8" w:tentative="0">
      <w:numFmt w:val="decimal"/>
      <w:lvlText w:val=""/>
      <w:lvlJc w:val="left"/>
    </w:lvl>
  </w:abstractNum>
  <w:abstractNum w:abstractNumId="14">
    <w:multiLevelType w:val="hybridMultilevel"/>
    <w:lvl w:ilvl="0" w:tentative="0">
      <w:start w:val="1"/>
      <w:numFmt w:val="bullet"/>
      <w:lvlText w:val=""/>
      <w:lvlJc w:val="left"/>
      <w:pPr>
        <w:ind w:left="720" w:hanging="360"/>
      </w:pPr>
      <w:rPr>
        <w:rFonts w:ascii="Symbol" w:hAnsi="Symbol"/>
      </w:rPr>
    </w:lvl>
    <w:lvl w:ilvl="1" w:tentative="0">
      <w:start w:val="1"/>
      <w:numFmt w:val="bullet"/>
      <w:lvlText w:val="o"/>
      <w:lvlJc w:val="left"/>
      <w:pPr>
        <w:ind w:left="1440" w:hanging="360"/>
      </w:pPr>
      <w:rPr>
        <w:rFonts w:ascii="Courier New" w:cs="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cs="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cs="Courier New" w:hAnsi="Courier New"/>
      </w:rPr>
    </w:lvl>
    <w:lvl w:ilvl="8" w:tentative="1">
      <w:start w:val="1"/>
      <w:numFmt w:val="bullet"/>
      <w:lvlText w:val=""/>
      <w:lvlJc w:val="left"/>
      <w:pPr>
        <w:ind w:left="6480" w:hanging="360"/>
      </w:pPr>
      <w:rPr>
        <w:rFonts w:ascii="Wingdings" w:hAnsi="Wingdings"/>
      </w:rPr>
    </w:lvl>
  </w:abstractNum>
  <w:abstractNum w:abstractNumId="15">
    <w:multiLevelType w:val="hybridMultilevel"/>
    <w:lvl w:ilvl="0" w:tentative="0">
      <w:start w:val="1"/>
      <w:numFmt w:val="decimal"/>
      <w:isLgl w:val="off"/>
      <w:suff w:val="tab"/>
      <w:lvlText w:val="%1."/>
      <w:lvlJc w:val="left"/>
      <w:pPr>
        <w:ind w:left="720" w:hanging="360"/>
      </w:pPr>
      <w:rPr/>
    </w:lvl>
    <w:lvl w:ilvl="1" w:tentative="1">
      <w:start w:val="1"/>
      <w:numFmt w:val="lowerLetter"/>
      <w:isLgl w:val="off"/>
      <w:suff w:val="tab"/>
      <w:lvlText w:val="%2."/>
      <w:lvlJc w:val="left"/>
      <w:pPr>
        <w:ind w:left="1440" w:hanging="360"/>
      </w:pPr>
      <w:rPr/>
    </w:lvl>
    <w:lvl w:ilvl="2" w:tentative="1">
      <w:start w:val="1"/>
      <w:numFmt w:val="lowerRoman"/>
      <w:isLgl w:val="off"/>
      <w:suff w:val="tab"/>
      <w:lvlText w:val="%3."/>
      <w:lvlJc w:val="right"/>
      <w:pPr>
        <w:ind w:left="2160" w:hanging="360"/>
      </w:pPr>
      <w:rPr/>
    </w:lvl>
    <w:lvl w:ilvl="3" w:tentative="1">
      <w:start w:val="1"/>
      <w:numFmt w:val="decimal"/>
      <w:isLgl w:val="off"/>
      <w:suff w:val="tab"/>
      <w:lvlText w:val="%4."/>
      <w:lvlJc w:val="left"/>
      <w:pPr>
        <w:ind w:left="2880" w:hanging="360"/>
      </w:pPr>
      <w:rPr/>
    </w:lvl>
    <w:lvl w:ilvl="4" w:tentative="1">
      <w:start w:val="1"/>
      <w:numFmt w:val="lowerLetter"/>
      <w:isLgl w:val="off"/>
      <w:suff w:val="tab"/>
      <w:lvlText w:val="%5."/>
      <w:lvlJc w:val="left"/>
      <w:pPr>
        <w:ind w:left="3600" w:hanging="360"/>
      </w:pPr>
      <w:rPr/>
    </w:lvl>
    <w:lvl w:ilvl="5" w:tentative="1">
      <w:start w:val="1"/>
      <w:numFmt w:val="lowerRoman"/>
      <w:isLgl w:val="off"/>
      <w:suff w:val="tab"/>
      <w:lvlText w:val="%6."/>
      <w:lvlJc w:val="right"/>
      <w:pPr>
        <w:ind w:left="4320" w:hanging="360"/>
      </w:pPr>
      <w:rPr/>
    </w:lvl>
    <w:lvl w:ilvl="6" w:tentative="1">
      <w:start w:val="1"/>
      <w:numFmt w:val="decimal"/>
      <w:isLgl w:val="off"/>
      <w:suff w:val="tab"/>
      <w:lvlText w:val="%7."/>
      <w:lvlJc w:val="left"/>
      <w:pPr>
        <w:ind w:left="5040" w:hanging="360"/>
      </w:pPr>
      <w:rPr/>
    </w:lvl>
    <w:lvl w:ilvl="7" w:tentative="1">
      <w:start w:val="1"/>
      <w:numFmt w:val="lowerLetter"/>
      <w:isLgl w:val="off"/>
      <w:suff w:val="tab"/>
      <w:lvlText w:val="%8."/>
      <w:lvlJc w:val="left"/>
      <w:pPr>
        <w:ind w:left="5760" w:hanging="360"/>
      </w:pPr>
      <w:rPr/>
    </w:lvl>
    <w:lvl w:ilvl="8" w:tentative="1">
      <w:start w:val="1"/>
      <w:numFmt w:val="lowerRoman"/>
      <w:isLgl w:val="off"/>
      <w:suff w:val="tab"/>
      <w:lvlText w:val="%9."/>
      <w:lvlJc w:val="right"/>
      <w:pPr>
        <w:ind w:left="6480" w:hanging="360"/>
      </w:pPr>
      <w:rPr/>
    </w:lvl>
  </w:abstractNum>
  <w:num w:numId="1">
    <w:abstractNumId w:val="1"/>
  </w:num>
  <w:num w:numId="2">
    <w:abstractNumId w:val="11"/>
  </w:num>
  <w:num w:numId="3">
    <w:abstractNumId w:val="8"/>
  </w:num>
  <w:num w:numId="4">
    <w:abstractNumId w:val="6"/>
    <w:lvlOverride w:ilvl="0">
      <w:lvl w:ilvl="0" w:tentative="1">
        <w:numFmt w:val="bullet"/>
        <w:lvlText w:val="·"/>
        <w:lvlJc w:val="left"/>
      </w:lvl>
    </w:lvlOverride>
  </w:num>
  <w:num w:numId="5">
    <w:abstractNumId w:val="10"/>
    <w:lvlOverride w:ilvl="0">
      <w:lvl w:ilvl="0" w:tentative="1">
        <w:numFmt w:val="bullet"/>
        <w:lvlText w:val="·"/>
        <w:lvlJc w:val="left"/>
      </w:lvl>
    </w:lvlOverride>
  </w:num>
  <w:num w:numId="6">
    <w:abstractNumId w:val="12"/>
  </w:num>
  <w:num w:numId="7">
    <w:abstractNumId w:val="3"/>
    <w:lvlOverride w:ilvl="0">
      <w:lvl w:ilvl="0" w:tentative="1">
        <w:numFmt w:val="bullet"/>
        <w:lvlText w:val="·"/>
        <w:lvlJc w:val="left"/>
      </w:lvl>
    </w:lvlOverride>
  </w:num>
  <w:num w:numId="8">
    <w:abstractNumId w:val="5"/>
    <w:lvlOverride w:ilvl="0">
      <w:lvl w:ilvl="0" w:tentative="1">
        <w:numFmt w:val="bullet"/>
        <w:lvlText w:val="·"/>
        <w:lvlJc w:val="left"/>
      </w:lvl>
    </w:lvlOverride>
  </w:num>
  <w:num w:numId="9">
    <w:abstractNumId w:val="2"/>
    <w:lvlOverride w:ilvl="0">
      <w:lvl w:ilvl="0" w:tentative="1">
        <w:numFmt w:val="bullet"/>
        <w:lvlText w:val="·"/>
        <w:lvlJc w:val="left"/>
      </w:lvl>
    </w:lvlOverride>
  </w:num>
  <w:num w:numId="10">
    <w:abstractNumId w:val="9"/>
    <w:lvlOverride w:ilvl="0">
      <w:lvl w:ilvl="0" w:tentative="1">
        <w:numFmt w:val="bullet"/>
        <w:lvlText w:val="·"/>
        <w:lvlJc w:val="left"/>
      </w:lvl>
    </w:lvlOverride>
  </w:num>
  <w:num w:numId="11">
    <w:abstractNumId w:val="14"/>
  </w:num>
  <w:num w:numId="12">
    <w:abstractNumId w:val="0"/>
  </w:num>
  <w:num w:numId="13">
    <w:abstractNumId w:val="7"/>
  </w:num>
  <w:num w:numId="14">
    <w:abstractNumId w:val="4"/>
  </w:num>
  <w:num w:numId="15">
    <w:abstractNumId w:val="13"/>
    <w:lvlOverride w:ilvl="0">
      <w:lvl w:ilvl="0" w:tentative="1">
        <w:numFmt w:val="bullet"/>
        <w:lvlText w:val="·"/>
        <w:lvlJc w:val="left"/>
      </w:lvl>
    </w:lvlOverride>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D8B"/>
    <w:rsid w:val="0002572C"/>
    <w:rsid w:val="0009641D"/>
    <w:rsid w:val="000C74AC"/>
    <w:rsid w:val="001601C2"/>
    <w:rsid w:val="00176CF2"/>
    <w:rsid w:val="003179BC"/>
    <w:rsid w:val="00327221"/>
    <w:rsid w:val="003D4D57"/>
    <w:rsid w:val="00497B17"/>
    <w:rsid w:val="004C76A3"/>
    <w:rsid w:val="005141DC"/>
    <w:rsid w:val="00545CC3"/>
    <w:rsid w:val="005C1425"/>
    <w:rsid w:val="005E474B"/>
    <w:rsid w:val="005E48F3"/>
    <w:rsid w:val="00755D8B"/>
    <w:rsid w:val="008E080A"/>
    <w:rsid w:val="00920FF1"/>
    <w:rsid w:val="00984119"/>
    <w:rsid w:val="00A44AA5"/>
    <w:rsid w:val="00AD2E21"/>
    <w:rsid w:val="00BD741C"/>
    <w:rsid w:val="00C16B64"/>
    <w:rsid w:val="00DA3A06"/>
    <w:rsid w:val="00DB64C6"/>
    <w:rsid w:val="00DE3A26"/>
    <w:rsid w:val="00F039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FEE1C"/>
  <w15:chartTrackingRefBased/>
  <w15:docId w15:val="{17F60732-4189-E94D-8138-A368D62D1B71}"/>
  <w:footnotePr>
    <w:footnote w:id="0"/>
    <w:footnote w:id="1"/>
  </w:footnotePr>
  <w:endnotePr>
    <w:endnote w:id="0"/>
    <w:endnote w:id="1"/>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sz w:val="24"/>
        <w:szCs w:val="24"/>
        <w:lang w:val="ru-RU" w:bidi="ar-SA" w:eastAsia="ru-RU"/>
        <w14:ligatures w14:val="standardContextual"/>
      </w:rPr>
    </w:rPrDefault>
    <w:pPrDefault>
      <w:pPr>
        <w:spacing w:after="160" w:line="278" w:lineRule="auto"/>
      </w:pPr>
    </w:pPrDefault>
  </w:docDefaults>
  <w:style w:type="paragraph" w:default="1" w:styleId="Normal">
    <w:name w:val="Normal"/>
    <w:uiPriority w:val="99"/>
    <w:qFormat w:val="on"/>
  </w:style>
  <w:style w:type="paragraph" w:styleId="Heading1">
    <w:name w:val="Heading 1"/>
    <w:basedOn w:val="Normal"/>
    <w:next w:val="Normal"/>
    <w:link w:val="Заголовок1Знак"/>
    <w:uiPriority w:val="9"/>
    <w:qFormat w:val="on"/>
    <w:pPr>
      <w:keepNext w:val="on"/>
      <w:keepLines w:val="on"/>
      <w:spacing w:before="360" w:after="80"/>
    </w:pPr>
    <w:rPr>
      <w:rFonts w:asciiTheme="majorHAnsi" w:cstheme="majorBidi" w:eastAsiaTheme="majorEastAsia" w:hAnsiTheme="majorHAnsi"/>
      <w:color w:val="2f5395" w:themeColor="accent1" w:themeShade="bf"/>
      <w:sz w:val="40"/>
      <w:szCs w:val="40"/>
    </w:rPr>
  </w:style>
  <w:style w:type="paragraph" w:styleId="Heading2">
    <w:name w:val="Heading 2"/>
    <w:basedOn w:val="Normal"/>
    <w:next w:val="Normal"/>
    <w:link w:val="Заголовок2Знак"/>
    <w:uiPriority w:val="9"/>
    <w:semiHidden w:val="on"/>
    <w:unhideWhenUsed w:val="on"/>
    <w:qFormat w:val="on"/>
    <w:pPr>
      <w:keepNext w:val="on"/>
      <w:keepLines w:val="on"/>
      <w:spacing w:before="160" w:after="80"/>
    </w:pPr>
    <w:rPr>
      <w:rFonts w:asciiTheme="majorHAnsi" w:cstheme="majorBidi" w:eastAsiaTheme="majorEastAsia" w:hAnsiTheme="majorHAnsi"/>
      <w:color w:val="2f5395" w:themeColor="accent1" w:themeShade="bf"/>
      <w:sz w:val="32"/>
      <w:szCs w:val="32"/>
    </w:rPr>
  </w:style>
  <w:style w:type="paragraph" w:styleId="Heading3">
    <w:name w:val="Heading 3"/>
    <w:basedOn w:val="Normal"/>
    <w:next w:val="Normal"/>
    <w:link w:val="Заголовок3Знак"/>
    <w:uiPriority w:val="9"/>
    <w:semiHidden w:val="on"/>
    <w:unhideWhenUsed w:val="on"/>
    <w:qFormat w:val="on"/>
    <w:pPr>
      <w:keepNext w:val="on"/>
      <w:keepLines w:val="on"/>
      <w:spacing w:before="160" w:after="80"/>
    </w:pPr>
    <w:rPr>
      <w:rFonts w:cstheme="majorBidi" w:eastAsiaTheme="majorEastAsia"/>
      <w:color w:val="2f5395" w:themeColor="accent1" w:themeShade="bf"/>
      <w:sz w:val="28"/>
      <w:szCs w:val="28"/>
    </w:rPr>
  </w:style>
  <w:style w:type="paragraph" w:styleId="Heading4">
    <w:name w:val="Heading 4"/>
    <w:basedOn w:val="Normal"/>
    <w:next w:val="Normal"/>
    <w:link w:val="Заголовок4Знак"/>
    <w:uiPriority w:val="9"/>
    <w:semiHidden w:val="on"/>
    <w:unhideWhenUsed w:val="on"/>
    <w:qFormat w:val="on"/>
    <w:pPr>
      <w:keepNext w:val="on"/>
      <w:keepLines w:val="on"/>
      <w:spacing w:before="80" w:after="40"/>
    </w:pPr>
    <w:rPr>
      <w:rFonts w:cstheme="majorBidi" w:eastAsiaTheme="majorEastAsia"/>
      <w:i/>
      <w:iCs/>
      <w:color w:val="2f5395" w:themeColor="accent1" w:themeShade="bf"/>
    </w:rPr>
  </w:style>
  <w:style w:type="paragraph" w:styleId="Heading5">
    <w:name w:val="Heading 5"/>
    <w:basedOn w:val="Normal"/>
    <w:next w:val="Normal"/>
    <w:link w:val="Заголовок5Знак"/>
    <w:uiPriority w:val="9"/>
    <w:semiHidden w:val="on"/>
    <w:unhideWhenUsed w:val="on"/>
    <w:qFormat w:val="on"/>
    <w:pPr>
      <w:keepNext w:val="on"/>
      <w:keepLines w:val="on"/>
      <w:spacing w:before="80" w:after="40"/>
    </w:pPr>
    <w:rPr>
      <w:rFonts w:cstheme="majorBidi" w:eastAsiaTheme="majorEastAsia"/>
      <w:color w:val="2f5395" w:themeColor="accent1" w:themeShade="bf"/>
    </w:rPr>
  </w:style>
  <w:style w:type="paragraph" w:styleId="Heading6">
    <w:name w:val="Heading 6"/>
    <w:basedOn w:val="Normal"/>
    <w:next w:val="Normal"/>
    <w:link w:val="Заголовок6Знак"/>
    <w:uiPriority w:val="9"/>
    <w:semiHidden w:val="on"/>
    <w:unhideWhenUsed w:val="on"/>
    <w:qFormat w:val="on"/>
    <w:pPr>
      <w:keepNext w:val="on"/>
      <w:keepLines w:val="on"/>
      <w:spacing w:before="40" w:after="0"/>
    </w:pPr>
    <w:rPr>
      <w:rFonts w:cstheme="majorBidi" w:eastAsiaTheme="majorEastAsia"/>
      <w:i/>
      <w:iCs/>
      <w:color w:val="595959" w:themeColor="text1" w:themeTint="a6"/>
    </w:rPr>
  </w:style>
  <w:style w:type="paragraph" w:styleId="Heading7">
    <w:name w:val="Heading 7"/>
    <w:basedOn w:val="Normal"/>
    <w:next w:val="Normal"/>
    <w:link w:val="Заголовок7Знак"/>
    <w:uiPriority w:val="9"/>
    <w:semiHidden w:val="on"/>
    <w:unhideWhenUsed w:val="on"/>
    <w:qFormat w:val="on"/>
    <w:pPr>
      <w:keepNext w:val="on"/>
      <w:keepLines w:val="on"/>
      <w:spacing w:before="40" w:after="0"/>
    </w:pPr>
    <w:rPr>
      <w:rFonts w:cstheme="majorBidi" w:eastAsiaTheme="majorEastAsia"/>
      <w:color w:val="595959" w:themeColor="text1" w:themeTint="a6"/>
    </w:rPr>
  </w:style>
  <w:style w:type="paragraph" w:styleId="Heading8">
    <w:name w:val="Heading 8"/>
    <w:basedOn w:val="Normal"/>
    <w:next w:val="Normal"/>
    <w:link w:val="Заголовок8Знак"/>
    <w:uiPriority w:val="9"/>
    <w:semiHidden w:val="on"/>
    <w:unhideWhenUsed w:val="on"/>
    <w:qFormat w:val="on"/>
    <w:pPr>
      <w:keepNext w:val="on"/>
      <w:keepLines w:val="on"/>
      <w:spacing w:after="0"/>
    </w:pPr>
    <w:rPr>
      <w:rFonts w:cstheme="majorBidi" w:eastAsiaTheme="majorEastAsia"/>
      <w:i/>
      <w:iCs/>
      <w:color w:val="272727" w:themeColor="text1" w:themeTint="d8"/>
    </w:rPr>
  </w:style>
  <w:style w:type="paragraph" w:styleId="Heading9">
    <w:name w:val="Heading 9"/>
    <w:basedOn w:val="Normal"/>
    <w:next w:val="Normal"/>
    <w:link w:val="Заголовок9Знак"/>
    <w:uiPriority w:val="9"/>
    <w:semiHidden w:val="on"/>
    <w:unhideWhenUsed w:val="on"/>
    <w:qFormat w:val="on"/>
    <w:pPr>
      <w:keepNext w:val="on"/>
      <w:keepLines w:val="on"/>
      <w:spacing w:after="0"/>
    </w:pPr>
    <w:rPr>
      <w:rFonts w:cstheme="majorBidi" w:eastAsiaTheme="majorEastAsia"/>
      <w:color w:val="272727" w:themeColor="text1" w:themeTint="d8"/>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character" w:customStyle="1" w:styleId="FootnoteTextChar">
    <w:name w:val="Footnote Text Char"/>
    <w:uiPriority w:val="99"/>
    <w:semiHidden w:val="on"/>
    <w:rPr>
      <w:sz w:val="20"/>
      <w:szCs w:val="20"/>
    </w:rPr>
  </w:style>
  <w:style w:type="character" w:customStyle="1" w:styleId="EndnoteTextChar">
    <w:name w:val="Endnote Text Char"/>
    <w:uiPriority w:val="99"/>
    <w:semiHidden w:val="on"/>
    <w:rPr>
      <w:sz w:val="20"/>
      <w:szCs w:val="20"/>
    </w:rPr>
  </w:style>
  <w:style w:type="character" w:customStyle="1" w:styleId="PlainTextChar">
    <w:name w:val="Plain Text Char"/>
    <w:uiPriority w:val="99"/>
    <w:rPr>
      <w:rFonts w:ascii="Courier New" w:cs="Courier New" w:hAnsi="Courier New"/>
      <w:sz w:val="21"/>
      <w:szCs w:val="21"/>
    </w:rPr>
  </w:style>
  <w:style w:type="paragraph" w:styleId="NoSpacing">
    <w:name w:val="No Spacing"/>
    <w:uiPriority w:val="1"/>
    <w:qFormat w:val="on"/>
    <w:pPr>
      <w:spacing w:after="0" w:line="240" w:lineRule="auto"/>
    </w:pPr>
  </w:style>
  <w:style w:type="character" w:customStyle="1" w:styleId="Heading1Char">
    <w:name w:val="Heading 1 Char"/>
    <w:uiPriority w:val="9"/>
    <w:rPr>
      <w:rFonts w:asciiTheme="majorHAnsi" w:cstheme="majorBidi" w:eastAsiaTheme="majorEastAsia" w:hAnsiTheme="majorHAnsi"/>
      <w:b/>
      <w:bCs/>
      <w:color w:val="2f5395" w:themeColor="accent1" w:themeShade="bf"/>
      <w:sz w:val="28"/>
      <w:szCs w:val="28"/>
    </w:rPr>
  </w:style>
  <w:style w:type="character" w:customStyle="1" w:styleId="Heading2Char">
    <w:name w:val="Heading 2 Char"/>
    <w:uiPriority w:val="9"/>
    <w:rPr>
      <w:rFonts w:asciiTheme="majorHAnsi" w:cstheme="majorBidi" w:eastAsiaTheme="majorEastAsia" w:hAnsiTheme="majorHAnsi"/>
      <w:b/>
      <w:bCs/>
      <w:color w:val="4472c4" w:themeColor="accent1"/>
      <w:sz w:val="26"/>
      <w:szCs w:val="26"/>
    </w:rPr>
  </w:style>
  <w:style w:type="character" w:customStyle="1" w:styleId="Heading3Char">
    <w:name w:val="Heading 3 Char"/>
    <w:uiPriority w:val="9"/>
    <w:rPr>
      <w:rFonts w:asciiTheme="majorHAnsi" w:cstheme="majorBidi" w:eastAsiaTheme="majorEastAsia" w:hAnsiTheme="majorHAnsi"/>
      <w:b/>
      <w:bCs/>
      <w:color w:val="4472c4" w:themeColor="accent1"/>
    </w:rPr>
  </w:style>
  <w:style w:type="character" w:customStyle="1" w:styleId="Heading4Char">
    <w:name w:val="Heading 4 Char"/>
    <w:uiPriority w:val="9"/>
    <w:rPr>
      <w:rFonts w:asciiTheme="majorHAnsi" w:cstheme="majorBidi" w:eastAsiaTheme="majorEastAsia" w:hAnsiTheme="majorHAnsi"/>
      <w:b/>
      <w:bCs/>
      <w:i/>
      <w:iCs/>
      <w:color w:val="4472c4" w:themeColor="accent1"/>
    </w:rPr>
  </w:style>
  <w:style w:type="character" w:customStyle="1" w:styleId="Heading5Char">
    <w:name w:val="Heading 5 Char"/>
    <w:uiPriority w:val="9"/>
    <w:rPr>
      <w:rFonts w:asciiTheme="majorHAnsi" w:cstheme="majorBidi" w:eastAsiaTheme="majorEastAsia" w:hAnsiTheme="majorHAnsi"/>
      <w:color w:val="1f3763" w:themeColor="accent1" w:themeShade="7f"/>
    </w:rPr>
  </w:style>
  <w:style w:type="character" w:customStyle="1" w:styleId="Heading6Char">
    <w:name w:val="Heading 6 Char"/>
    <w:uiPriority w:val="9"/>
    <w:rPr>
      <w:rFonts w:asciiTheme="majorHAnsi" w:cstheme="majorBidi" w:eastAsiaTheme="majorEastAsia" w:hAnsiTheme="majorHAnsi"/>
      <w:i/>
      <w:iCs/>
      <w:color w:val="1f3763" w:themeColor="accent1" w:themeShade="7f"/>
    </w:rPr>
  </w:style>
  <w:style w:type="character" w:customStyle="1" w:styleId="Heading7Char">
    <w:name w:val="Heading 7 Char"/>
    <w:uiPriority w:val="9"/>
    <w:rPr>
      <w:rFonts w:asciiTheme="majorHAnsi" w:cstheme="majorBidi" w:eastAsiaTheme="majorEastAsia" w:hAnsiTheme="majorHAnsi"/>
      <w:i/>
      <w:iCs/>
      <w:color w:val="404040" w:themeColor="text1" w:themeTint="bf"/>
    </w:rPr>
  </w:style>
  <w:style w:type="character" w:customStyle="1" w:styleId="Heading8Char">
    <w:name w:val="Heading 8 Char"/>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uiPriority w:val="9"/>
    <w:rPr>
      <w:rFonts w:asciiTheme="majorHAnsi" w:cstheme="majorBidi" w:eastAsiaTheme="majorEastAsia" w:hAnsiTheme="majorHAnsi"/>
      <w:i/>
      <w:iCs/>
      <w:color w:val="404040" w:themeColor="text1" w:themeTint="bf"/>
      <w:sz w:val="20"/>
      <w:szCs w:val="20"/>
    </w:rPr>
  </w:style>
  <w:style w:type="character" w:customStyle="1" w:styleId="TitleChar">
    <w:name w:val="Title Char"/>
    <w:uiPriority w:val="10"/>
    <w:rPr>
      <w:rFonts w:asciiTheme="majorHAnsi" w:cstheme="majorBidi" w:eastAsiaTheme="majorEastAsia" w:hAnsiTheme="majorHAnsi"/>
      <w:color w:val="333f4f" w:themeColor="text2" w:themeShade="bf"/>
      <w:spacing w:val="5"/>
      <w:sz w:val="52"/>
      <w:szCs w:val="52"/>
    </w:rPr>
  </w:style>
  <w:style w:type="character" w:customStyle="1" w:styleId="SubtitleChar">
    <w:name w:val="Subtitle Char"/>
    <w:uiPriority w:val="11"/>
    <w:rPr>
      <w:rFonts w:asciiTheme="majorHAnsi" w:cstheme="majorBidi" w:eastAsiaTheme="majorEastAsia" w:hAnsiTheme="majorHAnsi"/>
      <w:i/>
      <w:iCs/>
      <w:color w:val="4472c4" w:themeColor="accent1"/>
      <w:spacing w:val="15"/>
      <w:sz w:val="24"/>
      <w:szCs w:val="24"/>
    </w:rPr>
  </w:style>
  <w:style w:type="character" w:styleId="SubtleEmphasis">
    <w:name w:val="Subtle Emphasis"/>
    <w:uiPriority w:val="19"/>
    <w:qFormat w:val="on"/>
    <w:rPr>
      <w:i/>
      <w:iCs/>
      <w:color w:val="808080" w:themeColor="text1" w:themeTint="7f"/>
    </w:rPr>
  </w:style>
  <w:style w:type="character" w:styleId="Emphasis">
    <w:name w:val="Emphasis"/>
    <w:uiPriority w:val="20"/>
    <w:qFormat w:val="on"/>
    <w:rPr>
      <w:i/>
      <w:iCs/>
    </w:rPr>
  </w:style>
  <w:style w:type="character" w:customStyle="1" w:styleId="QuoteChar">
    <w:name w:val="Quote Char"/>
    <w:uiPriority w:val="29"/>
    <w:rPr>
      <w:i/>
      <w:iCs/>
      <w:color w:val="000000" w:themeColor="text1"/>
    </w:rPr>
  </w:style>
  <w:style w:type="character" w:customStyle="1" w:styleId="IntenseQuoteChar">
    <w:name w:val="Intense Quote Char"/>
    <w:uiPriority w:val="30"/>
    <w:rPr>
      <w:b/>
      <w:bCs/>
      <w:i/>
      <w:iCs/>
      <w:color w:val="4472c4" w:themeColor="accent1"/>
    </w:rPr>
  </w:style>
  <w:style w:type="character" w:styleId="SubtleReference">
    <w:name w:val="Subtle Reference"/>
    <w:uiPriority w:val="31"/>
    <w:qFormat w:val="on"/>
    <w:rPr>
      <w:smallCaps/>
      <w:color w:val="ed7d31" w:themeColor="accent2"/>
      <w:u w:val="single"/>
    </w:rPr>
  </w:style>
  <w:style w:type="character" w:styleId="BookTitle">
    <w:name w:val="Book Title"/>
    <w:uiPriority w:val="33"/>
    <w:qFormat w:val="on"/>
    <w:rPr>
      <w:b/>
      <w:bCs/>
      <w:smallCaps/>
      <w:spacing w:val="5"/>
    </w:rPr>
  </w:style>
  <w:style w:type="paragraph" w:styleId="Footnotetext">
    <w:name w:val="Footnote text"/>
    <w:link w:val="ТекстсноскиЗнак"/>
    <w:uiPriority w:val="99"/>
    <w:semiHidden w:val="on"/>
    <w:unhideWhenUsed w:val="on"/>
    <w:pPr>
      <w:spacing w:after="0" w:line="240" w:lineRule="auto"/>
    </w:pPr>
    <w:rPr>
      <w:sz w:val="20"/>
      <w:szCs w:val="20"/>
    </w:rPr>
  </w:style>
  <w:style w:type="character" w:customStyle="1" w:styleId="ТекстсноскиЗнак">
    <w:name w:val="Текст сноски Знак"/>
    <w:link w:val="Footnotetext"/>
    <w:uiPriority w:val="99"/>
    <w:semiHidden w:val="on"/>
    <w:rPr>
      <w:sz w:val="20"/>
      <w:szCs w:val="20"/>
    </w:rPr>
  </w:style>
  <w:style w:type="character" w:styleId="Footnotereference">
    <w:name w:val="Footnote reference"/>
    <w:uiPriority w:val="99"/>
    <w:semiHidden w:val="on"/>
    <w:unhideWhenUsed w:val="on"/>
    <w:rPr>
      <w:vertAlign w:val="superscript"/>
    </w:rPr>
  </w:style>
  <w:style w:type="paragraph" w:styleId="Endnotetext">
    <w:name w:val="Endnote text"/>
    <w:link w:val="ТекстконцевойсноскиЗнак"/>
    <w:uiPriority w:val="99"/>
    <w:semiHidden w:val="on"/>
    <w:unhideWhenUsed w:val="on"/>
    <w:pPr>
      <w:spacing w:after="0" w:line="240" w:lineRule="auto"/>
    </w:pPr>
    <w:rPr>
      <w:sz w:val="20"/>
      <w:szCs w:val="20"/>
    </w:rPr>
  </w:style>
  <w:style w:type="character" w:customStyle="1" w:styleId="ТекстконцевойсноскиЗнак">
    <w:name w:val="Текст концевой сноски Знак"/>
    <w:link w:val="Endnotetext"/>
    <w:uiPriority w:val="99"/>
    <w:semiHidden w:val="on"/>
    <w:rPr>
      <w:sz w:val="20"/>
      <w:szCs w:val="20"/>
    </w:rPr>
  </w:style>
  <w:style w:type="character" w:styleId="Endnotereference">
    <w:name w:val="Endnote reference"/>
    <w:uiPriority w:val="99"/>
    <w:semiHidden w:val="on"/>
    <w:unhideWhenUsed w:val="on"/>
    <w:rPr>
      <w:vertAlign w:val="superscript"/>
    </w:rPr>
  </w:style>
  <w:style w:type="character" w:styleId="Hyperlink">
    <w:name w:val="Hyperlink"/>
    <w:uiPriority w:val="99"/>
    <w:unhideWhenUsed w:val="on"/>
    <w:rPr>
      <w:color w:val="0563c1" w:themeColor="hyperlink"/>
      <w:u w:val="single"/>
    </w:rPr>
  </w:style>
  <w:style w:type="character" w:styleId="FollowedHyperlink">
    <w:name w:val="FollowedHyperlink"/>
    <w:uiPriority w:val="99"/>
    <w:semiHidden w:val="on"/>
    <w:unhideWhenUsed w:val="on"/>
    <w:rPr>
      <w:color w:val="954f72" w:themeColor="followedHyperlink"/>
      <w:u w:val="single"/>
    </w:rPr>
  </w:style>
  <w:style w:type="paragraph" w:styleId="PlainText">
    <w:name w:val="Plain Text"/>
    <w:link w:val="ТекстЗнак"/>
    <w:uiPriority w:val="99"/>
    <w:semiHidden w:val="on"/>
    <w:unhideWhenUsed w:val="on"/>
    <w:pPr>
      <w:spacing w:after="0" w:line="240" w:lineRule="auto"/>
    </w:pPr>
    <w:rPr>
      <w:rFonts w:ascii="Courier New" w:cs="Courier New" w:hAnsi="Courier New"/>
      <w:sz w:val="21"/>
      <w:szCs w:val="21"/>
    </w:rPr>
  </w:style>
  <w:style w:type="character" w:customStyle="1" w:styleId="ТекстЗнак">
    <w:name w:val="Текст Знак"/>
    <w:link w:val="PlainText"/>
    <w:uiPriority w:val="99"/>
    <w:rPr>
      <w:rFonts w:ascii="Courier New" w:cs="Courier New" w:hAnsi="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Caption">
    <w:name w:val="Caption"/>
    <w:uiPriority w:val="35"/>
    <w:unhideWhenUsed w:val="on"/>
    <w:qFormat w:val="on"/>
    <w:pPr>
      <w:spacing w:after="200" w:line="240" w:lineRule="auto"/>
    </w:pPr>
    <w:rPr>
      <w:i/>
      <w:iCs/>
      <w:color w:val="44546a" w:themeColor="text2"/>
      <w:sz w:val="18"/>
      <w:szCs w:val="18"/>
    </w:rPr>
  </w:style>
  <w:style w:type="character" w:customStyle="1" w:styleId="Заголовок1Знак">
    <w:name w:val="Заголовок 1 Знак"/>
    <w:basedOn w:val="DefaultParagraphFont"/>
    <w:link w:val="Heading1"/>
    <w:uiPriority w:val="9"/>
    <w:rPr>
      <w:rFonts w:asciiTheme="majorHAnsi" w:cstheme="majorBidi" w:eastAsiaTheme="majorEastAsia" w:hAnsiTheme="majorHAnsi"/>
      <w:color w:val="2f5395" w:themeColor="accent1" w:themeShade="bf"/>
      <w:sz w:val="40"/>
      <w:szCs w:val="40"/>
    </w:rPr>
  </w:style>
  <w:style w:type="character" w:customStyle="1" w:styleId="Заголовок2Знак">
    <w:name w:val="Заголовок 2 Знак"/>
    <w:basedOn w:val="DefaultParagraphFont"/>
    <w:link w:val="Heading2"/>
    <w:uiPriority w:val="9"/>
    <w:semiHidden w:val="on"/>
    <w:rPr>
      <w:rFonts w:asciiTheme="majorHAnsi" w:cstheme="majorBidi" w:eastAsiaTheme="majorEastAsia" w:hAnsiTheme="majorHAnsi"/>
      <w:color w:val="2f5395" w:themeColor="accent1" w:themeShade="bf"/>
      <w:sz w:val="32"/>
      <w:szCs w:val="32"/>
    </w:rPr>
  </w:style>
  <w:style w:type="character" w:customStyle="1" w:styleId="Заголовок3Знак">
    <w:name w:val="Заголовок 3 Знак"/>
    <w:basedOn w:val="DefaultParagraphFont"/>
    <w:link w:val="Heading3"/>
    <w:uiPriority w:val="9"/>
    <w:semiHidden w:val="on"/>
    <w:rPr>
      <w:rFonts w:cstheme="majorBidi" w:eastAsiaTheme="majorEastAsia"/>
      <w:color w:val="2f5395" w:themeColor="accent1" w:themeShade="bf"/>
      <w:sz w:val="28"/>
      <w:szCs w:val="28"/>
    </w:rPr>
  </w:style>
  <w:style w:type="character" w:customStyle="1" w:styleId="Заголовок4Знак">
    <w:name w:val="Заголовок 4 Знак"/>
    <w:basedOn w:val="DefaultParagraphFont"/>
    <w:link w:val="Heading4"/>
    <w:uiPriority w:val="9"/>
    <w:semiHidden w:val="on"/>
    <w:rPr>
      <w:rFonts w:cstheme="majorBidi" w:eastAsiaTheme="majorEastAsia"/>
      <w:i/>
      <w:iCs/>
      <w:color w:val="2f5395" w:themeColor="accent1" w:themeShade="bf"/>
    </w:rPr>
  </w:style>
  <w:style w:type="character" w:customStyle="1" w:styleId="Заголовок5Знак">
    <w:name w:val="Заголовок 5 Знак"/>
    <w:basedOn w:val="DefaultParagraphFont"/>
    <w:link w:val="Heading5"/>
    <w:uiPriority w:val="9"/>
    <w:semiHidden w:val="on"/>
    <w:rPr>
      <w:rFonts w:cstheme="majorBidi" w:eastAsiaTheme="majorEastAsia"/>
      <w:color w:val="2f5395" w:themeColor="accent1" w:themeShade="bf"/>
    </w:rPr>
  </w:style>
  <w:style w:type="character" w:customStyle="1" w:styleId="Заголовок6Знак">
    <w:name w:val="Заголовок 6 Знак"/>
    <w:basedOn w:val="DefaultParagraphFont"/>
    <w:link w:val="Heading6"/>
    <w:uiPriority w:val="9"/>
    <w:semiHidden w:val="on"/>
    <w:rPr>
      <w:rFonts w:cstheme="majorBidi" w:eastAsiaTheme="majorEastAsia"/>
      <w:i/>
      <w:iCs/>
      <w:color w:val="595959" w:themeColor="text1" w:themeTint="a6"/>
    </w:rPr>
  </w:style>
  <w:style w:type="character" w:customStyle="1" w:styleId="Заголовок7Знак">
    <w:name w:val="Заголовок 7 Знак"/>
    <w:basedOn w:val="DefaultParagraphFont"/>
    <w:link w:val="Heading7"/>
    <w:uiPriority w:val="9"/>
    <w:semiHidden w:val="on"/>
    <w:rPr>
      <w:rFonts w:cstheme="majorBidi" w:eastAsiaTheme="majorEastAsia"/>
      <w:color w:val="595959" w:themeColor="text1" w:themeTint="a6"/>
    </w:rPr>
  </w:style>
  <w:style w:type="character" w:customStyle="1" w:styleId="Заголовок8Знак">
    <w:name w:val="Заголовок 8 Знак"/>
    <w:basedOn w:val="DefaultParagraphFont"/>
    <w:link w:val="Heading8"/>
    <w:uiPriority w:val="9"/>
    <w:semiHidden w:val="on"/>
    <w:rPr>
      <w:rFonts w:cstheme="majorBidi" w:eastAsiaTheme="majorEastAsia"/>
      <w:i/>
      <w:iCs/>
      <w:color w:val="272727" w:themeColor="text1" w:themeTint="d8"/>
    </w:rPr>
  </w:style>
  <w:style w:type="character" w:customStyle="1" w:styleId="Заголовок9Знак">
    <w:name w:val="Заголовок 9 Знак"/>
    <w:basedOn w:val="DefaultParagraphFont"/>
    <w:link w:val="Heading9"/>
    <w:uiPriority w:val="9"/>
    <w:semiHidden w:val="on"/>
    <w:rPr>
      <w:rFonts w:cstheme="majorBidi" w:eastAsiaTheme="majorEastAsia"/>
      <w:color w:val="272727" w:themeColor="text1" w:themeTint="d8"/>
    </w:rPr>
  </w:style>
  <w:style w:type="paragraph" w:styleId="Title">
    <w:name w:val="Title"/>
    <w:basedOn w:val="Normal"/>
    <w:next w:val="Normal"/>
    <w:link w:val="ЗаголовокЗнак"/>
    <w:uiPriority w:val="10"/>
    <w:qFormat w:val="on"/>
    <w:pPr>
      <w:spacing w:after="80" w:line="240" w:lineRule="auto"/>
      <w:contextualSpacing w:val="on"/>
    </w:pPr>
    <w:rPr>
      <w:rFonts w:asciiTheme="majorHAnsi" w:cstheme="majorBidi" w:eastAsiaTheme="majorEastAsia" w:hAnsiTheme="majorHAnsi"/>
      <w:spacing w:val="-10"/>
      <w:sz w:val="56"/>
      <w:szCs w:val="56"/>
    </w:rPr>
  </w:style>
  <w:style w:type="character" w:customStyle="1" w:styleId="ЗаголовокЗнак">
    <w:name w:val="Заголовок Знак"/>
    <w:basedOn w:val="DefaultParagraphFont"/>
    <w:link w:val="Title"/>
    <w:uiPriority w:val="10"/>
    <w:rPr>
      <w:rFonts w:asciiTheme="majorHAnsi" w:cstheme="majorBidi" w:eastAsiaTheme="majorEastAsia" w:hAnsiTheme="majorHAnsi"/>
      <w:spacing w:val="-10"/>
      <w:sz w:val="56"/>
      <w:szCs w:val="56"/>
    </w:rPr>
  </w:style>
  <w:style w:type="paragraph" w:styleId="Subtitle">
    <w:name w:val="Subtitle"/>
    <w:basedOn w:val="Normal"/>
    <w:next w:val="Normal"/>
    <w:link w:val="ПодзаголовокЗнак"/>
    <w:uiPriority w:val="11"/>
    <w:qFormat w:val="on"/>
    <w:rPr>
      <w:rFonts w:cstheme="majorBidi" w:eastAsiaTheme="majorEastAsia"/>
      <w:color w:val="595959" w:themeColor="text1" w:themeTint="a6"/>
      <w:spacing w:val="15"/>
      <w:sz w:val="28"/>
      <w:szCs w:val="28"/>
    </w:rPr>
  </w:style>
  <w:style w:type="character" w:customStyle="1" w:styleId="ПодзаголовокЗнак">
    <w:name w:val="Подзаголовок Знак"/>
    <w:basedOn w:val="DefaultParagraphFont"/>
    <w:link w:val="Subtitle"/>
    <w:uiPriority w:val="11"/>
    <w:rPr>
      <w:rFonts w:cstheme="majorBidi" w:eastAsiaTheme="majorEastAsia"/>
      <w:color w:val="595959" w:themeColor="text1" w:themeTint="a6"/>
      <w:spacing w:val="15"/>
      <w:sz w:val="28"/>
      <w:szCs w:val="28"/>
    </w:rPr>
  </w:style>
  <w:style w:type="paragraph" w:styleId="Quote">
    <w:name w:val="Quote"/>
    <w:basedOn w:val="Normal"/>
    <w:next w:val="Normal"/>
    <w:link w:val="Цитата2Знак"/>
    <w:uiPriority w:val="29"/>
    <w:qFormat w:val="on"/>
    <w:pPr>
      <w:spacing w:before="160"/>
      <w:jc w:val="center"/>
    </w:pPr>
    <w:rPr>
      <w:i/>
      <w:iCs/>
      <w:color w:val="404040" w:themeColor="text1" w:themeTint="bf"/>
    </w:rPr>
  </w:style>
  <w:style w:type="character" w:customStyle="1" w:styleId="Цитата2Знак">
    <w:name w:val="Цитата 2 Знак"/>
    <w:basedOn w:val="DefaultParagraphFont"/>
    <w:link w:val="Quote"/>
    <w:uiPriority w:val="29"/>
    <w:rPr>
      <w:i/>
      <w:iCs/>
      <w:color w:val="404040" w:themeColor="text1" w:themeTint="bf"/>
    </w:rPr>
  </w:style>
  <w:style w:type="paragraph" w:styleId="ListParagraph">
    <w:name w:val="List Paragraph"/>
    <w:basedOn w:val="Normal"/>
    <w:uiPriority w:val="34"/>
    <w:qFormat w:val="on"/>
    <w:pPr>
      <w:ind w:left="720"/>
      <w:contextualSpacing w:val="on"/>
    </w:pPr>
  </w:style>
  <w:style w:type="character" w:styleId="IntenseEmphasis">
    <w:name w:val="Intense Emphasis"/>
    <w:basedOn w:val="DefaultParagraphFont"/>
    <w:uiPriority w:val="21"/>
    <w:qFormat w:val="on"/>
    <w:rPr>
      <w:i/>
      <w:iCs/>
      <w:color w:val="2f5395" w:themeColor="accent1" w:themeShade="bf"/>
    </w:rPr>
  </w:style>
  <w:style w:type="paragraph" w:styleId="IntenseQuote">
    <w:name w:val="Intense Quote"/>
    <w:basedOn w:val="Normal"/>
    <w:next w:val="Normal"/>
    <w:link w:val="ВыделеннаяцитатаЗнак"/>
    <w:uiPriority w:val="30"/>
    <w:qFormat w:val="on"/>
    <w:pPr>
      <w:pBdr>
        <w:top w:val="single" w:color="2f5395" w:themeColor="accent1" w:themeShade="bf" w:sz="4" w:space="10"/>
        <w:bottom w:val="single" w:color="2f5395" w:themeColor="accent1" w:themeShade="bf" w:sz="4" w:space="10"/>
      </w:pBdr>
      <w:spacing w:before="360" w:after="360"/>
      <w:ind w:left="864" w:right="864"/>
      <w:jc w:val="center"/>
    </w:pPr>
    <w:rPr>
      <w:i/>
      <w:iCs/>
      <w:color w:val="2f5395" w:themeColor="accent1" w:themeShade="bf"/>
    </w:rPr>
  </w:style>
  <w:style w:type="character" w:customStyle="1" w:styleId="ВыделеннаяцитатаЗнак">
    <w:name w:val="Выделенная цитата Знак"/>
    <w:basedOn w:val="DefaultParagraphFont"/>
    <w:link w:val="IntenseQuote"/>
    <w:uiPriority w:val="30"/>
    <w:rPr>
      <w:i/>
      <w:iCs/>
      <w:color w:val="2f5395" w:themeColor="accent1" w:themeShade="bf"/>
    </w:rPr>
  </w:style>
  <w:style w:type="character" w:styleId="IntenseReference">
    <w:name w:val="Intense Reference"/>
    <w:basedOn w:val="DefaultParagraphFont"/>
    <w:uiPriority w:val="32"/>
    <w:qFormat w:val="on"/>
    <w:rPr>
      <w:b/>
      <w:bCs/>
      <w:smallCaps/>
      <w:color w:val="2f5395" w:themeColor="accent1" w:themeShade="bf"/>
      <w:spacing w:val="5"/>
    </w:rPr>
  </w:style>
  <w:style w:type="paragraph" w:styleId="Normal(Web)">
    <w:name w:val="Normal (Web)"/>
    <w:basedOn w:val="Normal"/>
    <w:uiPriority w:val="99"/>
    <w:semiHidden w:val="on"/>
    <w:unhideWhenUsed w:val="on"/>
    <w:pPr>
      <w:spacing w:before="100" w:after="100" w:line="240" w:lineRule="auto"/>
    </w:pPr>
    <w:rPr>
      <w:rFonts w:ascii="Times New Roman" w:cs="Times New Roman" w:hAnsi="Times New Roman"/>
    </w:rPr>
  </w:style>
  <w:style w:type="character" w:styleId="Strong">
    <w:name w:val="Strong"/>
    <w:basedOn w:val="DefaultParagraphFont"/>
    <w:uiPriority w:val="22"/>
    <w:qFormat w:val="on"/>
    <w:rPr>
      <w:b/>
      <w:bCs/>
    </w:rPr>
  </w:style>
  <w:style w:type="paragraph" w:customStyle="1" w:styleId="P1">
    <w:name w:val="P1"/>
    <w:basedOn w:val="Normal"/>
    <w:uiPriority w:val="99"/>
    <w:pPr>
      <w:spacing w:after="0" w:line="240" w:lineRule="auto"/>
    </w:pPr>
    <w:rPr>
      <w:rFonts w:ascii=".SF UI" w:cs="Times New Roman" w:hAnsi=".SF UI"/>
      <w:sz w:val="18"/>
      <w:szCs w:val="18"/>
    </w:rPr>
  </w:style>
  <w:style w:type="character" w:customStyle="1" w:styleId="S1">
    <w:name w:val="S1"/>
    <w:basedOn w:val="DefaultParagraphFont"/>
    <w:uiPriority w:val="99"/>
    <w:rPr>
      <w:rFonts w:ascii=".SFUI-Regular" w:hAnsi=".SFUI-Regular" w:hint="default"/>
      <w:b w:val="off"/>
      <w:bCs w:val="off"/>
      <w:i w:val="off"/>
      <w:iCs w:val="off"/>
      <w:sz w:val="18"/>
      <w:szCs w:val="18"/>
    </w:rPr>
  </w:style>
  <w:style w:type="paragraph" w:styleId="Header">
    <w:name w:val="Header"/>
    <w:basedOn w:val="Normal"/>
    <w:link w:val="ВерхнийколонтитулЗнак"/>
    <w:uiPriority w:val="99"/>
    <w:unhideWhenUsed w:val="on"/>
    <w:pPr>
      <w:tabs>
        <w:tab w:val="center" w:pos="4513"/>
        <w:tab w:val="right" w:pos="9026"/>
      </w:tabs>
      <w:spacing w:after="0" w:line="240" w:lineRule="auto"/>
    </w:pPr>
  </w:style>
  <w:style w:type="character" w:customStyle="1" w:styleId="ВерхнийколонтитулЗнак">
    <w:name w:val="Верхний колонтитул Знак"/>
    <w:basedOn w:val="DefaultParagraphFont"/>
    <w:link w:val="Header"/>
    <w:uiPriority w:val="99"/>
  </w:style>
  <w:style w:type="paragraph" w:styleId="Footer">
    <w:name w:val="Footer"/>
    <w:basedOn w:val="Normal"/>
    <w:link w:val="НижнийколонтитулЗнак"/>
    <w:uiPriority w:val="99"/>
    <w:unhideWhenUsed w:val="on"/>
    <w:pPr>
      <w:tabs>
        <w:tab w:val="center" w:pos="4513"/>
        <w:tab w:val="right" w:pos="9026"/>
      </w:tabs>
      <w:spacing w:after="0" w:line="240" w:lineRule="auto"/>
    </w:pPr>
  </w:style>
  <w:style w:type="character" w:customStyle="1" w:styleId="НижнийколонтитулЗнак">
    <w:name w:val="Нижний колонтитул Знак"/>
    <w:basedOn w:val="DefaultParagraphFont"/>
    <w:link w:val="Footer"/>
    <w:uiPriority w:val="99"/>
  </w:style>
  <w:style w:type="paragraph" w:styleId="BodyTextIndent">
    <w:name w:val="Body Text Indent"/>
    <w:basedOn w:val="Normal"/>
    <w:link w:val="ОсновнойтекстсотступомЗнак"/>
    <w:uiPriority w:val="99"/>
    <w:unhideWhenUsed w:val="on"/>
    <w:pPr>
      <w:spacing w:after="0" w:line="360" w:lineRule="auto"/>
      <w:ind w:firstLine="709"/>
      <w:jc w:val="both"/>
    </w:pPr>
    <w:rPr>
      <w:rFonts w:ascii="Times New Roman" w:cs="Times New Roman" w:hAnsi="Times New Roman"/>
      <w:color w:val="000000"/>
      <w:sz w:val="28"/>
      <w:szCs w:val="28"/>
    </w:rPr>
  </w:style>
  <w:style w:type="character" w:customStyle="1" w:styleId="ОсновнойтекстсотступомЗнак">
    <w:name w:val="Основной текст с отступом Знак"/>
    <w:basedOn w:val="DefaultParagraphFont"/>
    <w:link w:val="BodyTextIndent"/>
    <w:uiPriority w:val="99"/>
    <w:rPr>
      <w:rFonts w:ascii="Times New Roman" w:cs="Times New Roman" w:hAnsi="Times New Roman"/>
      <w:color w:val="000000"/>
      <w:sz w:val="28"/>
      <w:szCs w:val="28"/>
    </w:rPr>
  </w:style>
  <w:style w:type="paragraph" w:styleId="BodyTextIndent2">
    <w:name w:val="Body Text Indent 2"/>
    <w:basedOn w:val="Normal"/>
    <w:link w:val="Основнойтекстсотступом2Знак"/>
    <w:uiPriority w:val="99"/>
    <w:unhideWhenUsed w:val="on"/>
    <w:pPr>
      <w:pBdr>
        <w:top w:val="none" w:sz="4" w:space="0"/>
        <w:left w:val="none" w:sz="4" w:space="0"/>
        <w:bottom w:val="none" w:sz="4" w:space="0"/>
        <w:right w:val="none" w:sz="4" w:space="0"/>
        <w:between w:val="none" w:sz="4" w:space="0"/>
        <w:bar w:val="none" w:sz="4" w:space="0"/>
      </w:pBdr>
      <w:spacing w:after="0" w:line="360" w:lineRule="auto"/>
      <w:ind w:firstLine="709"/>
      <w:jc w:val="both"/>
    </w:pPr>
    <w:rPr>
      <w:rFonts w:ascii="Times New Roman" w:cs="Times New Roman" w:hAnsi="Times New Roman"/>
      <w:color w:val="000000"/>
      <w:sz w:val="28"/>
      <w:szCs w:val="28"/>
    </w:rPr>
  </w:style>
  <w:style w:type="character" w:customStyle="1" w:styleId="Основнойтекстсотступом2Знак">
    <w:name w:val="Основной текст с отступом 2 Знак"/>
    <w:basedOn w:val="DefaultParagraphFont"/>
    <w:link w:val="BodyTextIndent2"/>
    <w:uiPriority w:val="99"/>
    <w:rPr>
      <w:rFonts w:ascii="Times New Roman" w:cs="Times New Roman" w:hAnsi="Times New Roman"/>
      <w:color w:val="000000"/>
      <w:sz w:val="28"/>
      <w:szCs w:val="28"/>
    </w:rPr>
  </w:style>
  <w:style w:type="paragraph" w:styleId="BodyText">
    <w:name w:val="Body Text"/>
    <w:basedOn w:val="Normal"/>
    <w:link w:val="ОсновнойтекстЗнак"/>
    <w:uiPriority w:val="99"/>
    <w:unhideWhenUsed w:val="on"/>
    <w:pPr>
      <w:pBdr>
        <w:top w:val="none" w:sz="4" w:space="0"/>
        <w:left w:val="none" w:sz="4" w:space="0"/>
        <w:bottom w:val="none" w:sz="4" w:space="0"/>
        <w:right w:val="none" w:sz="4" w:space="0"/>
        <w:between w:val="none" w:sz="4" w:space="0"/>
        <w:bar w:val="none" w:sz="4" w:space="0"/>
      </w:pBdr>
      <w:spacing w:after="0" w:line="240" w:lineRule="auto"/>
      <w:jc w:val="both"/>
    </w:pPr>
    <w:rPr>
      <w:rFonts w:ascii="Times New Roman" w:cs="Times New Roman" w:hAnsi="Times New Roman"/>
      <w:color w:val="000000"/>
      <w:sz w:val="28"/>
      <w:szCs w:val="28"/>
    </w:rPr>
  </w:style>
  <w:style w:type="character" w:customStyle="1" w:styleId="ОсновнойтекстЗнак">
    <w:name w:val="Основной текст Знак"/>
    <w:basedOn w:val="DefaultParagraphFont"/>
    <w:link w:val="BodyText"/>
    <w:uiPriority w:val="99"/>
    <w:rPr>
      <w:rFonts w:ascii="Times New Roman" w:cs="Times New Roman" w:hAnsi="Times New Roman"/>
      <w:color w:val="000000"/>
      <w:sz w:val="28"/>
      <w:szCs w:val="28"/>
    </w:rPr>
  </w:style>
  <w:style w:type="paragraph" w:styleId="BodyTextIndent3">
    <w:name w:val="Body Text Indent 3"/>
    <w:basedOn w:val="Normal"/>
    <w:link w:val="Основнойтекстсотступом3Знак"/>
    <w:uiPriority w:val="99"/>
    <w:unhideWhenUsed w:val="on"/>
    <w:pPr>
      <w:spacing w:before="100" w:after="100" w:line="360" w:lineRule="auto"/>
      <w:ind w:firstLine="709"/>
    </w:pPr>
    <w:rPr>
      <w:rFonts w:ascii="Times New Roman" w:cs="Times New Roman" w:hAnsi="Times New Roman"/>
      <w:b/>
      <w:bCs/>
      <w:sz w:val="28"/>
      <w:szCs w:val="28"/>
    </w:rPr>
  </w:style>
  <w:style w:type="character" w:customStyle="1" w:styleId="Основнойтекстсотступом3Знак">
    <w:name w:val="Основной текст с отступом 3 Знак"/>
    <w:basedOn w:val="DefaultParagraphFont"/>
    <w:link w:val="BodyTextIndent3"/>
    <w:uiPriority w:val="99"/>
    <w:rPr>
      <w:rFonts w:ascii="Times New Roman" w:cs="Times New Roman" w:hAnsi="Times New Roman"/>
      <w:b/>
      <w:bCs/>
      <w:sz w:val="28"/>
      <w:szCs w:val="28"/>
    </w:rPr>
  </w:style>
  <w:style w:type="table" w:styleId="TableGrid">
    <w:name w:val="Table Grid"/>
    <w:basedOn w:val="NormalTable"/>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139586">
      <w:bodyDiv w:val="1"/>
      <w:marLeft w:val="0"/>
      <w:marRight w:val="0"/>
      <w:marTop w:val="0"/>
      <w:marBottom w:val="0"/>
      <w:divBdr>
        <w:top w:val="none" w:sz="0" w:space="0" w:color="auto"/>
        <w:left w:val="none" w:sz="0" w:space="0" w:color="auto"/>
        <w:bottom w:val="none" w:sz="0" w:space="0" w:color="auto"/>
        <w:right w:val="none" w:sz="0" w:space="0" w:color="auto"/>
      </w:divBdr>
    </w:div>
    <w:div w:id="125412896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theme" Target="theme/theme1.xml"/><Relationship Id="rId18" Type="http://schemas.openxmlformats.org/officeDocument/2006/relationships/image" Target="media/image1.png"/><Relationship Id="rId19" Type="http://schemas.openxmlformats.org/officeDocument/2006/relationships/chart" Target="charts/chart1.xml"/><Relationship Id="rId2" Type="http://schemas.openxmlformats.org/officeDocument/2006/relationships/styles" Target="styles.xml"/><Relationship Id="rId20" Type="http://schemas.openxmlformats.org/officeDocument/2006/relationships/chart" Target="charts/chart2.xml"/><Relationship Id="rId21" Type="http://schemas.openxmlformats.org/officeDocument/2006/relationships/header" Target="header1.xml"/><Relationship Id="rId22" Type="http://schemas.openxmlformats.org/officeDocument/2006/relationships/footer" Target="footer1.xml"/><Relationship Id="rId3" Type="http://schemas.openxmlformats.org/officeDocument/2006/relationships/settings" Target="settings.xml"/><Relationship Id="rId5" Type="http://schemas.openxmlformats.org/officeDocument/2006/relationships/footnotes" Target="footnotes.xml"/><Relationship Id="rId6" Type="http://schemas.openxmlformats.org/officeDocument/2006/relationships/endnotes" Target="endnotes.xml"/><Relationship Id="rId4" Type="http://schemas.openxmlformats.org/officeDocument/2006/relationships/webSettings" Target="webSettings.xml"/><Relationship Id="rId9" Type="http://schemas.openxmlformats.org/officeDocument/2006/relationships/hyperlink" Target="https://biz360.ru/materials/otkrytie-ameriki-kak-kompaniya-iz-samary-vyshla-na-rynok-ssha-s-neobychnym-produktom/" TargetMode="External"/></Relationships>
</file>

<file path=word/_rels/endnotes.xml.rels><?xml version="1.0" encoding="UTF-8" standalone="yes"?>
<Relationships xmlns="http://schemas.openxmlformats.org/package/2006/relationships"></Relationships>
</file>

<file path=word/_rels/footer1.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_rels/header1.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Примерная доля компаний, использующих модель,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0F5-49BF-A442-A18C453F6C7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0F5-49BF-A442-A18C453F6C7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0F5-49BF-A442-A18C453F6C7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60F5-49BF-A442-A18C453F6C7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60F5-49BF-A442-A18C453F6C76}"/>
              </c:ext>
            </c:extLst>
          </c:dPt>
          <c:dLbls>
            <c:delete val="1"/>
          </c:dLbls>
          <c:cat>
            <c:strRef>
              <c:f>Sheet1!$A$2:$A$6</c:f>
              <c:strCache>
                <c:ptCount val="5"/>
                <c:pt idx="0">
                  <c:v>Маркетплейсы</c:v>
                </c:pt>
                <c:pt idx="1">
                  <c:v>Прямые продажи (D2C)</c:v>
                </c:pt>
                <c:pt idx="2">
                  <c:v>Цифровые экспортные платформы</c:v>
                </c:pt>
                <c:pt idx="3">
                  <c:v>B2B-платформы</c:v>
                </c:pt>
                <c:pt idx="4">
                  <c:v>Агентская/партнерская модель</c:v>
                </c:pt>
              </c:strCache>
            </c:strRef>
          </c:cat>
          <c:val>
            <c:numRef>
              <c:f>Sheet1!$B$2:$B$6</c:f>
              <c:numCache>
                <c:formatCode>General</c:formatCode>
                <c:ptCount val="5"/>
                <c:pt idx="0">
                  <c:v>45</c:v>
                </c:pt>
                <c:pt idx="1">
                  <c:v>25</c:v>
                </c:pt>
                <c:pt idx="2">
                  <c:v>15</c:v>
                </c:pt>
                <c:pt idx="3">
                  <c:v>10</c:v>
                </c:pt>
                <c:pt idx="4">
                  <c:v>5</c:v>
                </c:pt>
              </c:numCache>
            </c:numRef>
          </c:val>
          <c:extLst>
            <c:ext xmlns:c16="http://schemas.microsoft.com/office/drawing/2014/chart" uri="{C3380CC4-5D6E-409C-BE32-E72D297353CC}">
              <c16:uniqueId val="{41518232-E1B1-47B3-9244-F23E6E608D2E}"/>
            </c:ext>
          </c:extLst>
        </c:ser>
        <c:dLbls>
          <c:showLegendKey val="1"/>
          <c:showVal val="0"/>
          <c:showCatName val="0"/>
          <c:showSerName val="0"/>
          <c:showPercent val="0"/>
          <c:showBubbleSize val="0"/>
          <c:showLeaderLines val="1"/>
        </c:dLbls>
        <c:firstSliceAng val="0"/>
      </c:pieChart>
      <c:spPr>
        <a:noFill/>
        <a:ln>
          <a:noFill/>
        </a:ln>
      </c:spPr>
    </c:plotArea>
    <c:legend>
      <c:legendPos val="l"/>
      <c:overlay val="0"/>
      <c:spPr>
        <a:noFill/>
        <a:ln>
          <a:noFill/>
        </a:ln>
      </c:spPr>
      <c:txPr>
        <a:bodyPr/>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Доля затрат на производство и экспорт</a:t>
            </a:r>
          </a:p>
        </c:rich>
      </c:tx>
      <c:overlay val="0"/>
      <c:spPr>
        <a:noFill/>
        <a:ln>
          <a:noFill/>
        </a:ln>
      </c:spPr>
    </c:title>
    <c:autoTitleDeleted val="0"/>
    <c:plotArea>
      <c:layout/>
      <c:pieChart>
        <c:varyColors val="1"/>
        <c:ser>
          <c:idx val="0"/>
          <c:order val="0"/>
          <c:tx>
            <c:strRef>
              <c:f>Sheet1!$B$1</c:f>
              <c:strCache>
                <c:ptCount val="1"/>
                <c:pt idx="0">
                  <c:v>Доля, %</c:v>
                </c:pt>
              </c:strCache>
            </c:strRef>
          </c:tx>
          <c:dPt>
            <c:idx val="0"/>
            <c:bubble3D val="0"/>
            <c:spPr>
              <a:solidFill>
                <a:schemeClr val="accent1"/>
              </a:solidFill>
              <a:ln w="19050">
                <a:solidFill>
                  <a:schemeClr val="lt1"/>
                </a:solidFill>
              </a:ln>
            </c:spPr>
            <c:extLst>
              <c:ext xmlns:c16="http://schemas.microsoft.com/office/drawing/2014/chart" uri="{C3380CC4-5D6E-409C-BE32-E72D297353CC}">
                <c16:uniqueId val="{00000001-46D2-4F5B-A59F-1EEEC2F90617}"/>
              </c:ext>
            </c:extLst>
          </c:dPt>
          <c:dPt>
            <c:idx val="1"/>
            <c:bubble3D val="0"/>
            <c:spPr>
              <a:solidFill>
                <a:schemeClr val="accent2"/>
              </a:solidFill>
              <a:ln w="19050">
                <a:solidFill>
                  <a:schemeClr val="lt1"/>
                </a:solidFill>
              </a:ln>
            </c:spPr>
            <c:extLst>
              <c:ext xmlns:c16="http://schemas.microsoft.com/office/drawing/2014/chart" uri="{C3380CC4-5D6E-409C-BE32-E72D297353CC}">
                <c16:uniqueId val="{00000003-46D2-4F5B-A59F-1EEEC2F90617}"/>
              </c:ext>
            </c:extLst>
          </c:dPt>
          <c:dPt>
            <c:idx val="2"/>
            <c:bubble3D val="0"/>
            <c:spPr>
              <a:solidFill>
                <a:schemeClr val="accent3"/>
              </a:solidFill>
              <a:ln w="19050">
                <a:solidFill>
                  <a:schemeClr val="lt1"/>
                </a:solidFill>
              </a:ln>
            </c:spPr>
            <c:extLst>
              <c:ext xmlns:c16="http://schemas.microsoft.com/office/drawing/2014/chart" uri="{C3380CC4-5D6E-409C-BE32-E72D297353CC}">
                <c16:uniqueId val="{00000005-46D2-4F5B-A59F-1EEEC2F90617}"/>
              </c:ext>
            </c:extLst>
          </c:dPt>
          <c:dPt>
            <c:idx val="3"/>
            <c:bubble3D val="0"/>
            <c:spPr>
              <a:solidFill>
                <a:schemeClr val="accent4"/>
              </a:solidFill>
              <a:ln w="19050">
                <a:solidFill>
                  <a:schemeClr val="lt1"/>
                </a:solidFill>
              </a:ln>
            </c:spPr>
            <c:extLst>
              <c:ext xmlns:c16="http://schemas.microsoft.com/office/drawing/2014/chart" uri="{C3380CC4-5D6E-409C-BE32-E72D297353CC}">
                <c16:uniqueId val="{00000007-46D2-4F5B-A59F-1EEEC2F90617}"/>
              </c:ext>
            </c:extLst>
          </c:dPt>
          <c:dPt>
            <c:idx val="4"/>
            <c:bubble3D val="0"/>
            <c:spPr>
              <a:solidFill>
                <a:schemeClr val="accent5"/>
              </a:solidFill>
              <a:ln w="19050">
                <a:solidFill>
                  <a:schemeClr val="lt1"/>
                </a:solidFill>
              </a:ln>
            </c:spPr>
            <c:extLst>
              <c:ext xmlns:c16="http://schemas.microsoft.com/office/drawing/2014/chart" uri="{C3380CC4-5D6E-409C-BE32-E72D297353CC}">
                <c16:uniqueId val="{00000009-46D2-4F5B-A59F-1EEEC2F90617}"/>
              </c:ext>
            </c:extLst>
          </c:dPt>
          <c:dLbls>
            <c:spPr>
              <a:noFill/>
              <a:ln>
                <a:noFill/>
              </a:ln>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ru-RU"/>
              </a:p>
            </c:txPr>
            <c:showLegendKey val="1"/>
            <c:showVal val="0"/>
            <c:showCatName val="0"/>
            <c:showSerName val="0"/>
            <c:showPercent val="1"/>
            <c:showBubbleSize val="0"/>
            <c:showLeaderLines val="1"/>
            <c:leaderLines/>
          </c:dLbls>
          <c:cat>
            <c:strRef>
              <c:f>Sheet1!$A$2:$A$6</c:f>
              <c:strCache>
                <c:ptCount val="5"/>
                <c:pt idx="0">
                  <c:v>Материалы (берёзовая фанера, бумага)</c:v>
                </c:pt>
                <c:pt idx="1">
                  <c:v>Производственные расходы (лазерная резка, печать)</c:v>
                </c:pt>
                <c:pt idx="2">
                  <c:v>Упаковка (коробки из ХДФ)</c:v>
                </c:pt>
                <c:pt idx="3">
                  <c:v>Логистика и доставка</c:v>
                </c:pt>
                <c:pt idx="4">
                  <c:v>Маркетинг и реклама</c:v>
                </c:pt>
              </c:strCache>
            </c:strRef>
          </c:cat>
          <c:val>
            <c:numRef>
              <c:f>Sheet1!$B$2:$B$6</c:f>
              <c:numCache>
                <c:formatCode>General</c:formatCode>
                <c:ptCount val="5"/>
                <c:pt idx="0">
                  <c:v>40</c:v>
                </c:pt>
                <c:pt idx="1">
                  <c:v>25</c:v>
                </c:pt>
                <c:pt idx="2">
                  <c:v>10</c:v>
                </c:pt>
                <c:pt idx="3">
                  <c:v>15</c:v>
                </c:pt>
                <c:pt idx="4">
                  <c:v>10</c:v>
                </c:pt>
              </c:numCache>
            </c:numRef>
          </c:val>
          <c:extLst>
            <c:ext xmlns:c16="http://schemas.microsoft.com/office/drawing/2014/chart" uri="{C3380CC4-5D6E-409C-BE32-E72D297353CC}">
              <c16:uniqueId val="{6313D2A6-5FDA-4D51-99BC-9E2204FE1BA9}"/>
            </c:ext>
          </c:extLst>
        </c:ser>
        <c:dLbls>
          <c:showLegendKey val="1"/>
          <c:showVal val="0"/>
          <c:showCatName val="0"/>
          <c:showSerName val="0"/>
          <c:showPercent val="1"/>
          <c:showBubbleSize val="0"/>
          <c:showLeaderLines val="1"/>
        </c:dLbls>
        <c:firstSliceAng val="0"/>
      </c:pieChart>
      <c:spPr>
        <a:noFill/>
        <a:ln>
          <a:noFill/>
        </a:ln>
      </c:spPr>
    </c:plotArea>
    <c:legend>
      <c:legendPos val="r"/>
      <c:overlay val="0"/>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30</Pages>
  <Words>6941</Words>
  <Characters>39570</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Паршин</dc:creator>
  <cp:lastModifiedBy>Huawei</cp:lastModifiedBy>
</cp:coreProperties>
</file>