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1E82" w:rsidRDefault="00935A02" w:rsidP="00935A02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5940425" cy="79298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02" w:rsidRDefault="00935A02" w:rsidP="00935A02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5A02" w:rsidRDefault="00935A02" w:rsidP="00935A02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5A02" w:rsidRDefault="00935A02" w:rsidP="00935A02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31E82" w:rsidRDefault="00E31E82" w:rsidP="00935A02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31E82" w:rsidRPr="007D0C86" w:rsidRDefault="00E31E82" w:rsidP="00E31E82">
      <w:pPr>
        <w:jc w:val="center"/>
        <w:rPr>
          <w:rFonts w:ascii="Times New Roman" w:hAnsi="Times New Roman"/>
          <w:bCs/>
          <w:caps/>
          <w:kern w:val="28"/>
          <w:sz w:val="28"/>
          <w:szCs w:val="28"/>
          <w:lang w:eastAsia="ru-RU"/>
        </w:rPr>
      </w:pPr>
      <w:r w:rsidRPr="007D0C86">
        <w:rPr>
          <w:rFonts w:ascii="Times New Roman" w:hAnsi="Times New Roman"/>
          <w:bCs/>
          <w:caps/>
          <w:kern w:val="28"/>
          <w:sz w:val="28"/>
          <w:szCs w:val="28"/>
          <w:lang w:eastAsia="ru-RU"/>
        </w:rPr>
        <w:lastRenderedPageBreak/>
        <w:t>содержание</w:t>
      </w:r>
    </w:p>
    <w:p w:rsidR="00E31E82" w:rsidRPr="008412F8" w:rsidRDefault="00E31E82" w:rsidP="00E31E82">
      <w:pPr>
        <w:pStyle w:val="1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"1-3" \h \z \u </w:instrText>
      </w:r>
      <w:r>
        <w:rPr>
          <w:b/>
          <w:bCs/>
        </w:rPr>
        <w:fldChar w:fldCharType="separate"/>
      </w:r>
    </w:p>
    <w:p w:rsidR="00E31E82" w:rsidRPr="008412F8" w:rsidRDefault="00246BE9" w:rsidP="00E31E82">
      <w:pPr>
        <w:pStyle w:val="1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1906199" w:history="1">
        <w:r w:rsidR="00E31E82" w:rsidRPr="00DC7266">
          <w:rPr>
            <w:rStyle w:val="a5"/>
            <w:rFonts w:ascii="Times New Roman" w:hAnsi="Times New Roman"/>
            <w:noProof/>
            <w:sz w:val="28"/>
            <w:szCs w:val="28"/>
          </w:rPr>
          <w:t>1 Общая характеристика работы</w:t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_Toc41906199 \h </w:instrText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31E8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31E82" w:rsidRPr="008412F8" w:rsidRDefault="00246BE9" w:rsidP="00E31E82">
      <w:pPr>
        <w:pStyle w:val="1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1906200" w:history="1">
        <w:r w:rsidR="00E31E82" w:rsidRPr="00DC7266">
          <w:rPr>
            <w:rStyle w:val="a5"/>
            <w:rFonts w:ascii="Times New Roman" w:hAnsi="Times New Roman"/>
            <w:noProof/>
            <w:sz w:val="28"/>
            <w:szCs w:val="28"/>
          </w:rPr>
          <w:t>2 Основное содержание работы</w:t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D0C86">
          <w:rPr>
            <w:rFonts w:ascii="Times New Roman" w:hAnsi="Times New Roman"/>
            <w:noProof/>
            <w:webHidden/>
            <w:sz w:val="28"/>
            <w:szCs w:val="28"/>
            <w:lang w:val="en-US"/>
          </w:rPr>
          <w:t>9</w:t>
        </w:r>
      </w:hyperlink>
    </w:p>
    <w:p w:rsidR="00E31E82" w:rsidRPr="008412F8" w:rsidRDefault="00246BE9" w:rsidP="00E31E82">
      <w:pPr>
        <w:pStyle w:val="1"/>
        <w:tabs>
          <w:tab w:val="right" w:leader="dot" w:pos="10195"/>
        </w:tabs>
        <w:rPr>
          <w:noProof/>
          <w:lang w:eastAsia="ru-RU"/>
        </w:rPr>
      </w:pPr>
      <w:hyperlink w:anchor="_Toc41906271" w:history="1">
        <w:r w:rsidR="00E31E82" w:rsidRPr="00DC7266">
          <w:rPr>
            <w:rStyle w:val="a5"/>
            <w:rFonts w:ascii="Times New Roman" w:hAnsi="Times New Roman"/>
            <w:caps/>
            <w:noProof/>
            <w:sz w:val="28"/>
            <w:szCs w:val="28"/>
            <w:lang w:eastAsia="ru-RU"/>
          </w:rPr>
          <w:t>С</w:t>
        </w:r>
        <w:r w:rsidR="00E31E82">
          <w:rPr>
            <w:rStyle w:val="a5"/>
            <w:rFonts w:ascii="Times New Roman" w:hAnsi="Times New Roman"/>
            <w:noProof/>
            <w:sz w:val="28"/>
            <w:szCs w:val="28"/>
            <w:lang w:eastAsia="ru-RU"/>
          </w:rPr>
          <w:t>писок использованных источников</w:t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1E82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7D0C86">
          <w:rPr>
            <w:rFonts w:ascii="Times New Roman" w:hAnsi="Times New Roman"/>
            <w:noProof/>
            <w:webHidden/>
            <w:sz w:val="28"/>
            <w:szCs w:val="28"/>
            <w:lang w:val="en-US"/>
          </w:rPr>
          <w:t>4</w:t>
        </w:r>
      </w:hyperlink>
    </w:p>
    <w:p w:rsidR="00E31E82" w:rsidRDefault="00E31E82" w:rsidP="00E31E82">
      <w:pPr>
        <w:jc w:val="center"/>
        <w:rPr>
          <w:b/>
          <w:bCs/>
        </w:rPr>
      </w:pPr>
      <w:r>
        <w:rPr>
          <w:b/>
          <w:bCs/>
        </w:rPr>
        <w:fldChar w:fldCharType="end"/>
      </w:r>
    </w:p>
    <w:p w:rsidR="00E31E82" w:rsidRDefault="00E31E82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441012" w:rsidRPr="00441012" w:rsidRDefault="00441012" w:rsidP="00441012">
      <w:pPr>
        <w:widowControl w:val="0"/>
        <w:spacing w:line="360" w:lineRule="auto"/>
        <w:ind w:firstLine="680"/>
        <w:jc w:val="center"/>
        <w:rPr>
          <w:rFonts w:ascii="Times New Roman" w:hAnsi="Times New Roman"/>
          <w:sz w:val="28"/>
          <w:szCs w:val="28"/>
        </w:rPr>
      </w:pPr>
      <w:r w:rsidRPr="00441012">
        <w:rPr>
          <w:rFonts w:ascii="Times New Roman" w:hAnsi="Times New Roman"/>
          <w:sz w:val="28"/>
          <w:szCs w:val="28"/>
        </w:rPr>
        <w:lastRenderedPageBreak/>
        <w:t>ОБЩАЯ ХАРАКТЕРИСТИКА РАБОТЫ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Рынок коммерческих стоматологических услуг за последние два десятилетия получил существенное развитие. Одновременно предпосылкой и фактором, влияющим на это развитие, стала проблема финансирования системы здравоохранения в Российской Федерации. Формально, сейчас можно получить практически любую медицинскую услугу бесплатно и качественно. В реальности же, если вопрос качества государственных медицинских услуг не является столь дискуссионным, то вопрос их доступности – это острая тема для обсуждения не только в научном сообществе, но и среди населения. Нормальной рыночной реакцией, в сложившейся ситуации запроса потребителя на доступные стоматологические услуги, является рост предложения таких услуг в различных сегментах рынка. В этой связи, возникает проблема позиционирования брендов стоматологических клиник, а с учетом увеличения предложения – и грамотного, стратегического и научно-обоснованного продвижения их услуг.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Денежный поток стоматологических клиник или, так называемых, стоматологических кабинетов, в основе своей, формируется за счет реализации платных медицинских услуг. Чтобы получить успех на этом рынке, компании необходимо организовать качественное и конкурентоспособное оказание услуг. Достижение высоких значений этих параметров возможно лишь в том случае, когда изучен спрос и выявлены приоритетные виды стоматологических услуг, за которые население готово заплатить. Изучение таких показателей как параметры спроса и предложения, текущее состояние и тенденции развития на отечественном рынке коммерческих стоматологических услуг, а также специфики потребительских предпочтений рассматриваемого рынка, необходимо для эффективного ведения медицинским учреждением деятельности в условиях конкуренции.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TimesNewRoman" w:hAnsi="Times New Roman" w:cs="TimesNewRoman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Степень научной разработанности проблемы. Представленное исследование основывается на научных трудах, рассматривающих вопросы определения роли и места маркетинга в развития учреждений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 xml:space="preserve">здравоохранения. В процессе подготовки данной работы, мы использовали труды российских авторов, посвященные общеметодологическим принципам маркетинга и принципам маркетинга в системе здравоохранения, таких авторов как: </w:t>
      </w:r>
      <w:r w:rsidRPr="00041234">
        <w:rPr>
          <w:rFonts w:ascii="Times New Roman" w:eastAsia="TimesNewRoman" w:hAnsi="Times New Roman" w:cs="TimesNewRoman"/>
          <w:color w:val="000000"/>
          <w:sz w:val="28"/>
          <w:szCs w:val="28"/>
          <w:lang w:eastAsia="ru-RU"/>
        </w:rPr>
        <w:t xml:space="preserve">Андреева О.В., Белозор А.А.,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Боханов С.Ю., </w:t>
      </w:r>
      <w:r w:rsidRPr="00041234">
        <w:rPr>
          <w:rFonts w:ascii="Times New Roman" w:eastAsia="TimesNewRoman" w:hAnsi="Times New Roman" w:cs="TimesNewRoman"/>
          <w:color w:val="000000"/>
          <w:sz w:val="28"/>
          <w:szCs w:val="28"/>
          <w:lang w:eastAsia="ru-RU"/>
        </w:rPr>
        <w:t xml:space="preserve">Васнецова В.А., Венедиктов Д.Д., </w:t>
      </w:r>
      <w:proofErr w:type="spellStart"/>
      <w:r w:rsidRPr="00041234">
        <w:rPr>
          <w:rFonts w:ascii="Times New Roman" w:eastAsia="TimesNewRoman" w:hAnsi="Times New Roman" w:cs="TimesNewRoman"/>
          <w:color w:val="000000"/>
          <w:sz w:val="28"/>
          <w:szCs w:val="28"/>
          <w:lang w:eastAsia="ru-RU"/>
        </w:rPr>
        <w:t>Вялков</w:t>
      </w:r>
      <w:proofErr w:type="spellEnd"/>
      <w:r w:rsidRPr="00041234">
        <w:rPr>
          <w:rFonts w:ascii="Times New Roman" w:eastAsia="TimesNewRoman" w:hAnsi="Times New Roman" w:cs="TimesNewRoman"/>
          <w:color w:val="000000"/>
          <w:sz w:val="28"/>
          <w:szCs w:val="28"/>
          <w:lang w:eastAsia="ru-RU"/>
        </w:rPr>
        <w:t xml:space="preserve"> А.И., Галкин Р.А., </w:t>
      </w:r>
      <w:r w:rsidRPr="00041234">
        <w:rPr>
          <w:rFonts w:ascii="Times New Roman" w:eastAsia="TimesNewRoman" w:hAnsi="Times New Roman" w:cs="TimesNewRoman"/>
          <w:i/>
          <w:iCs/>
          <w:color w:val="000000"/>
          <w:sz w:val="18"/>
          <w:lang w:eastAsia="ru-RU"/>
        </w:rPr>
        <w:t>Гребенников В.И.</w:t>
      </w:r>
      <w:r w:rsidRPr="00041234">
        <w:rPr>
          <w:rFonts w:ascii="Times New Roman" w:eastAsia="TimesNewRoman" w:hAnsi="Times New Roman" w:cs="TimesNewRoman"/>
          <w:iCs/>
          <w:color w:val="000000"/>
          <w:spacing w:val="-2"/>
          <w:sz w:val="28"/>
          <w:szCs w:val="28"/>
          <w:lang w:eastAsia="ru-RU"/>
        </w:rPr>
        <w:t xml:space="preserve">, </w:t>
      </w:r>
      <w:r w:rsidRPr="00041234">
        <w:rPr>
          <w:rFonts w:ascii="Times New Roman" w:eastAsia="TimesNewRoman" w:hAnsi="Times New Roman" w:cs="TimesNewRoman"/>
          <w:color w:val="000000"/>
          <w:sz w:val="28"/>
          <w:szCs w:val="28"/>
          <w:lang w:eastAsia="ru-RU"/>
        </w:rPr>
        <w:t>Голубков Е.П., Дорошенко Г.В</w:t>
      </w:r>
      <w:r w:rsidRPr="00041234">
        <w:rPr>
          <w:rFonts w:ascii="Times New Roman" w:eastAsia="Times-Roman" w:hAnsi="Times New Roman" w:cs="TimesNewRoman"/>
          <w:color w:val="000000"/>
          <w:sz w:val="28"/>
          <w:szCs w:val="28"/>
          <w:lang w:eastAsia="ru-RU"/>
        </w:rPr>
        <w:t>.</w:t>
      </w:r>
      <w:r w:rsidRPr="00041234">
        <w:rPr>
          <w:rFonts w:ascii="Times New Roman" w:eastAsia="TimesNewRoman" w:hAnsi="Times New Roman" w:cs="TimesNewRoman"/>
          <w:color w:val="000000"/>
          <w:sz w:val="28"/>
          <w:szCs w:val="28"/>
          <w:lang w:eastAsia="ru-RU"/>
        </w:rPr>
        <w:t>,</w:t>
      </w:r>
      <w:r w:rsidRPr="00041234">
        <w:rPr>
          <w:rFonts w:ascii="Times New Roman" w:eastAsia="Times-Roman" w:hAnsi="Times New Roman" w:cs="TimesNewRoman"/>
          <w:color w:val="000000"/>
          <w:sz w:val="28"/>
          <w:szCs w:val="28"/>
          <w:lang w:eastAsia="ru-RU"/>
        </w:rPr>
        <w:t xml:space="preserve"> Закирова С.А., </w:t>
      </w:r>
      <w:r w:rsidRPr="00041234">
        <w:rPr>
          <w:rFonts w:ascii="Times New Roman" w:eastAsia="TimesNewRoman" w:hAnsi="Times New Roman" w:cs="TimesNewRoman"/>
          <w:color w:val="000000"/>
          <w:sz w:val="28"/>
          <w:szCs w:val="28"/>
          <w:lang w:eastAsia="ru-RU"/>
        </w:rPr>
        <w:t xml:space="preserve">и др. Их работы внесли значительный вклад в изучение проблем современного развития здравоохранения.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TimesNewRoman" w:hAnsi="Times New Roman" w:cs="TimesNewRoman"/>
          <w:color w:val="000000"/>
          <w:sz w:val="28"/>
          <w:szCs w:val="28"/>
          <w:lang w:eastAsia="ru-RU"/>
        </w:rPr>
        <w:t xml:space="preserve">Отдельные аспекты управления медицинскими учреждениями рассмотрены в трудах таких авторов как </w:t>
      </w:r>
      <w:r w:rsidRPr="00041234">
        <w:rPr>
          <w:rFonts w:ascii="Times New Roman" w:eastAsia="Times-Roman" w:hAnsi="Times New Roman" w:cs="Arial Unicode MS"/>
          <w:i/>
          <w:iCs/>
          <w:color w:val="000000"/>
          <w:spacing w:val="-4"/>
          <w:sz w:val="18"/>
          <w:lang w:eastAsia="ru-RU"/>
        </w:rPr>
        <w:t xml:space="preserve">Забелин П.В.,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pacing w:val="-4"/>
          <w:sz w:val="28"/>
          <w:szCs w:val="28"/>
          <w:lang w:eastAsia="ru-RU"/>
        </w:rPr>
        <w:t>Колосницыной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pacing w:val="-4"/>
          <w:sz w:val="28"/>
          <w:szCs w:val="28"/>
          <w:lang w:eastAsia="ru-RU"/>
        </w:rPr>
        <w:t xml:space="preserve"> И.М., </w:t>
      </w:r>
      <w:r w:rsidRPr="00041234">
        <w:rPr>
          <w:rFonts w:ascii="Times New Roman" w:eastAsia="Times-Roman" w:hAnsi="Times New Roman" w:cs="Arial Unicode MS"/>
          <w:i/>
          <w:iCs/>
          <w:color w:val="000000"/>
          <w:spacing w:val="-4"/>
          <w:sz w:val="18"/>
          <w:lang w:eastAsia="ru-RU"/>
        </w:rPr>
        <w:t xml:space="preserve">Малахова Н.Г., Моисеева Н.К., </w:t>
      </w:r>
      <w:r w:rsidRPr="00041234">
        <w:rPr>
          <w:rFonts w:ascii="Times New Roman" w:eastAsia="Times-Roman" w:hAnsi="Times New Roman" w:cs="Arial Unicode MS"/>
          <w:b/>
          <w:bCs/>
          <w:iCs/>
          <w:color w:val="000000"/>
          <w:spacing w:val="-4"/>
          <w:sz w:val="28"/>
          <w:szCs w:val="28"/>
          <w:lang w:eastAsia="ru-RU"/>
        </w:rPr>
        <w:t>Трушкин А.Г.</w:t>
      </w:r>
      <w:r w:rsidRPr="00041234">
        <w:rPr>
          <w:rFonts w:ascii="Times New Roman" w:eastAsia="Arial Unicode MS" w:hAnsi="Times New Roman" w:cs="Arial Unicode MS"/>
          <w:color w:val="000000"/>
          <w:spacing w:val="-4"/>
          <w:sz w:val="28"/>
          <w:szCs w:val="28"/>
          <w:lang w:eastAsia="ru-RU"/>
        </w:rPr>
        <w:t xml:space="preserve">, </w:t>
      </w:r>
      <w:r w:rsidRPr="00041234">
        <w:rPr>
          <w:rFonts w:ascii="Times New Roman" w:eastAsia="Times-Roman" w:hAnsi="Times New Roman" w:cs="Arial Unicode MS"/>
          <w:b/>
          <w:bCs/>
          <w:iCs/>
          <w:color w:val="000000"/>
          <w:spacing w:val="-4"/>
          <w:sz w:val="28"/>
          <w:szCs w:val="28"/>
          <w:lang w:eastAsia="ru-RU"/>
        </w:rPr>
        <w:t>Чернова Т.В. Рассмотрение вопросов, посвящённых проблемам финансирования здравоохранения и реализации реформ в этой отрасли, нашло отражение в работах Ш</w:t>
      </w:r>
      <w:r w:rsidRPr="00041234">
        <w:rPr>
          <w:rFonts w:ascii="Times New Roman" w:eastAsia="TimesNewRoman" w:hAnsi="Times New Roman" w:cs="TimesNewRoman"/>
          <w:iCs/>
          <w:color w:val="000000"/>
          <w:spacing w:val="-4"/>
          <w:sz w:val="28"/>
          <w:szCs w:val="28"/>
          <w:lang w:eastAsia="ru-RU"/>
        </w:rPr>
        <w:t xml:space="preserve">ишкина С.В., </w:t>
      </w:r>
      <w:proofErr w:type="spellStart"/>
      <w:r w:rsidRPr="00041234">
        <w:rPr>
          <w:rFonts w:ascii="Times New Roman" w:eastAsia="TimesNewRoman" w:hAnsi="Times New Roman" w:cs="TimesNewRoman"/>
          <w:iCs/>
          <w:color w:val="000000"/>
          <w:spacing w:val="-4"/>
          <w:sz w:val="28"/>
          <w:szCs w:val="28"/>
          <w:lang w:eastAsia="ru-RU"/>
        </w:rPr>
        <w:t>Шейман</w:t>
      </w:r>
      <w:proofErr w:type="spellEnd"/>
      <w:r w:rsidRPr="00041234">
        <w:rPr>
          <w:rFonts w:ascii="Times New Roman" w:eastAsia="TimesNewRoman" w:hAnsi="Times New Roman" w:cs="TimesNewRoman"/>
          <w:iCs/>
          <w:color w:val="000000"/>
          <w:spacing w:val="-4"/>
          <w:sz w:val="28"/>
          <w:szCs w:val="28"/>
          <w:lang w:eastAsia="ru-RU"/>
        </w:rPr>
        <w:t xml:space="preserve"> И.М. Лисицын Ю.П. и др.). Управленческий аспект посредством применения идеологии маркетинга рассмотрен в работах </w:t>
      </w:r>
      <w:proofErr w:type="spellStart"/>
      <w:r w:rsidRPr="00041234">
        <w:rPr>
          <w:rFonts w:ascii="Times New Roman" w:eastAsia="TimesNewRoman" w:hAnsi="Times New Roman" w:cs="TimesNewRoman"/>
          <w:iCs/>
          <w:color w:val="000000"/>
          <w:spacing w:val="-4"/>
          <w:sz w:val="28"/>
          <w:szCs w:val="28"/>
          <w:lang w:eastAsia="ru-RU"/>
        </w:rPr>
        <w:t>Махова</w:t>
      </w:r>
      <w:proofErr w:type="spellEnd"/>
      <w:r w:rsidRPr="00041234">
        <w:rPr>
          <w:rFonts w:ascii="Times New Roman" w:eastAsia="TimesNewRoman" w:hAnsi="Times New Roman" w:cs="TimesNewRoman"/>
          <w:iCs/>
          <w:color w:val="000000"/>
          <w:spacing w:val="-4"/>
          <w:sz w:val="28"/>
          <w:szCs w:val="28"/>
          <w:lang w:eastAsia="ru-RU"/>
        </w:rPr>
        <w:t xml:space="preserve"> О.А., </w:t>
      </w:r>
      <w:r w:rsidRPr="00041234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lang w:eastAsia="ru-RU"/>
        </w:rPr>
        <w:t xml:space="preserve">Петрова Н.Г. </w:t>
      </w:r>
      <w:r w:rsidRPr="00041234">
        <w:rPr>
          <w:rFonts w:ascii="Times New Roman" w:eastAsia="TimesNewRoman" w:hAnsi="Times New Roman" w:cs="TimesNewRoman"/>
          <w:iCs/>
          <w:color w:val="000000"/>
          <w:spacing w:val="-4"/>
          <w:sz w:val="28"/>
          <w:szCs w:val="28"/>
          <w:lang w:eastAsia="ru-RU"/>
        </w:rPr>
        <w:t>и др.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Теоретические основы маркетинга и маркетинговой деятельности, вопросы формирования маркетинговых стратегий и комплекса маркетинга были проработаны рядом зарубежных исследователей., среди которых </w:t>
      </w:r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 xml:space="preserve">Котлер Ф., </w:t>
      </w:r>
      <w:proofErr w:type="spellStart"/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>Ламбен</w:t>
      </w:r>
      <w:proofErr w:type="spellEnd"/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 xml:space="preserve"> Ж.-Ж, </w:t>
      </w:r>
      <w:proofErr w:type="spellStart"/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>Линдон</w:t>
      </w:r>
      <w:proofErr w:type="spellEnd"/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 xml:space="preserve"> Д., </w:t>
      </w:r>
      <w:proofErr w:type="spellStart"/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>Дихтль</w:t>
      </w:r>
      <w:proofErr w:type="spellEnd"/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 xml:space="preserve"> Е. и др. Значительный вклад в теорию и практику маркетинга внесли российские ученые, такие как </w:t>
      </w:r>
      <w:proofErr w:type="spellStart"/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>Панкрухин</w:t>
      </w:r>
      <w:proofErr w:type="spellEnd"/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 xml:space="preserve"> А.П., Короткова Т.Л., Манн И.Б. </w:t>
      </w:r>
      <w:proofErr w:type="spellStart"/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>Скоробогатых</w:t>
      </w:r>
      <w:proofErr w:type="spellEnd"/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 xml:space="preserve"> И.И. и др.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TimesNewRoman" w:hAnsi="Times New Roman" w:cs="Arial Unicode MS"/>
          <w:iCs/>
          <w:color w:val="000000"/>
          <w:spacing w:val="-4"/>
          <w:sz w:val="28"/>
          <w:szCs w:val="28"/>
          <w:lang w:eastAsia="ru-RU"/>
        </w:rPr>
        <w:t xml:space="preserve">Несмотря на большое количество подходов и позиций в исследованиях, посвященных специфике маркетинга медицинских учреждений, некоторые аспекты остаются мало или недостаточно исследованными. Это утверждение можно отнести и вопросу исследования методологических подходов к организации процессов позиционирования и продвижения брендов коммерческих медицинских учреждений на конкурентном рынке. Эти обстоятельства стали определяющими при постановке </w:t>
      </w:r>
      <w:r w:rsidRPr="00041234">
        <w:rPr>
          <w:rFonts w:ascii="Times New Roman" w:eastAsia="TimesNewRoman" w:hAnsi="Times New Roman" w:cs="Arial Unicode MS"/>
          <w:iCs/>
          <w:color w:val="000000"/>
          <w:spacing w:val="-2"/>
          <w:sz w:val="28"/>
          <w:szCs w:val="28"/>
          <w:lang w:eastAsia="ru-RU"/>
        </w:rPr>
        <w:t>цели, задач и направления представленной работы.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Так, цель работы заключается в разработке и научном обосновании стратегии позиционирования и продвижения бренда медицинского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>учреждения на основе современных концепций маркетинга. Для достижения поставленной цели потребовалось решить следующий ряд задач: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– исследовать специфику маркетинга медицинских услуг на примере стоматологических клиник;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– определить особенности брендинга и продвижения услуг стоматологических клиник;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– описать модель маркетинга отношений с позиции основы для формирования бренда в деятельности коммерческих медицинских учреждений;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– провести маркетинговое исследование рынка стоматологических услуг на макро- и мезо- уровнях и охарактеризовать особенности подобного рода исследований в отрасли здравоохранения;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– разработать рекомендации по формированию стратегий позиционирования и продвижения медицинских учреждений с учетом специфики их деятельности, а также определить подходы к оценке эффективности этих стратегий.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Объектом исследования выступают маркетинговые стратегии позиционирования и продвижения брендов, реализуемые в маркетинговой деятельности коммерческих медицинских учреждений.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Предметом исследования выступают совокупность управленческо-организационных отношений между экономическими субъектами, возникающих в процессе реализации медицинскими учреждениями стратегий позиционирования и продвижения своего бренда. 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Теоретико-методологические основы исследования сформированы на основе трудов классиков экономической теории, фундаментальных работ в области маркетинга и менеджмента, выполненных отечественными и зарубежными исследователями. В основу сформированных выводов и рекомендаций положены материалы научно-практических конференций и конкурсов, результаты исследований, опубликованных в периодических изданиях, а также другие источники.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 xml:space="preserve">Инструментально-методический аппарат исследования составляют методы научного познания, такие как анализ, синтез, дедукция, индукция, экономические модели, общенаучные положения методологии системного анализа, общеэкономической теории, а также фундаментальные работы в области концепций маркетинга и менеджмента предприятий. Аналитическая часть работы базируется на методах группировки, классификации, систематизации, сравнительном анализе, графическом методе представления полученных результатов.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Информационно-эмпирическую базу исследования составили материалы периодических, научно-практических изданий и монографий, законодательные и нормативные акты, посвященные проблематике управления медицинскими учреждениями. Помимо этого, в работе были использованы материалы информационно-аналитических агентств, материалы, доступные в сети Интернет, а также фактические данные, полученные автором в ходе проведения данного исследования.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Рабочая гипотеза исследования. Рабочей гипотезой выступает предположение о том, что реализация современных маркетинговых концепций построения стратегии позиционирования и продвижения бренда медицинского учреждения, с учетом специфики его деятельности и учета сложившейся на рассматриваемый момент экономической конъектуры, формирует условия для повышения его эффективности и конкурентоспособности.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Научная новизна исследования состоит в разработке комплекса маркетинговых решений и мероприятий на основе современных концепций маркетинга, что позволит достигнуть высокого уровня эффективности стратегий позиционирования и продвижения бренда медицинского учреждения. К конкретным результатам проведенного исследования, обладающим элементами научной новизны, относятся следующие:</w:t>
      </w:r>
    </w:p>
    <w:p w:rsidR="00041234" w:rsidRPr="00041234" w:rsidRDefault="00041234" w:rsidP="00041234">
      <w:pPr>
        <w:widowControl w:val="0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Уточнены подходы к элементам позиционирования компании на рынке в отношении понятия «позиция», применительно к медицинским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 xml:space="preserve">учреждениям. Под позицией медицинского учреждения в системе позиционирования предлагаем понимать место в сознании целевой аудитории, которое учреждение стремится сначала занять, а затем поддерживать или изменять, предлагая ряд медицинских услуг, адекватных сложившейся парадигме функционирования отрасли и формирующих элементы бренда медицинского учреждения, транслируемое посредством применения маркетинговых коммуникаций и позволяющее отделить его от других брендов медицинских услуг. Отличительные характеристики предложенного определения заключаются в следующем: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– «позиция» рассматривается как динамичная категория, подразумевающая возможность трансформации перечня характеристик микро- и </w:t>
      </w:r>
      <w:proofErr w:type="gram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макро- параметров</w:t>
      </w:r>
      <w:proofErr w:type="gram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среды функционирования медицинского учреждения во времени в связи с чем и сама «позиция» может меняться относительно начального состояния;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– «позиция» транслируется потребителям услуг медицинского учреждения посредством маркетинговых коммуникаций и ее характеристики могут различаться в плане восприятия потребителем и изначально определяемой позицией со стороны учреждения.</w:t>
      </w:r>
    </w:p>
    <w:p w:rsidR="00041234" w:rsidRPr="00041234" w:rsidRDefault="00041234" w:rsidP="00041234">
      <w:pPr>
        <w:widowControl w:val="0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В результате проведенного маркетингового исследования был выявлен круг проблем и потенциальных возможностей для развития учреждений на рынке коммерческих медицинских услуг, включая их роль в системе здравоохранения в РФ, и специфических особенностей целевой аудитории.</w:t>
      </w:r>
    </w:p>
    <w:p w:rsidR="00041234" w:rsidRPr="00041234" w:rsidRDefault="00041234" w:rsidP="00041234">
      <w:pPr>
        <w:widowControl w:val="0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Сформулирована стратегия позиционирования и продвижения бренда медицинского учреждения на примере коммерческой стоматологической клиники, в т.ч. уточнены ценности бренда, выявлены основные факторы, влияющие на позиционирование, уточнен дизайн код, скорректирован набор транслируемых эмоциональных характеристик бренда с учетом планов по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репозиционированию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сети клиник, скорректированы параметры сегментации, сформулирована комплексная стратегия продвижения, включающая в себя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>применение комбинации ряда маркетинговых инструментов. Так как предложенные подходы к разработке стратегий позиционирования и продвижения бренда основаны прежде всего на проведенном маркетинговом исследовании рынка медицинских услуг, можно отметить, что отдельные элементы предложенной стратегии могут быть использованы другими учреждениями отрасли в своей практике.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Теоретическая значимость исследования состоит в развитии теоретических положений маркетинга применительно к сфере здравоохранения за счет уточнения определения самого понятия «позиция медицинского учреждения». Полученные в результате исследования выводы могут быть задействованы в формировании методического инструментария развития маркетинговой функции медицинских учреждений. Также, сформированные положения могут быть использованы для дальнейших научно-практических разработок в области реализации маркетингового потенциала медицинских клиник.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Практическая значимость исследования заключается в том, что предложенные положения и рекомендации могут быть доведены до уровня практического применения медицинскими учреждениями с целью реализации задач позиционирования и продвижения собственного бренда.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Апробация работы. Концептуально-теоретические выводы диссертационного исследования отражены в опубликованных докладах автора на международных научно-практической конференции и конкурсе, проведённых в г. Пенза в мае 2020 г.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Структура и объём работы. Представленная работа состоит из введения, трех глав, заключения списка использованной литературы, а также приложений. Каждая из трех глав состоит из трех параграфов. Работа проиллюстрирована 45 рисунками и 6 таблицами. Объем работы составляет 130 страниц текста (включая приложения).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 xml:space="preserve"> </w:t>
      </w:r>
    </w:p>
    <w:p w:rsidR="00041234" w:rsidRPr="00041234" w:rsidRDefault="00041234" w:rsidP="00041234">
      <w:pPr>
        <w:widowControl w:val="0"/>
        <w:spacing w:after="120" w:line="240" w:lineRule="auto"/>
        <w:ind w:left="283" w:firstLine="567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041234">
        <w:rPr>
          <w:rFonts w:ascii="Times New Roman" w:hAnsi="Times New Roman"/>
          <w:b/>
          <w:sz w:val="28"/>
          <w:szCs w:val="24"/>
          <w:lang w:eastAsia="ru-RU"/>
        </w:rPr>
        <w:t>ОСНОВНОЕ СОДЕРЖАНИЕ РАБОТЫ</w:t>
      </w:r>
    </w:p>
    <w:p w:rsidR="00041234" w:rsidRPr="00041234" w:rsidRDefault="00041234" w:rsidP="00041234">
      <w:pPr>
        <w:widowControl w:val="0"/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041234" w:rsidRPr="00041234" w:rsidRDefault="00041234" w:rsidP="00041234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i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i/>
          <w:color w:val="000000"/>
          <w:sz w:val="28"/>
          <w:szCs w:val="28"/>
          <w:lang w:eastAsia="ru-RU"/>
        </w:rPr>
        <w:t>Уточнены подходы к элементам позиционирования компании на рынке в отношении понятия «позиция», применительно к медицинским учреждениям.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В условиях усиления конкуренции среди частных стоматологических клиник перед собственниками и менеджментом этих копаний стоит задача активизации усилий по формированию и продвижению позитивного имиджа компании. Проблема реализации этого посыла заключается в том, что применение на практике реальных действенных мер осложняется недостатком информации относительно того, как это можно сделать и какие маркетинговые стратегии необходимо приметить в своей деятельности. В этой связи отправной точкой стратегического маркетинга является позиционирование бренда. Приведем популярные определения понятия «позиция» (таблица 1)</w:t>
      </w:r>
    </w:p>
    <w:p w:rsidR="00041234" w:rsidRPr="00041234" w:rsidRDefault="00041234" w:rsidP="00041234">
      <w:pPr>
        <w:widowControl w:val="0"/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</w:p>
    <w:p w:rsidR="00041234" w:rsidRPr="00041234" w:rsidRDefault="00041234" w:rsidP="00041234">
      <w:pPr>
        <w:widowControl w:val="0"/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Таблица 1 – Определения понятия «позиция»</w:t>
      </w: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2165"/>
        <w:gridCol w:w="7180"/>
      </w:tblGrid>
      <w:tr w:rsidR="00041234" w:rsidRPr="00041234" w:rsidTr="0004123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Автор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Формулировка</w:t>
            </w:r>
          </w:p>
        </w:tc>
      </w:tr>
      <w:tr w:rsidR="00041234" w:rsidRPr="00041234" w:rsidTr="0004123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41234">
              <w:rPr>
                <w:rFonts w:ascii="Times New Roman" w:hAnsi="Times New Roman"/>
              </w:rPr>
              <w:t>Ф. Котлер (2008)</w:t>
            </w:r>
            <w:r w:rsidRPr="00041234">
              <w:rPr>
                <w:rFonts w:ascii="Times New Roman" w:hAnsi="Times New Roman"/>
                <w:lang w:val="en-US"/>
              </w:rPr>
              <w:t xml:space="preserve"> [26]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Цель желательного позиционирования – определение и формулирование отчетливой позиции, которая подчеркнет выгоды, ослабит специфические препятствия для целевой аудитории и представит организацию в более лучшем свете по сравнению с конкурирующими организациями</w:t>
            </w:r>
          </w:p>
        </w:tc>
      </w:tr>
      <w:tr w:rsidR="00041234" w:rsidRPr="00041234" w:rsidTr="0004123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41234">
              <w:rPr>
                <w:rFonts w:ascii="Times New Roman" w:hAnsi="Times New Roman"/>
              </w:rPr>
              <w:t xml:space="preserve">Р. </w:t>
            </w:r>
            <w:proofErr w:type="spellStart"/>
            <w:r w:rsidRPr="00041234">
              <w:rPr>
                <w:rFonts w:ascii="Times New Roman" w:hAnsi="Times New Roman"/>
              </w:rPr>
              <w:t>Хибинг</w:t>
            </w:r>
            <w:proofErr w:type="spellEnd"/>
            <w:r w:rsidRPr="00041234">
              <w:rPr>
                <w:rFonts w:ascii="Times New Roman" w:hAnsi="Times New Roman"/>
              </w:rPr>
              <w:t xml:space="preserve">, С. Купер (2010) </w:t>
            </w:r>
            <w:r w:rsidRPr="00041234">
              <w:rPr>
                <w:rFonts w:ascii="Times New Roman" w:hAnsi="Times New Roman"/>
                <w:lang w:val="en-US"/>
              </w:rPr>
              <w:t>[60]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Позиция – желаемое в сравнение с конкурентами восприятие товара на целевом рынке</w:t>
            </w:r>
          </w:p>
        </w:tc>
      </w:tr>
      <w:tr w:rsidR="00041234" w:rsidRPr="00041234" w:rsidTr="0004123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Д.В. Соловьева, С.В. Афанасьева (2013) [54]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Позиция – положение бренда на рынке, сложившееся в результате формирования, поддержания, изменения представления о бренде у рыночных субъектов под влиянием предложения бренда рынку со стороны компании, реакции рынка на бренд со стороны субъектов микросреды и воздействия на бренд и его рыночное окружение, оказываемого факторами макросреды.</w:t>
            </w:r>
          </w:p>
        </w:tc>
      </w:tr>
      <w:tr w:rsidR="00041234" w:rsidRPr="00041234" w:rsidTr="0004123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41234">
              <w:rPr>
                <w:rFonts w:ascii="Times New Roman" w:hAnsi="Times New Roman"/>
              </w:rPr>
              <w:t xml:space="preserve">Дж. </w:t>
            </w:r>
            <w:proofErr w:type="spellStart"/>
            <w:r w:rsidRPr="00041234">
              <w:rPr>
                <w:rFonts w:ascii="Times New Roman" w:hAnsi="Times New Roman"/>
              </w:rPr>
              <w:t>Траут</w:t>
            </w:r>
            <w:proofErr w:type="spellEnd"/>
            <w:r w:rsidRPr="00041234">
              <w:rPr>
                <w:rFonts w:ascii="Times New Roman" w:hAnsi="Times New Roman"/>
              </w:rPr>
              <w:t xml:space="preserve">, Э. Райс (2004) </w:t>
            </w:r>
            <w:r w:rsidRPr="00041234">
              <w:rPr>
                <w:rFonts w:ascii="Times New Roman" w:hAnsi="Times New Roman"/>
                <w:lang w:val="en-US"/>
              </w:rPr>
              <w:t>[59]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Позиция – достойное место организации в сознании потребителей, являющееся сложившимся стереотипом, а следовательно, устойчивым и недосягаемым для конкурентов.</w:t>
            </w:r>
          </w:p>
        </w:tc>
      </w:tr>
    </w:tbl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Анализ представленных определений показал, что большинство авторов рассматривают позицию как место в сознании потребителей, их восприятие того значения товара, предложения, марки или бренда, которое транслирует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>организация. Ф. Котлер подчеркивает необходимость активных действий организации по определению и формированию своей позиции, акцентирует внимание на ее значимости в дифференциации от конкурентов. Д.В. Соловьева и С.В. Афанасьева раскрывают важность влияния на формирование позиции не только организации, но и субъектов микросреды и факторов макросреды.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Актуальность формирования позиции медицинского учреждения организации на рынке медицинских услуг в прикладном аспекте определила необходимость уточнения содержания понятия «позиция медицинского учреждения».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Так, под позицией медицинского учреждения в системе позиционирования предлагаем понимать место в сознании целевой аудитории, которое учреждение стремится сначала занять, а затем поддерживать или изменять, предлагая ряд медицинских услуг, адекватных сложившейся парадигме функционирования отрасли и формирующих элементы бренда медицинского учреждения, транслируемое посредством применения маркетинговых коммуникаций и позволяющее отделить его от других брендов медицинских услуг. Отличительные характеристики предложенного определения заключаются в следующем: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– «позиция» рассматривается как динамичная категория, подразумевающая возможность трансформации перечня характеристик микро- и макропараметров среды функционирования медицинского учреждения во времени в связи с чем и сама «позиция» может меняться относительно начального состояния;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– «позиция» транслируется потребителям услуг медицинского учреждения посредством маркетинговых коммуникаций и ее характеристики могут различаться в плане восприятия потребителем и изначально определяемой позицией со стороны учреждения.</w:t>
      </w:r>
    </w:p>
    <w:p w:rsidR="00041234" w:rsidRPr="00041234" w:rsidRDefault="00041234" w:rsidP="00041234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i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i/>
          <w:color w:val="000000"/>
          <w:sz w:val="28"/>
          <w:szCs w:val="28"/>
          <w:lang w:eastAsia="ru-RU"/>
        </w:rPr>
        <w:t xml:space="preserve">В результате проведенного маркетингового исследования был выявлен круг проблем и потенциальных возможностей для развития учреждений на рынке коммерческих медицинских услуг, включая их роль в </w:t>
      </w:r>
      <w:r w:rsidRPr="00041234">
        <w:rPr>
          <w:rFonts w:ascii="Times New Roman" w:eastAsia="Arial Unicode MS" w:hAnsi="Times New Roman" w:cs="Arial Unicode MS"/>
          <w:i/>
          <w:color w:val="000000"/>
          <w:sz w:val="28"/>
          <w:szCs w:val="28"/>
          <w:lang w:eastAsia="ru-RU"/>
        </w:rPr>
        <w:lastRenderedPageBreak/>
        <w:t>системе здравоохранения в РФ, и специфических особенностей целевой аудитории.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Прежде чем проводить исследование мнения потребителей относительно их отношения к стоматологическим услугам, мы предприняли попытку разобраться в специфике исследований медицинских услуг. Так, в результате мы сделали вывод, что в целом в экономической теории и практике, по источнику информации маркетинговые исследования деятельности медицинских учреждения подразделяются на первичные – собранные впервые для какой-либо обозначенной цели и вторичные, т.е. информация, которая ранее была собрана для других целей.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Исходя из специфики деятельности медицинских учреждений, для сбора первичной информации, целям маркетинга более всего соответствуют наблюдение и опрос. Для их проведения рекомендуется сформировать анкету, что также, в целом, подходит для изучения многих отраслей хозяйствования.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Но, только учитывая при проведении маркетингового исследования наличие таких специфичных факторов, как асимметрии информации между врачом и пациентом, восприятие медицинской услуги в зависимости от ее актуальности для пациента, персональный характер получения медицинской услуги, но вместе с тем действие активного и динамичного информационного поля передачи информации между пациентами о полученной мед. помощи, а также наличие высокой территориальной привязки пациентов к имеющимся организациям здравоохранения, можно получить достоверные и релевантные данные о состоянии развития, тенденциях и сформировавшихся потребительских предпочтениях на рынке медицинских услуг.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В результате проведения анализа вторичных данных касательно развития состояния развития стоматологической отрасли в РФ, можно отметить следующее: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С позиции ассортимента коммерческих услуг стоматологий, доступного для отечественных потребителей, отметим следующие основные: терапия, хирургия, ортопедическая и эстетическая стоматологии. Менее развит сегодня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>сегмент детской стоматологии. В целом тренд в отрасли остается таковым, что пациенты готовы платить за медицинскую помощь тогда, когда их потребность в ней актуализирована и им нужна помощь. На рисунке 4 отражены показатели спроса на коммерческие услуги стоматологии в 2019 г. от общего уровня спроса.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Исходя из данных рисунка 4, можно сделать вывод, что платная терапевтическая и ортопедическая стоматологическая помощь, являются наиболее востребованными среди отечественных потребителей. При этом отметим, что эти категории медицинской помощи зачастую относятся к неотложным процедурам, и, возможно, поэтому им отдают предпочтения пациенты. По 15% от общего числа приемов составляют хирургия (чаще всего – удаление зубов) и эстетика полости рта. При этом, если хирургическая стоматология остается на низших ступенях, то эстетика полости рта напротив, прибавляет позиции.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</w:p>
    <w:p w:rsidR="00041234" w:rsidRPr="00041234" w:rsidRDefault="00041234" w:rsidP="00041234">
      <w:pPr>
        <w:widowControl w:val="0"/>
        <w:spacing w:after="0" w:line="360" w:lineRule="auto"/>
        <w:ind w:firstLine="709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noProof/>
          <w:color w:val="000000"/>
          <w:sz w:val="28"/>
          <w:szCs w:val="28"/>
          <w:lang w:eastAsia="ru-RU"/>
        </w:rPr>
        <w:drawing>
          <wp:inline distT="0" distB="0" distL="0" distR="0" wp14:anchorId="5936BFF5" wp14:editId="151B0DE9">
            <wp:extent cx="5362575" cy="3133725"/>
            <wp:effectExtent l="0" t="0" r="9525" b="9525"/>
            <wp:docPr id="3" name="Рисунок 106" descr="Уровень спроса на 2019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Уровень спроса на 2019 го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34" w:rsidRPr="00041234" w:rsidRDefault="00041234" w:rsidP="00041234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Рисунок 4 – Спрос на коммерческие услуги стоматологии в 2019 г. </w:t>
      </w:r>
    </w:p>
    <w:p w:rsidR="00041234" w:rsidRPr="00041234" w:rsidRDefault="00041234" w:rsidP="00041234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от общего уровня спроса [49]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В целом по отрасли в ближайшие несколько лет ожидается усиление конкурентной борьбы на рынке коммерческих стоматологических услуг.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>Ключом к успеху в ней может стать применение собственниками и менеджментом стоматологических клиник актуальных технологий продвижения услуг. Начинающим же организациям в этой отрасли, необходимо принять верную стратегию позиционирования, потому как с ростом конкуренции будет все четче прослеживаться специализация стоматологических клиник. Тенденции по кадровому обеспечению деятельности медицинских учреждений останется прежней – собственники и менеджмент предпочтут взять на работу опытного профессионала и наработанной клиентской базой, пусть и с более высоким уровнем запроса по материальной мотивации, нежели молодого специалиста. Готовящиеся изменения в законодательстве, в случае их принятия могут оказать воздействие на уровень инвестиционных и текущих расходов стоматологических клиник, однако вряд ли окажут воздействие на размер заработной платы врачей, потому как, вероятно, эти расходы будут компенсированы за счет пересмотра стоимости услуг и оптимизации расходов на обновление оборудования.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На основе анализа ответов респондентов на поставленные в анкете вопросы, сформируем следующие выводы и рекомендации для совершенствования процесса разработки маркетинговых стратегий коммерческих стоматологических клиник:</w:t>
      </w:r>
    </w:p>
    <w:p w:rsidR="00041234" w:rsidRPr="00041234" w:rsidRDefault="00041234" w:rsidP="00041234">
      <w:pPr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Результаты ответов в целом подтверждают сложившееся отношение россиян к своему здоровью и медицинским обследованиям – половина опрошенных не считает, что </w:t>
      </w:r>
      <w:proofErr w:type="gram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посещение доктора это проявление заботы</w:t>
      </w:r>
      <w:proofErr w:type="gram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о своем здоровье. Докторов наши соотечественники в основном посещают при неотложной надобности, тогда, когда медицинская помощь точно необходима. При этом, положительным знаком является то, что вторая половина респондентов осознает, что помещение доктора – это одна из составляющих заботы о здоровье. Здесь прослеживается </w:t>
      </w:r>
      <w:proofErr w:type="gram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четкая связь с группой</w:t>
      </w:r>
      <w:proofErr w:type="gram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выбравшей этот вариант ответа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softHyphen/>
        <w:t xml:space="preserve">– большинство это замужние, трудоустроенные женщины в возрасте от 25 до 40 лет с заработком от 20-50 тысяч рублей. Они обладают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>высокой степенью социальной ответственности и стремятся следить за своим здоровьем.</w:t>
      </w:r>
    </w:p>
    <w:p w:rsidR="00041234" w:rsidRPr="00041234" w:rsidRDefault="00041234" w:rsidP="00041234">
      <w:pPr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Подавляющее большинство респондентов 59,1% или 39 человек, указывает, что посещает стоматолога не реже 1 раза в год. 12 человек или 18,2% опрошенных посещает стоматолога раз в полгода. 4 человека или 6,1 % респондентов на момент опроса посещали этого врача не 1-2 раза в месяц. Т.е. совокупно, более 83% опрошенных посещают стоматолога с высокой степенью регулярности. Это высокие показатели. Такие результаты также подтверждают предположение о высокой востребованности стоматологических услуг в некоторой степени опровергают гипотезу, что имеется недостаточный уровень культуры прохождения профилактических осмотров у населения, низкий уровень периодичности посещения стоматолога </w:t>
      </w:r>
    </w:p>
    <w:p w:rsidR="00041234" w:rsidRPr="00041234" w:rsidRDefault="00041234" w:rsidP="00041234">
      <w:pPr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Социальные сети стали неотъемлемой частью жизни современного молодого человека. Именно поэтому ответы респондентов на вопрос о необходимости присутствия клиники в социальных сетях говорят о высокой важности этого вопроса для потребителей – 32 человека или 58,9% поставили оценки этому параметру (рис. 13).</w:t>
      </w:r>
    </w:p>
    <w:p w:rsidR="00041234" w:rsidRPr="00041234" w:rsidRDefault="00041234" w:rsidP="00041234">
      <w:pPr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На вопрос о том, в какой из клиник города Краснодара респондентам действительно понравилось и почему, не было выделено явного фаворита у ответивших. Респондентами были выделены такие клиники как: Росс-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, Екатерининская,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val="en-US" w:eastAsia="ru-RU"/>
        </w:rPr>
        <w:t>ABC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-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val="en-US" w:eastAsia="ru-RU"/>
        </w:rPr>
        <w:t>clinic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,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Евродент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. Наибольшее число ответивших, а именно 18,2% или 12 человек ответило, что посещает клинику «РОСС ДЕНТ». По 6 человек или 9,1% ответили, что посещают клиники «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val="en-US" w:eastAsia="ru-RU"/>
        </w:rPr>
        <w:t>ABC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val="en-US" w:eastAsia="ru-RU"/>
        </w:rPr>
        <w:t>Clinic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» и «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val="en-US" w:eastAsia="ru-RU"/>
        </w:rPr>
        <w:t>Clinic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32». Среди понравившихся факторов, ответившие чаще всего выделяли профессионализм докторов, вежливость персонала и хорошее соотношение цены и качества предоставляемых услуг. </w:t>
      </w:r>
    </w:p>
    <w:p w:rsidR="00041234" w:rsidRPr="00041234" w:rsidRDefault="00041234" w:rsidP="00041234">
      <w:pPr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shd w:val="clear" w:color="auto" w:fill="FFFFFF"/>
          <w:lang w:eastAsia="ru-RU"/>
        </w:rPr>
        <w:t xml:space="preserve">Большинство опрошенных считает, что современной медицинской клинике необходимо иметь свой веб-сайт.  Так ответило 75,8% респондентов или 50 человек. При этом, 21,2% или 14% опрошенных считает наличие сайта необязательным условием (рис. 20). Также,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большинство респондентов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>считает, что у клиники должны быть аккаунты в соц. сетях – так ответило 50 человек или 75,8% от числа опрошенных. 15 человек или 22,7% не считают, что такие аккаунты нужны (рис. 26)</w:t>
      </w:r>
    </w:p>
    <w:p w:rsidR="00041234" w:rsidRPr="00041234" w:rsidRDefault="00041234" w:rsidP="00041234">
      <w:pPr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В вопросе отношения респондентов к ведению врачами социальной сети </w:t>
      </w:r>
      <w:proofErr w:type="spellStart"/>
      <w:r w:rsidRPr="00041234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Инстаграмм</w:t>
      </w:r>
      <w:proofErr w:type="spellEnd"/>
      <w:r w:rsidRPr="00041234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, более половины ответивших, а именно 51,5% или 34 человека считает, </w:t>
      </w:r>
      <w:proofErr w:type="gramStart"/>
      <w:r w:rsidRPr="00041234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что</w:t>
      </w:r>
      <w:proofErr w:type="gramEnd"/>
      <w:r w:rsidRPr="00041234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если доктор ведет свой профиль в социальных сетях, это вызывает у них большее доверие. Однако, доля тех, у кого это вызовет осторожное отношение, тоже высока и составляет 25,8% или 17 человек из числа опрошенных (рис. 23).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Примечательно, что вопрос для большинства респондентов вопрос зависимости их доверия к врачу от того, насколько много у него подписчиков, не является принципиальным. Так, 45,5% или 30 человек не считают этот вопрос важным фактором, а 25,8% или 17 чел. даже не задумывались об этом (рис. 25). Представленные результаты ответы на вопрос означают, что руководству стоит поощрять ведение своими докторами личных профессиональных профилей в </w:t>
      </w:r>
      <w:proofErr w:type="spellStart"/>
      <w:proofErr w:type="gram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соц.сетях</w:t>
      </w:r>
      <w:proofErr w:type="spellEnd"/>
      <w:proofErr w:type="gram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, но контролировать их наполнение.</w:t>
      </w:r>
    </w:p>
    <w:p w:rsidR="00041234" w:rsidRPr="00041234" w:rsidRDefault="00041234" w:rsidP="00041234">
      <w:pPr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Вопрос высокой стоимости медицинских услуг в частных клиниках также является актуальным для выбранной группы респондентов. Так, 72,7% респондентов отмечают, что они считают, что такие услуги стоят дорого. Почти четверть опрошенных, 24,2% или 16 чел., напротив, не считают, что предоставленные частными клиниками услуги стоят дорого (рис. 28)</w:t>
      </w:r>
    </w:p>
    <w:p w:rsidR="00041234" w:rsidRPr="00041234" w:rsidRDefault="00041234" w:rsidP="00041234">
      <w:pPr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Большинство респондентов тратит на одно лечение от 3 до 5 тыс. рублей – таковы ответы 57,6% или 38 опрошенных человек. Довольно высокая доля респондентов тратит на такие услуги более 5 тыс. руб. – такой ответ дали 27,3% или 18 человек. Есть и те, кто не пользуется услугами частных стоматологических клиник – 2 человека или 3% опрошенных пользуются услугами бесплатно.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ab/>
        <w:t>Такое же количество опрошенных тратит на стоматолога более 10 тыс. руб. за одно лечение. Таким образом, зная ценовые диапазоны и доли потребителей в них, можно сформировать портрет целевого клиента по ценовому параметру.</w:t>
      </w:r>
    </w:p>
    <w:p w:rsidR="00041234" w:rsidRPr="00041234" w:rsidRDefault="00041234" w:rsidP="00041234">
      <w:pPr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Во время ожидания стоматолога большинство опрошенных смотрит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 xml:space="preserve">телевизор или рассматривают листовки клиники – такие ответы дали 29 чел. или по 43,9% опрошенных (рис. 32). При этом, респонденты отмечают, что они хотят видеть на экране полезную информацию о врачах данной клиники и различных методиках лечения – такой ответ дали 56,1% опрошенных или 37 человек. 14 человек или 21,2% респондентов ответили, что хотели бы видеть на экране развлекательные передачи, чтобы можно было отвлечься. По нашему мнению, руководству частных стоматологических клиник необходимо рассмотреть вопрос включения информации о своих докторах в контент-план на телевизионных носителях в своих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клиениках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.</w:t>
      </w:r>
    </w:p>
    <w:p w:rsidR="00041234" w:rsidRPr="00041234" w:rsidRDefault="00041234" w:rsidP="00041234">
      <w:pPr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Среди основных проблем в деятельности частных клиник респонденты выделяют следующие: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– наличие периода ожидания, из-за того, что врач назначает слишком много пациентов и не всегда успевает закончить работу своевременно – этот вариант выбрало 36 человек или 54,5%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– радушное отношение персонала – этот вариант выбрали 34 чел. или 54,5% опрошенных. Пациент приходит в больницу со своей лично проблемой и находится в некоторой степени нервного напряжения. Важно проявить к нему заботу и не безразличие к его проблеме, тогда потребитель снова и снова будет делать выбор в пользу этой клиники.</w:t>
      </w:r>
    </w:p>
    <w:p w:rsidR="00041234" w:rsidRPr="00041234" w:rsidRDefault="00041234" w:rsidP="00041234">
      <w:pPr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Основная причина, по которой респонденты не меняли врача в том, что они полностью довольны обслуживанием и предоставленным лечением. Среди причин, по которым смена врача все-таки произошла, отмечены такие причины как: переезд (смена места жительства), низкая </w:t>
      </w:r>
      <w:proofErr w:type="gram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эффективность  лечения</w:t>
      </w:r>
      <w:proofErr w:type="gram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, недоверие к врачу. Соответственно, руководству клиники нужно не только обеспечить максимальное качество предоставляемых услуг, но, касательно маркетинговой составляющей деятельности, также акцентировать на этом параметре внимание потребителя.</w:t>
      </w:r>
    </w:p>
    <w:p w:rsidR="00041234" w:rsidRPr="00041234" w:rsidRDefault="00041234" w:rsidP="00041234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i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i/>
          <w:color w:val="000000"/>
          <w:sz w:val="28"/>
          <w:szCs w:val="28"/>
          <w:lang w:eastAsia="ru-RU"/>
        </w:rPr>
        <w:t>Сформулирована стратегия позиционирования и продвижения бренда медицинского учреждения на примере коммерческой стоматологической клиники.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>С целью изучения возможности практического применения рассмотренных положений, выявленных тенденций и специфики формирования стратегии позиционирования и продвижения медицинских учреждений рассмотрим эти процессы на примере краснодарской сети стоматологи «Росс-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». Этот пример может быть особенно </w:t>
      </w:r>
      <w:proofErr w:type="gram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показательным, ввиду того, что</w:t>
      </w:r>
      <w:proofErr w:type="gram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на текущий момент сеть запустила процесс ребрендинга и с недавнего времени именуется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».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В момент перехода к новому формату, важно обеспечить точное позиционирование компании, иначе планы могут быть нарушены и не только не принести результата, но и привнести негативные эффекты. В результате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репозиционирования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, сеть клиник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» должна полноценно ассоциироваться с лидером сегмента стоматологии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val="en-US" w:eastAsia="ru-RU"/>
        </w:rPr>
        <w:t>middle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+ в г. Краснодаре. Подзадачами ребрендинга являются: привлечение внимания целевой аудитории, стимулирование продаж, формирование лояльной целевой аудитории.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Составим составить сводную таблицу по ключевым характеристикам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репозиционирования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бренда сети стоматологических клиник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» (табл.  3)</w:t>
      </w:r>
    </w:p>
    <w:p w:rsidR="00041234" w:rsidRPr="00041234" w:rsidRDefault="00041234" w:rsidP="00041234">
      <w:pPr>
        <w:widowControl w:val="0"/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</w:p>
    <w:p w:rsidR="00041234" w:rsidRPr="00041234" w:rsidRDefault="00041234" w:rsidP="00041234">
      <w:pPr>
        <w:widowControl w:val="0"/>
        <w:spacing w:after="0" w:line="240" w:lineRule="auto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Таблица 3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softHyphen/>
        <w:t xml:space="preserve">– Рекомендации по ключевым характеристикам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репозиционирования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сети стоматологических клиник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»</w:t>
      </w: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2339"/>
        <w:gridCol w:w="3081"/>
        <w:gridCol w:w="3925"/>
      </w:tblGrid>
      <w:tr w:rsidR="00041234" w:rsidRPr="00041234" w:rsidTr="0004123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41234">
              <w:rPr>
                <w:rFonts w:ascii="Times New Roman" w:hAnsi="Times New Roman"/>
                <w:b/>
              </w:rPr>
              <w:t>Позиционирование продукта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41234">
              <w:rPr>
                <w:rFonts w:ascii="Times New Roman" w:hAnsi="Times New Roman"/>
                <w:b/>
              </w:rPr>
              <w:t>Изначальное позиционирование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41234">
              <w:rPr>
                <w:rFonts w:ascii="Times New Roman" w:hAnsi="Times New Roman"/>
                <w:b/>
              </w:rPr>
              <w:t xml:space="preserve">Стратегия </w:t>
            </w:r>
            <w:proofErr w:type="spellStart"/>
            <w:r w:rsidRPr="00041234">
              <w:rPr>
                <w:rFonts w:ascii="Times New Roman" w:hAnsi="Times New Roman"/>
                <w:b/>
              </w:rPr>
              <w:t>репозиционирования</w:t>
            </w:r>
            <w:proofErr w:type="spellEnd"/>
          </w:p>
        </w:tc>
      </w:tr>
      <w:tr w:rsidR="00041234" w:rsidRPr="00041234" w:rsidTr="0004123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Целевой потребитель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Эконом, средний класс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Средний класс+</w:t>
            </w:r>
          </w:p>
        </w:tc>
      </w:tr>
      <w:tr w:rsidR="00041234" w:rsidRPr="00041234" w:rsidTr="0004123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Название бренда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«Росс-</w:t>
            </w:r>
            <w:proofErr w:type="spellStart"/>
            <w:r w:rsidRPr="00041234">
              <w:rPr>
                <w:rFonts w:ascii="Times New Roman" w:hAnsi="Times New Roman"/>
              </w:rPr>
              <w:t>дент</w:t>
            </w:r>
            <w:proofErr w:type="spellEnd"/>
            <w:r w:rsidRPr="00041234">
              <w:rPr>
                <w:rFonts w:ascii="Times New Roman" w:hAnsi="Times New Roman"/>
              </w:rPr>
              <w:t>»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«</w:t>
            </w:r>
            <w:proofErr w:type="spellStart"/>
            <w:r w:rsidRPr="00041234">
              <w:rPr>
                <w:rFonts w:ascii="Times New Roman" w:hAnsi="Times New Roman"/>
              </w:rPr>
              <w:t>Руссдент</w:t>
            </w:r>
            <w:proofErr w:type="spellEnd"/>
            <w:r w:rsidRPr="00041234">
              <w:rPr>
                <w:rFonts w:ascii="Times New Roman" w:hAnsi="Times New Roman"/>
              </w:rPr>
              <w:t>»</w:t>
            </w:r>
          </w:p>
        </w:tc>
      </w:tr>
      <w:tr w:rsidR="00041234" w:rsidRPr="00041234" w:rsidTr="0004123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Рекламное сообщение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«Точность – наш конек»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«Здоровье. Красота. Точность»</w:t>
            </w:r>
          </w:p>
        </w:tc>
      </w:tr>
      <w:tr w:rsidR="00041234" w:rsidRPr="00041234" w:rsidTr="0004123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Продукт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Центр имплантации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Точная имплантация и эстетика улыбки</w:t>
            </w:r>
          </w:p>
        </w:tc>
      </w:tr>
      <w:tr w:rsidR="00041234" w:rsidRPr="00041234" w:rsidTr="0004123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 xml:space="preserve">Цена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Средняя, по нижней границе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 xml:space="preserve">Средняя, ближе </w:t>
            </w:r>
            <w:proofErr w:type="gramStart"/>
            <w:r w:rsidRPr="00041234">
              <w:rPr>
                <w:rFonts w:ascii="Times New Roman" w:hAnsi="Times New Roman"/>
              </w:rPr>
              <w:t>к премиум</w:t>
            </w:r>
            <w:proofErr w:type="gramEnd"/>
          </w:p>
        </w:tc>
      </w:tr>
      <w:tr w:rsidR="00041234" w:rsidRPr="00041234" w:rsidTr="0004123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Оформление клиники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Эконом+ дизайн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Комфорт+ дизайн</w:t>
            </w:r>
          </w:p>
        </w:tc>
      </w:tr>
      <w:tr w:rsidR="00041234" w:rsidRPr="00041234" w:rsidTr="0004123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Ценностное предложение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Комфорт пациенту достигается технологией «лечение во сне».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234" w:rsidRPr="00041234" w:rsidRDefault="00041234" w:rsidP="00041234">
            <w:pPr>
              <w:spacing w:after="0" w:line="240" w:lineRule="auto"/>
              <w:rPr>
                <w:rFonts w:ascii="Times New Roman" w:hAnsi="Times New Roman"/>
              </w:rPr>
            </w:pPr>
            <w:r w:rsidRPr="00041234">
              <w:rPr>
                <w:rFonts w:ascii="Times New Roman" w:hAnsi="Times New Roman"/>
              </w:rPr>
              <w:t>Услуга «лечение во вне» избавит Вас от страха стоматолога и сделает посещение клиники комфортным.</w:t>
            </w:r>
          </w:p>
        </w:tc>
      </w:tr>
    </w:tbl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Можно сформулировать ряд рекомендаций по построению стратегии позиционирования стоматологических клиник в целом и для сети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». </w:t>
      </w:r>
    </w:p>
    <w:p w:rsidR="00041234" w:rsidRPr="00041234" w:rsidRDefault="00041234" w:rsidP="00041234">
      <w:pPr>
        <w:widowControl w:val="0"/>
        <w:numPr>
          <w:ilvl w:val="3"/>
          <w:numId w:val="18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>Позиционирование лежит в основе маркетинговой деятельности компании и важно, чтобы на начальном этапе определить, какие основные черты компании будут отделять ее от конкурентов. Применительно к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», в момент перехода к новому формату представления услуг организации, важно обеспечить точное позиционирование компании, иначе планы могут быть нарушены и не только не принести результата, но и привнести негативные эффекты.</w:t>
      </w:r>
    </w:p>
    <w:p w:rsidR="00041234" w:rsidRPr="00041234" w:rsidRDefault="00041234" w:rsidP="00041234">
      <w:pPr>
        <w:widowControl w:val="0"/>
        <w:numPr>
          <w:ilvl w:val="3"/>
          <w:numId w:val="18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Несмотря на развитие технологий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нейминга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,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нейминг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в стоматологии сегодня рекомендуется проводить в соответствии с традиционно-принятыми подходами, а именно с образованием названия клиники от корней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-»,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стома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-». Это обеспечит четкую отстройку клиники от других учреждений коммерции. При этом, важна и вторая составляющая названия, потому как она может нишу или сегмент поля деятельности, т.е. еще более точно очерчивать круг потенциальных потребителей, или вызывать дополнительные ассоциации (как в случае с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», где корень «Русс-» вызывает патриотичные чувства у аудитории и ассоциирует ее термином надежность, стабильность, величие.).</w:t>
      </w:r>
    </w:p>
    <w:p w:rsidR="00041234" w:rsidRPr="00041234" w:rsidRDefault="00041234" w:rsidP="00041234">
      <w:pPr>
        <w:widowControl w:val="0"/>
        <w:numPr>
          <w:ilvl w:val="3"/>
          <w:numId w:val="18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Для медицинских учреждений, предоставляющих услуги стоматологии, можно выделить базовые ценности бренда – те, которые должны быть транслированы любым брендом в этой сфере, независимо от сегмента, и индивидуальные, присущие специфике деятельности отдельного предприятия. Так, к базовым можно отнести – высочайшее качество медицинской услуги и заботу о здоровье людей – это то, на чем должна быть основана любая организация здравоохранения. К индивидуальным ценностям можно отнести такие как, на примере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»: точность технологий, доверительное отношение с пациентами, забота о красоте и эстетике людей, высокий уровень комфорта и сервиса, т.е. то, на чем дополнительно может основываться бренд. </w:t>
      </w:r>
    </w:p>
    <w:p w:rsidR="00041234" w:rsidRPr="00041234" w:rsidRDefault="00041234" w:rsidP="00041234">
      <w:pPr>
        <w:widowControl w:val="0"/>
        <w:numPr>
          <w:ilvl w:val="3"/>
          <w:numId w:val="18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Месторасположение коммерческой медицинской клиники нужно подбирать исходя из обеспеченности места потоком целевой аудитории. Разумным выглядит вариант, когда стоматологии премиум и среднего+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>сегмента размещаются в центре города и в благополучных, развитых районах. В то же время, эконом сегмент может получать хороший трафик и в отдаленных районах города, и в центре. Применительно к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», адреса филиалов расположены в самых развитых районах города Краснодара, что делает компанию ближе к целевому потребителю, имеющему заработок выше среднего, ценящему комфорт и сервис. </w:t>
      </w:r>
    </w:p>
    <w:p w:rsidR="00041234" w:rsidRPr="00041234" w:rsidRDefault="00041234" w:rsidP="00041234">
      <w:pPr>
        <w:widowControl w:val="0"/>
        <w:numPr>
          <w:ilvl w:val="3"/>
          <w:numId w:val="18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Дизайн код приобретает большее значение при позиционировании стоматологических клиник среднего сегмента, по сравнению </w:t>
      </w:r>
      <w:proofErr w:type="gram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с эконом</w:t>
      </w:r>
      <w:proofErr w:type="gram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и премиум сегментами. </w:t>
      </w:r>
      <w:r w:rsidRPr="00041234">
        <w:rPr>
          <w:rFonts w:ascii="Times New Roman" w:eastAsia="Arial Unicode MS" w:hAnsi="Times New Roman" w:cs="Arial Unicode MS"/>
          <w:bCs/>
          <w:color w:val="000000"/>
          <w:sz w:val="28"/>
          <w:szCs w:val="28"/>
          <w:lang w:eastAsia="ru-RU"/>
        </w:rPr>
        <w:t>Важным элементом создания единого образа бренда является использование брендированных предметов, аксессуаров и т.п. Отметим, что формирование единого образа необходимо проводить по всем точкам контакта, чтобы потребитель целостно воспринимал информацию из разных источников. Применительно к бренду «</w:t>
      </w:r>
      <w:proofErr w:type="spellStart"/>
      <w:r w:rsidRPr="00041234">
        <w:rPr>
          <w:rFonts w:ascii="Times New Roman" w:eastAsia="Arial Unicode MS" w:hAnsi="Times New Roman" w:cs="Arial Unicode MS"/>
          <w:bCs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bCs/>
          <w:color w:val="000000"/>
          <w:sz w:val="28"/>
          <w:szCs w:val="28"/>
          <w:lang w:eastAsia="ru-RU"/>
        </w:rPr>
        <w:t>», в рамках формирования более цельного образа, рекомендуется провести редизайн, чтобы сделать образ более цельным, нужно ограничить количество используемых цветов, но выделить доминирующие – оранжевый и синий.</w:t>
      </w:r>
    </w:p>
    <w:p w:rsidR="00041234" w:rsidRPr="00041234" w:rsidRDefault="00041234" w:rsidP="00041234">
      <w:pPr>
        <w:widowControl w:val="0"/>
        <w:numPr>
          <w:ilvl w:val="3"/>
          <w:numId w:val="18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Чем выше уровень развития компании, тем больше возможностей для отстройки компании от конкурентов в заданном сегменте. Т.е. стратегия позиционирования лидера отрасли может быть сформулирована за счет конкурентных преимуществ, сделавших его этим лидером. Но в масс-сегменте позиционировать конкурентные преимущества сложнее, поэтому нужно сосредоточиться на нескольких из их числа и в дальнейшем скомбинировать их с другими инструментами позиционирования.</w:t>
      </w:r>
    </w:p>
    <w:p w:rsidR="00041234" w:rsidRPr="00041234" w:rsidRDefault="00041234" w:rsidP="00041234">
      <w:pPr>
        <w:widowControl w:val="0"/>
        <w:numPr>
          <w:ilvl w:val="3"/>
          <w:numId w:val="18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Позиционирование по признаку поведенческой сегментации потребителей так же имеет специфику относительно сегмента, в котором работает клиника. Здесь тоже есть базовые признаки поведенческой модели пациента (например, если болит зуб – нужно его немедленно лечить), и расширенные (например, желание получать лечение в какой-либо комфортной обстановке). Чем выше сегмент, тем более точно должно обеспечиваться позиционирование по расширенным признакам поведенческой сегментации. </w:t>
      </w:r>
    </w:p>
    <w:p w:rsidR="00041234" w:rsidRPr="00041234" w:rsidRDefault="00041234" w:rsidP="00041234">
      <w:pPr>
        <w:widowControl w:val="0"/>
        <w:numPr>
          <w:ilvl w:val="3"/>
          <w:numId w:val="18"/>
        </w:numPr>
        <w:spacing w:after="0" w:line="360" w:lineRule="auto"/>
        <w:ind w:left="0"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 xml:space="preserve">Персонал с развитием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val="en-US" w:eastAsia="ru-RU"/>
        </w:rPr>
        <w:t>SMM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, стал еще более мощным фактором позиционирования медицинского учреждения. Необходимо задействовать потенциал этого фактора при позиционировании стоматологических клиник. Применительно к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», можно сказать, что бренд позиционирует себя как сеть клиник с самым профессиональным составом, а сотрудники других клиник и вовсе повышают свою квалификацию у них. Однако, помимо профессиональных качеств персонала, стоматологическим клиникам вообще и сети 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» в частности, важно подчеркнуть качества персонала, влияющие на реализацию маркетинга отношений с пациентом (например, такие как: вежливость, стрессоустойчивость, дружелюбие, соблюдение санитарных норм).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Применение в практике </w:t>
      </w:r>
      <w:proofErr w:type="gram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медицинских учреждений стоматологического профиля</w:t>
      </w:r>
      <w:proofErr w:type="gram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приведенных выше рекомендаций при разработке стратегии позиционирования позволит более эффективно управлять процессом формирования восприятия бренда клиники современным потребителем.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«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Руссдент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» позиционирует себя как стоматологию №1 в г. Краснодаре, стоматологию, где применяются новейшие технологии, помощника, куда приятно и совсем не страшно прийти, где тебе всегда рады. Коммуникационная цель – намерение воспользоваться услугой компании, содействие совершению покупки. Стратегия – рациональная, коммуникационная модель – АССА.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Нами был составлен портрет целевой аудитории и выделено его ядро. Основной идеей креативной стратегией будет продвижение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Implantium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по цене ниже среднерыночной под слоганом «Наша самая лучшая цена». При этом это предложение услуги по условно низкой цене не идет в разрез со статусом VIP-стоматологии, так как оно позиционируется как оказание услуги по честной цене. Это предложение позволит увеличить поток новых пациентов и повысить лояльность.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Система маркетинговых коммуникаций включает в себя две основные группы: основные средства МК и синтетические средства. В рамках нашей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 xml:space="preserve">программы мы задействуем рекламу (наружную стационарную и контекстную), стимулирование сбыта (акции, работу с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рекомендателями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, подарки за участие в конкурсах, рассрочка на лечение), и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event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(«Зубной марафон»)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Для того, что заняться процессом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медиапланирования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, для начала необходимо определиться с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медиацелями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и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медиастратегией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.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Медиацель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– добиться выполнения некоторых действий со стороны потребителя после контакта с рекламой, добиться эффективной частоты контактов с целевой аудиторией, которая по расчетам по приведенной формуле (1) равна 4.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Для того чтобы достичь поставленных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медиацелей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, мы воспользуемся наружной рекламой и контекстной рекламой в комплексе.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Рассчитав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медиапоказатели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для наружной рекламы, мы получили GRP = 76,92 %. Чтобы рассчитать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медиапоказатели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для контекстной рекламы, нам понадобилась специальная программа в «Яндекс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Директ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», которая автоматически все высчитывает самостоятельно. По прогнозам, в среднем в течение двух месяцев нашу контекстную рекламу увидят 140 397 раз. Это будет являться охватом. Перейдут по рекламе к нам на сайт 7 140 человек.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Бюджет на три месяца на рекламное продвижение составил – 936 880 руб., на реализацию программы по стимулированию сбыта – 99 000 руб., на </w:t>
      </w:r>
      <w:proofErr w:type="spellStart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event</w:t>
      </w:r>
      <w:proofErr w:type="spellEnd"/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– 115 000 руб. На анализ результатов комплексной программы маркетинговых коммуникаций выделено 3 % от суммы общего бюджета, то есть 34 526 руб.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Получившаяся сумма расхода на комплексную программу продвижения сроком на 3 месяца равна 1 185 406 руб. 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После разработки комплексной программы продвижения нами были предложены подходы к определению ее эффективности. Получившиеся прогнозные показатели говорят о том, что поставленные маркетинговые цели достигаемы.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Так как предложенные подходы к разработке стратегий позиционирования и продвижения бренда основаны прежде всего на </w:t>
      </w: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lastRenderedPageBreak/>
        <w:t>проведенном маркетинговом исследовании рынка медицинских услуг, можно отметить, что отдельные элементы предложенной стратегии могут быть использованы другими учреждениями отрасли в своей практике.</w:t>
      </w:r>
    </w:p>
    <w:p w:rsidR="00041234" w:rsidRPr="00041234" w:rsidRDefault="00041234" w:rsidP="00041234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041234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Таким образом, результаты проведенного диссертационного исследования говорят о перспективности предложенных путей совершенствования разработки стратегий позиционирования и продвижения брендов стоматологических учреждений, потому как сформированные рекомендации основаны на основательном изучении сложившейся конъектуры на рынке стоматологических услуг, облагают долей универсальности, т.е. применимости в практике не только одного субъекта хозяйствования, но ряда подобных, и представляют собой комплекс маркетинговых мер, применение которых имеет положительных прогноз в части оценки их эффективности. Теоретические наработки, представленные данным исследованием, могут способствовать приращению знаний в маркетинге медицинских услуг.</w:t>
      </w:r>
    </w:p>
    <w:p w:rsidR="00041234" w:rsidRPr="00041234" w:rsidRDefault="00041234" w:rsidP="00041234">
      <w:pPr>
        <w:widowControl w:val="0"/>
        <w:tabs>
          <w:tab w:val="left" w:pos="993"/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/>
          <w:i/>
          <w:caps/>
          <w:sz w:val="28"/>
          <w:szCs w:val="28"/>
          <w:lang w:eastAsia="ru-RU"/>
        </w:rPr>
      </w:pPr>
    </w:p>
    <w:p w:rsidR="00041234" w:rsidRPr="00041234" w:rsidRDefault="00041234" w:rsidP="00041234">
      <w:pPr>
        <w:widowControl w:val="0"/>
        <w:tabs>
          <w:tab w:val="left" w:pos="993"/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/>
          <w:i/>
          <w:caps/>
          <w:sz w:val="28"/>
          <w:szCs w:val="28"/>
          <w:lang w:eastAsia="ru-RU"/>
        </w:rPr>
      </w:pPr>
      <w:r w:rsidRPr="00041234">
        <w:rPr>
          <w:rFonts w:ascii="Times New Roman" w:hAnsi="Times New Roman"/>
          <w:i/>
          <w:caps/>
          <w:sz w:val="28"/>
          <w:szCs w:val="28"/>
          <w:lang w:eastAsia="ru-RU"/>
        </w:rPr>
        <w:t>публикации по теме диссертации</w:t>
      </w:r>
    </w:p>
    <w:p w:rsidR="00041234" w:rsidRPr="00041234" w:rsidRDefault="00041234" w:rsidP="00041234">
      <w:pPr>
        <w:widowControl w:val="0"/>
        <w:tabs>
          <w:tab w:val="left" w:pos="993"/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41234" w:rsidRPr="00041234" w:rsidRDefault="00041234" w:rsidP="00041234">
      <w:pPr>
        <w:widowControl w:val="0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41234">
        <w:rPr>
          <w:rFonts w:ascii="Times New Roman" w:hAnsi="Times New Roman"/>
          <w:sz w:val="28"/>
          <w:szCs w:val="28"/>
          <w:lang w:eastAsia="ru-RU"/>
        </w:rPr>
        <w:t>Каспарян</w:t>
      </w:r>
      <w:proofErr w:type="spellEnd"/>
      <w:r w:rsidRPr="00041234">
        <w:rPr>
          <w:rFonts w:ascii="Times New Roman" w:hAnsi="Times New Roman"/>
          <w:sz w:val="28"/>
          <w:szCs w:val="28"/>
          <w:lang w:eastAsia="ru-RU"/>
        </w:rPr>
        <w:t xml:space="preserve"> Д.И., Специфика маркетинга коммерческих медицинских услуг стоматологии // Конкурс молодых учёных: сборник статей III Международного научно-исследовательского конкурса. – Пенза: МЦНС «Наука и Просвещение». – 2020. – 294 с.</w:t>
      </w:r>
    </w:p>
    <w:p w:rsidR="00041234" w:rsidRPr="00041234" w:rsidRDefault="00041234" w:rsidP="00041234">
      <w:pPr>
        <w:widowControl w:val="0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41234">
        <w:rPr>
          <w:rFonts w:ascii="Times New Roman" w:hAnsi="Times New Roman"/>
          <w:sz w:val="28"/>
          <w:szCs w:val="28"/>
          <w:lang w:eastAsia="ru-RU"/>
        </w:rPr>
        <w:t>Каспарян</w:t>
      </w:r>
      <w:proofErr w:type="spellEnd"/>
      <w:r w:rsidRPr="00041234">
        <w:rPr>
          <w:rFonts w:ascii="Times New Roman" w:hAnsi="Times New Roman"/>
          <w:sz w:val="28"/>
          <w:szCs w:val="28"/>
          <w:lang w:eastAsia="ru-RU"/>
        </w:rPr>
        <w:t xml:space="preserve"> Д.И., </w:t>
      </w:r>
      <w:proofErr w:type="spellStart"/>
      <w:r w:rsidRPr="00041234">
        <w:rPr>
          <w:rFonts w:ascii="Times New Roman" w:hAnsi="Times New Roman"/>
          <w:sz w:val="28"/>
          <w:szCs w:val="28"/>
          <w:lang w:eastAsia="ru-RU"/>
        </w:rPr>
        <w:t>Брендинг</w:t>
      </w:r>
      <w:proofErr w:type="spellEnd"/>
      <w:r w:rsidRPr="00041234">
        <w:rPr>
          <w:rFonts w:ascii="Times New Roman" w:hAnsi="Times New Roman"/>
          <w:sz w:val="28"/>
          <w:szCs w:val="28"/>
          <w:lang w:eastAsia="ru-RU"/>
        </w:rPr>
        <w:t xml:space="preserve"> и продвижение услуг стоматологических клиник // Инновационное развитие науки и образования: сборник статей XI Международной научно-практической конференции. – Пенза: МЦНС «Наука и Просвещение». – 2020. – 272 с.</w:t>
      </w:r>
    </w:p>
    <w:p w:rsidR="00441012" w:rsidRDefault="00441012" w:rsidP="00441012">
      <w:pPr>
        <w:pStyle w:val="a8"/>
        <w:widowControl w:val="0"/>
        <w:ind w:firstLine="0"/>
      </w:pPr>
    </w:p>
    <w:p w:rsidR="002D04E4" w:rsidRDefault="002D04E4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br w:type="page"/>
      </w:r>
    </w:p>
    <w:p w:rsidR="002D04E4" w:rsidRPr="00441012" w:rsidRDefault="002D04E4" w:rsidP="002D04E4">
      <w:pPr>
        <w:spacing w:after="0" w:line="360" w:lineRule="auto"/>
        <w:jc w:val="center"/>
        <w:rPr>
          <w:rFonts w:ascii="Times New Roman" w:eastAsia="Calibri" w:hAnsi="Times New Roman"/>
          <w:bCs/>
          <w:sz w:val="28"/>
          <w:szCs w:val="28"/>
          <w:lang w:eastAsia="ru-RU"/>
        </w:rPr>
      </w:pPr>
      <w:r w:rsidRPr="00441012">
        <w:rPr>
          <w:rFonts w:ascii="Times New Roman" w:eastAsia="Calibri" w:hAnsi="Times New Roman"/>
          <w:bCs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441012" w:rsidRDefault="00441012" w:rsidP="002D04E4">
      <w:pPr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>Андреев С.Н. Основы концепции маркетинга некоммерческих субъектов// Маркетинг в России и за рубежом. – 1999. – № 5. С. 20-25.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 xml:space="preserve">Белозор А.А. Маркетинг платных медицинских услуг/ А.А. Белозор, B.C. </w:t>
      </w:r>
      <w:proofErr w:type="spellStart"/>
      <w:r>
        <w:t>Даненков</w:t>
      </w:r>
      <w:proofErr w:type="spellEnd"/>
      <w:r>
        <w:t xml:space="preserve"> // Амбулаторная хирургия: </w:t>
      </w:r>
      <w:proofErr w:type="spellStart"/>
      <w:r>
        <w:t>стационарозамещающие</w:t>
      </w:r>
      <w:proofErr w:type="spellEnd"/>
      <w:r>
        <w:t xml:space="preserve"> технологии. -2006. -№3,- С. 63-64.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 xml:space="preserve">Боханов С.Ю., </w:t>
      </w:r>
      <w:proofErr w:type="spellStart"/>
      <w:r>
        <w:t>Вапнярская</w:t>
      </w:r>
      <w:proofErr w:type="spellEnd"/>
      <w:r>
        <w:t xml:space="preserve"> О.И. Предпосылки использования маркетинга в здравоохранении. // Маркетинг в России и за рубежом. №2. - 2002. - С. 4551.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>Васнецова O.A. Медицинское и фармацевтическое товароведение: учебник для вузов / O.A. Васнецова. М.: ГЭОТАР - Медиа, 2005. - 608 с.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>Венедиктов Д.Д. Здравоохранение России. Кризис и пути преодоления. – М.: Медицина, 1999. 198 с.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proofErr w:type="spellStart"/>
      <w:r>
        <w:t>Вялков</w:t>
      </w:r>
      <w:proofErr w:type="spellEnd"/>
      <w:r>
        <w:t xml:space="preserve"> А.И., Кича Д.И., </w:t>
      </w:r>
      <w:proofErr w:type="spellStart"/>
      <w:r>
        <w:t>Гурдус</w:t>
      </w:r>
      <w:proofErr w:type="spellEnd"/>
      <w:r>
        <w:t xml:space="preserve"> В.О. и др. Моделирование и прогнозирование здоровья населения и стратегии управления здравоохранением. Воронеж: «Истоки», 2001. - 184 с.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 xml:space="preserve">Галкин, P.A. Модель организации работы сестринского персонала общеврачебной практики / P.A. Галкин, С.Х. </w:t>
      </w:r>
      <w:proofErr w:type="spellStart"/>
      <w:r>
        <w:t>Садреева</w:t>
      </w:r>
      <w:proofErr w:type="spellEnd"/>
      <w:r>
        <w:t>, JI.C. Федосеева // Мед. сестра. 2001. № 2. - С. 38-40.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 xml:space="preserve">Голубков Е.П. Маркетинговые исследования: теория, методология и практика. 2-е изд., </w:t>
      </w:r>
      <w:proofErr w:type="spellStart"/>
      <w:r>
        <w:t>перераб</w:t>
      </w:r>
      <w:proofErr w:type="spellEnd"/>
      <w:r>
        <w:t xml:space="preserve">. И доп. - М.: </w:t>
      </w:r>
      <w:proofErr w:type="spellStart"/>
      <w:r>
        <w:t>Финпресс</w:t>
      </w:r>
      <w:proofErr w:type="spellEnd"/>
      <w:r>
        <w:t>. - 2000. - 464 с.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>Гребенников В.И. Экономические регуляторы в деятельности больницы / Гребенников В.И. // Экономика здравоохранения. 2002. -№ 11.-С. 11 - 13.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proofErr w:type="spellStart"/>
      <w:r>
        <w:t>Деккер</w:t>
      </w:r>
      <w:proofErr w:type="spellEnd"/>
      <w:r>
        <w:t xml:space="preserve"> Я., </w:t>
      </w:r>
      <w:proofErr w:type="spellStart"/>
      <w:r>
        <w:t>Уейсихоф</w:t>
      </w:r>
      <w:proofErr w:type="spellEnd"/>
      <w:r>
        <w:t xml:space="preserve"> X. Маркетинг: теория и практика. М.: ГАУ, ЦМ. 2002. -384 с.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proofErr w:type="spellStart"/>
      <w:r>
        <w:t>Дихтль</w:t>
      </w:r>
      <w:proofErr w:type="spellEnd"/>
      <w:r>
        <w:t>, Е. Практический маркетинг Текст</w:t>
      </w:r>
      <w:proofErr w:type="gramStart"/>
      <w:r>
        <w:t>. :</w:t>
      </w:r>
      <w:proofErr w:type="gramEnd"/>
      <w:r>
        <w:t xml:space="preserve"> учеб. пособие / Е. </w:t>
      </w:r>
      <w:proofErr w:type="spellStart"/>
      <w:r>
        <w:t>Дихтль</w:t>
      </w:r>
      <w:proofErr w:type="spellEnd"/>
      <w:r>
        <w:t xml:space="preserve">, X. </w:t>
      </w:r>
      <w:proofErr w:type="spellStart"/>
      <w:r>
        <w:t>Хершген</w:t>
      </w:r>
      <w:proofErr w:type="spellEnd"/>
      <w:r>
        <w:t xml:space="preserve">; </w:t>
      </w:r>
      <w:proofErr w:type="spellStart"/>
      <w:r>
        <w:t>Авт.предисл</w:t>
      </w:r>
      <w:proofErr w:type="spellEnd"/>
      <w:r>
        <w:t xml:space="preserve">. И.С. Минко, Ред. И.С. Минко, Пер. с нем. A.M. Макарова, </w:t>
      </w:r>
      <w:proofErr w:type="spellStart"/>
      <w:r>
        <w:t>Рец</w:t>
      </w:r>
      <w:proofErr w:type="spellEnd"/>
      <w:r>
        <w:t xml:space="preserve">. Д.А. Черников. </w:t>
      </w:r>
      <w:proofErr w:type="gramStart"/>
      <w:r>
        <w:t>М. :</w:t>
      </w:r>
      <w:proofErr w:type="gramEnd"/>
      <w:r>
        <w:t xml:space="preserve"> ВШ: Высшая школа, 1995. - 255 с.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lastRenderedPageBreak/>
        <w:t xml:space="preserve">Дуглас Дж. </w:t>
      </w:r>
      <w:proofErr w:type="spellStart"/>
      <w:r>
        <w:t>Ланска</w:t>
      </w:r>
      <w:proofErr w:type="spellEnd"/>
      <w:r>
        <w:t xml:space="preserve">, Артур Дж. </w:t>
      </w:r>
      <w:proofErr w:type="spellStart"/>
      <w:r>
        <w:t>Харц</w:t>
      </w:r>
      <w:proofErr w:type="spellEnd"/>
      <w:r>
        <w:t xml:space="preserve">. Оценка качества медицинского обслуживания / Дуглас Дж. </w:t>
      </w:r>
      <w:proofErr w:type="spellStart"/>
      <w:r>
        <w:t>Ланска</w:t>
      </w:r>
      <w:proofErr w:type="spellEnd"/>
      <w:r>
        <w:t xml:space="preserve">, Артур Дж. </w:t>
      </w:r>
      <w:proofErr w:type="spellStart"/>
      <w:r>
        <w:t>Харц</w:t>
      </w:r>
      <w:proofErr w:type="spellEnd"/>
      <w:r>
        <w:t xml:space="preserve"> // Международный медицинский журнал. 1999. - № 1-2. - С. 11 - 16.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>Забелин П.В., Моисеева Н.К. Основы стратегического управления: Учеб. пособие. М.: Информационно-внедренческий центр «Маркетинг</w:t>
      </w:r>
      <w:proofErr w:type="gramStart"/>
      <w:r>
        <w:t>».-</w:t>
      </w:r>
      <w:proofErr w:type="gramEnd"/>
      <w:r>
        <w:t xml:space="preserve"> 1998. -195 с.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>Закирова С.А. Модель цены медицинских услуг / Закирова С.А. // Здравоохранение Российской Федерации. – 2000. – № 5. С. 25-28.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 xml:space="preserve">Курбанов О. Р. Управление функционированием и развитием рынка стоматологических услуг // Теория и методология. М., 2007. 339 с. 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>Малахова Н.Г. Маркетинг в здравоохранении. Учебное пособие. Феникс, 2010.-224 с.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>Портер М. Конкурентная стратегия: Методика анализа и конкурентов. Пер. с англ. / Майкл Е. Портер. М.: Альпина Бизнес Букс, 2005. - 454 с.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 xml:space="preserve">Паперная Г. Кризис роста: рыночный расклад // РБК: Российский рынок частной медицины. 2016. </w:t>
      </w:r>
      <w:proofErr w:type="spellStart"/>
      <w:r>
        <w:t>Вып</w:t>
      </w:r>
      <w:proofErr w:type="spellEnd"/>
      <w:r>
        <w:t xml:space="preserve">. 1. 24 авг. [Электронный ресурс] URL: </w:t>
      </w:r>
      <w:hyperlink r:id="rId10" w:history="1">
        <w:r>
          <w:rPr>
            <w:rStyle w:val="a5"/>
          </w:rPr>
          <w:t>http://www</w:t>
        </w:r>
      </w:hyperlink>
      <w:r>
        <w:t>.rbcplus.ru/news/57b37e2a7a8aa95bcefc141d (дата обращения: 27.02.2020).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 xml:space="preserve">Райс Д., </w:t>
      </w:r>
      <w:proofErr w:type="spellStart"/>
      <w:r>
        <w:t>Клименд</w:t>
      </w:r>
      <w:proofErr w:type="spellEnd"/>
      <w:r>
        <w:t xml:space="preserve"> К. Преобразования системы здравоохранения США в контексте мирового процесса реформ // Проблемы социальной гигиены и история медицины. 2008. № 4. С. 47-52.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t xml:space="preserve">Сайт стоматологической клиники: как быстро и без боли привлечь пациентов [Электронный ресурс] – Режим доступа: </w:t>
      </w:r>
      <w:r>
        <w:rPr>
          <w:lang w:val="en-US"/>
        </w:rPr>
        <w:t>URL</w:t>
      </w:r>
      <w:r>
        <w:t xml:space="preserve">: </w:t>
      </w:r>
      <w:hyperlink r:id="rId11" w:history="1">
        <w:r>
          <w:rPr>
            <w:rStyle w:val="a5"/>
          </w:rPr>
          <w:t>https://www.web-canape.ru/business/sajt-stomatologicheskoj-kliniki-kak-bystro-i-bez-boli-privlech-pacientov/</w:t>
        </w:r>
      </w:hyperlink>
      <w:r>
        <w:t xml:space="preserve"> (19.02.2020)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proofErr w:type="spellStart"/>
      <w:r>
        <w:t>Траут</w:t>
      </w:r>
      <w:proofErr w:type="spellEnd"/>
      <w:r>
        <w:t xml:space="preserve"> Д., Райс Э. Позиционирование: битва за умы // Пер. с англ. СПб.: Питер, 2009.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proofErr w:type="spellStart"/>
      <w:r>
        <w:t>Шеймана</w:t>
      </w:r>
      <w:proofErr w:type="spellEnd"/>
      <w:r>
        <w:t xml:space="preserve"> И.М. Экономика здравоохранения: учеб. Пособие // Под ред. </w:t>
      </w:r>
      <w:proofErr w:type="spellStart"/>
      <w:r>
        <w:t>Шеймана</w:t>
      </w:r>
      <w:proofErr w:type="spellEnd"/>
      <w:r>
        <w:t xml:space="preserve"> И.М. Москва. ТЕИС, 2001.- 248 с.</w:t>
      </w:r>
    </w:p>
    <w:p w:rsidR="003B206A" w:rsidRDefault="003B206A" w:rsidP="003B206A">
      <w:pPr>
        <w:pStyle w:val="a8"/>
        <w:widowControl w:val="0"/>
        <w:numPr>
          <w:ilvl w:val="0"/>
          <w:numId w:val="20"/>
        </w:numPr>
        <w:ind w:left="0" w:firstLine="709"/>
      </w:pPr>
      <w:r>
        <w:lastRenderedPageBreak/>
        <w:t xml:space="preserve">Шерешева М.Ю., </w:t>
      </w:r>
      <w:proofErr w:type="spellStart"/>
      <w:r>
        <w:t>Костанян</w:t>
      </w:r>
      <w:proofErr w:type="spellEnd"/>
      <w:r>
        <w:t xml:space="preserve"> А.А. </w:t>
      </w:r>
      <w:proofErr w:type="spellStart"/>
      <w:r>
        <w:t>Клиентоориентированность</w:t>
      </w:r>
      <w:proofErr w:type="spellEnd"/>
      <w:r>
        <w:t xml:space="preserve"> персонала в государственных организациях здравоохранения России // Вестник Санкт-Петербургского университета. Серия 8. Менеджмент. 2015. № 4. С. 74-114</w:t>
      </w: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Default="0004123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041234" w:rsidRPr="00441012" w:rsidRDefault="00041234" w:rsidP="003B206A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8A0F6A4">
            <wp:extent cx="5937885" cy="79254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79298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4127EF">
      <w:pPr>
        <w:tabs>
          <w:tab w:val="left" w:pos="6096"/>
        </w:tabs>
        <w:spacing w:after="6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4127EF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144" cy="81762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BO4HH IPAOHK (ILJIAH) UPOBEIEHNA NPAT.pd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1" t="4618" r="5455" b="905"/>
                    <a:stretch/>
                  </pic:blipFill>
                  <pic:spPr bwMode="auto">
                    <a:xfrm>
                      <a:off x="0" y="0"/>
                      <a:ext cx="5942766" cy="819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A15037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5037" w:rsidRDefault="002D04E4" w:rsidP="00A15037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FAA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A15037" w:rsidRDefault="00A15037" w:rsidP="00A15037">
      <w:pPr>
        <w:tabs>
          <w:tab w:val="left" w:pos="4137"/>
          <w:tab w:val="left" w:pos="6096"/>
        </w:tabs>
        <w:spacing w:after="6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ab/>
      </w:r>
      <w:r>
        <w:rPr>
          <w:noProof/>
        </w:rPr>
        <w:drawing>
          <wp:inline distT="0" distB="0" distL="0" distR="0">
            <wp:extent cx="5940425" cy="79228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E4" w:rsidRPr="009D0DFE" w:rsidRDefault="002D04E4" w:rsidP="00A15037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sz w:val="20"/>
          <w:szCs w:val="20"/>
          <w:lang w:eastAsia="ru-RU"/>
        </w:rPr>
      </w:pPr>
      <w:r w:rsidRPr="00A15037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A15037" w:rsidRDefault="00A15037" w:rsidP="002D04E4">
      <w:pPr>
        <w:tabs>
          <w:tab w:val="left" w:pos="6096"/>
        </w:tabs>
        <w:spacing w:after="60" w:line="16" w:lineRule="atLeast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79228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E4" w:rsidRPr="00C501E1" w:rsidRDefault="002D04E4" w:rsidP="007466CB">
      <w:pPr>
        <w:tabs>
          <w:tab w:val="left" w:pos="6096"/>
        </w:tabs>
        <w:spacing w:after="60" w:line="16" w:lineRule="atLeast"/>
        <w:jc w:val="center"/>
        <w:outlineLvl w:val="0"/>
        <w:rPr>
          <w:rFonts w:ascii="Times New Roman" w:hAnsi="Times New Roman"/>
          <w:sz w:val="20"/>
          <w:szCs w:val="20"/>
          <w:lang w:eastAsia="ru-RU"/>
        </w:rPr>
      </w:pPr>
      <w:r w:rsidRPr="00A15037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2D04E4" w:rsidRPr="00917FAA" w:rsidRDefault="00950FB6" w:rsidP="00950FB6">
      <w:pPr>
        <w:spacing w:after="0" w:line="240" w:lineRule="auto"/>
        <w:ind w:hanging="284"/>
        <w:jc w:val="center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37808" cy="8195353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BHUK HPOXOX IEHNA NPE MAILJIOMHON LIPAKTHKH.pd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5584" r="7264" b="7397"/>
                    <a:stretch/>
                  </pic:blipFill>
                  <pic:spPr bwMode="auto">
                    <a:xfrm>
                      <a:off x="0" y="0"/>
                      <a:ext cx="6246283" cy="820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4E4" w:rsidRPr="00C501E1">
        <w:rPr>
          <w:rFonts w:ascii="Times New Roman" w:eastAsia="MS Mincho" w:hAnsi="Times New Roman"/>
          <w:b/>
          <w:sz w:val="20"/>
          <w:szCs w:val="20"/>
          <w:lang w:eastAsia="ru-RU"/>
        </w:rPr>
        <w:br w:type="page"/>
      </w:r>
      <w:r w:rsidR="002D04E4" w:rsidRPr="00917FAA">
        <w:rPr>
          <w:rFonts w:ascii="Times New Roman" w:eastAsia="MS Mincho" w:hAnsi="Times New Roman"/>
          <w:b/>
          <w:sz w:val="28"/>
          <w:szCs w:val="28"/>
          <w:lang w:eastAsia="ru-RU"/>
        </w:rPr>
        <w:lastRenderedPageBreak/>
        <w:t>ОТЗЫВ</w:t>
      </w:r>
    </w:p>
    <w:p w:rsidR="002D04E4" w:rsidRPr="00917FAA" w:rsidRDefault="002D04E4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MS Mincho" w:hAnsi="Times New Roman"/>
          <w:sz w:val="28"/>
          <w:szCs w:val="28"/>
          <w:lang w:eastAsia="ru-RU"/>
        </w:rPr>
      </w:pPr>
      <w:r w:rsidRPr="00917FAA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РУКОВОДИТЕЛЯ </w:t>
      </w:r>
      <w:r w:rsidRPr="00917FA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ПРАКТИКИ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от ФГБОУ ВО «</w:t>
      </w:r>
      <w:proofErr w:type="spellStart"/>
      <w:r>
        <w:rPr>
          <w:rFonts w:ascii="Times New Roman" w:hAnsi="Times New Roman"/>
          <w:b/>
          <w:bCs/>
          <w:sz w:val="28"/>
          <w:szCs w:val="28"/>
          <w:lang w:eastAsia="ru-RU"/>
        </w:rPr>
        <w:t>КубГУ</w:t>
      </w:r>
      <w:proofErr w:type="spellEnd"/>
      <w:r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  <w:r w:rsidRPr="00917FAA">
        <w:rPr>
          <w:rFonts w:ascii="Times New Roman" w:hAnsi="Times New Roman"/>
          <w:b/>
          <w:bCs/>
          <w:sz w:val="28"/>
          <w:szCs w:val="28"/>
          <w:lang w:eastAsia="ru-RU"/>
        </w:rPr>
        <w:br/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>о работе магистранта в период прохождения практики</w:t>
      </w:r>
    </w:p>
    <w:p w:rsidR="002D04E4" w:rsidRPr="00917FAA" w:rsidRDefault="002D04E4" w:rsidP="002D04E4">
      <w:pPr>
        <w:spacing w:after="0" w:line="240" w:lineRule="auto"/>
        <w:jc w:val="center"/>
        <w:rPr>
          <w:rFonts w:ascii="Times New Roman" w:eastAsia="MS Mincho" w:hAnsi="Times New Roman"/>
          <w:i/>
          <w:sz w:val="28"/>
          <w:szCs w:val="28"/>
          <w:lang w:eastAsia="ru-RU"/>
        </w:rPr>
      </w:pPr>
    </w:p>
    <w:p w:rsidR="002D04E4" w:rsidRPr="00C501E1" w:rsidRDefault="00865722" w:rsidP="002D04E4">
      <w:pPr>
        <w:spacing w:after="0" w:line="240" w:lineRule="auto"/>
        <w:jc w:val="center"/>
        <w:rPr>
          <w:rFonts w:ascii="Times New Roman" w:eastAsia="MS Mincho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Каспарян</w:t>
      </w:r>
      <w:proofErr w:type="spellEnd"/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Дайана</w:t>
      </w:r>
      <w:proofErr w:type="spellEnd"/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Ивановна</w:t>
      </w:r>
      <w:r w:rsidR="002D04E4" w:rsidRPr="00C501E1">
        <w:rPr>
          <w:rFonts w:ascii="Times New Roman" w:eastAsia="MS Mincho" w:hAnsi="Times New Roman"/>
          <w:sz w:val="20"/>
          <w:szCs w:val="20"/>
          <w:lang w:eastAsia="ru-RU"/>
        </w:rPr>
        <w:t xml:space="preserve"> (Ф.И.О.)</w:t>
      </w:r>
    </w:p>
    <w:p w:rsidR="002D04E4" w:rsidRPr="009D0DFE" w:rsidRDefault="002D04E4" w:rsidP="002D04E4">
      <w:pPr>
        <w:spacing w:after="0" w:line="240" w:lineRule="auto"/>
        <w:rPr>
          <w:rFonts w:ascii="Times New Roman" w:eastAsia="MS Mincho" w:hAnsi="Times New Roman"/>
          <w:sz w:val="28"/>
          <w:szCs w:val="28"/>
          <w:lang w:eastAsia="ru-RU"/>
        </w:rPr>
      </w:pPr>
      <w:r w:rsidRPr="009D0DFE">
        <w:rPr>
          <w:rFonts w:ascii="Times New Roman" w:eastAsia="MS Mincho" w:hAnsi="Times New Roman"/>
          <w:sz w:val="28"/>
          <w:szCs w:val="28"/>
          <w:lang w:eastAsia="ru-RU"/>
        </w:rPr>
        <w:t>Проходил</w:t>
      </w:r>
      <w:r w:rsidRPr="009D0DFE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 w:rsidRPr="009D0DFE">
        <w:rPr>
          <w:rFonts w:ascii="Times New Roman" w:eastAsia="MS Mincho" w:hAnsi="Times New Roman"/>
          <w:sz w:val="28"/>
          <w:szCs w:val="28"/>
          <w:lang w:eastAsia="ru-RU"/>
        </w:rPr>
        <w:t xml:space="preserve">практику в период с 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30 мая </w:t>
      </w:r>
      <w:r w:rsidRPr="009D0DFE">
        <w:rPr>
          <w:rFonts w:ascii="Times New Roman" w:eastAsia="MS Mincho" w:hAnsi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14 июня </w:t>
      </w:r>
      <w:r w:rsidRPr="009D0DFE">
        <w:rPr>
          <w:rFonts w:ascii="Times New Roman" w:eastAsia="MS Mincho" w:hAnsi="Times New Roman"/>
          <w:sz w:val="28"/>
          <w:szCs w:val="28"/>
          <w:lang w:eastAsia="ru-RU"/>
        </w:rPr>
        <w:t>2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020 </w:t>
      </w:r>
      <w:r w:rsidRPr="009D0DFE">
        <w:rPr>
          <w:rFonts w:ascii="Times New Roman" w:eastAsia="MS Mincho" w:hAnsi="Times New Roman"/>
          <w:sz w:val="28"/>
          <w:szCs w:val="28"/>
          <w:lang w:eastAsia="ru-RU"/>
        </w:rPr>
        <w:t>г.</w:t>
      </w:r>
    </w:p>
    <w:p w:rsidR="002D04E4" w:rsidRPr="009D0DFE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p w:rsidR="002D04E4" w:rsidRPr="009D0DFE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9D0DFE">
        <w:rPr>
          <w:rFonts w:ascii="Times New Roman" w:eastAsia="MS Mincho" w:hAnsi="Times New Roman"/>
          <w:sz w:val="28"/>
          <w:szCs w:val="28"/>
          <w:lang w:eastAsia="ru-RU"/>
        </w:rPr>
        <w:t>в</w:t>
      </w:r>
      <w:r w:rsidRPr="009D0DFE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>ФГБОУ ВО «</w:t>
      </w:r>
      <w:proofErr w:type="spellStart"/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>КубГУ</w:t>
      </w:r>
      <w:proofErr w:type="spellEnd"/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>»</w:t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</w:p>
    <w:p w:rsidR="002D04E4" w:rsidRPr="009D0DFE" w:rsidRDefault="002D04E4" w:rsidP="002D04E4">
      <w:pPr>
        <w:spacing w:after="0" w:line="240" w:lineRule="auto"/>
        <w:ind w:left="3540" w:firstLine="146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9D0DFE">
        <w:rPr>
          <w:rFonts w:ascii="Times New Roman" w:eastAsia="MS Mincho" w:hAnsi="Times New Roman"/>
          <w:sz w:val="20"/>
          <w:szCs w:val="20"/>
          <w:lang w:eastAsia="ru-RU"/>
        </w:rPr>
        <w:t>(наименование организации)</w:t>
      </w:r>
    </w:p>
    <w:p w:rsidR="002D04E4" w:rsidRPr="009D0DFE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</w:pPr>
      <w:r w:rsidRPr="009D0DFE">
        <w:rPr>
          <w:rFonts w:ascii="Times New Roman" w:eastAsia="MS Mincho" w:hAnsi="Times New Roman"/>
          <w:sz w:val="28"/>
          <w:szCs w:val="28"/>
          <w:lang w:eastAsia="ru-RU"/>
        </w:rPr>
        <w:t xml:space="preserve">на </w:t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>кафедре мировой экономики и менеджмента</w:t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:rsidR="002D04E4" w:rsidRPr="009D0DFE" w:rsidRDefault="002D04E4" w:rsidP="002D04E4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0"/>
          <w:szCs w:val="20"/>
          <w:lang w:eastAsia="ru-RU"/>
        </w:rPr>
      </w:pPr>
      <w:r w:rsidRPr="009D0DFE">
        <w:rPr>
          <w:rFonts w:ascii="Times New Roman" w:eastAsia="MS Mincho" w:hAnsi="Times New Roman"/>
          <w:spacing w:val="-20"/>
          <w:sz w:val="20"/>
          <w:szCs w:val="20"/>
          <w:lang w:eastAsia="ru-RU"/>
        </w:rPr>
        <w:t xml:space="preserve">                  (</w:t>
      </w:r>
      <w:r w:rsidRPr="009D0DFE">
        <w:rPr>
          <w:rFonts w:ascii="Times New Roman" w:eastAsia="MS Mincho" w:hAnsi="Times New Roman"/>
          <w:sz w:val="20"/>
          <w:szCs w:val="20"/>
          <w:lang w:eastAsia="ru-RU"/>
        </w:rPr>
        <w:t>наименование структурного подразделения)</w:t>
      </w:r>
    </w:p>
    <w:p w:rsidR="002D04E4" w:rsidRPr="009D0DFE" w:rsidRDefault="002D04E4" w:rsidP="002D04E4">
      <w:pPr>
        <w:spacing w:after="0" w:line="240" w:lineRule="auto"/>
        <w:contextualSpacing/>
        <w:rPr>
          <w:rFonts w:ascii="Times New Roman" w:eastAsia="MS Mincho" w:hAnsi="Times New Roman"/>
          <w:sz w:val="28"/>
          <w:szCs w:val="28"/>
          <w:lang w:eastAsia="ru-RU"/>
        </w:rPr>
      </w:pPr>
      <w:r w:rsidRPr="009D0DFE">
        <w:rPr>
          <w:rFonts w:ascii="Times New Roman" w:eastAsia="MS Mincho" w:hAnsi="Times New Roman"/>
          <w:sz w:val="28"/>
          <w:szCs w:val="28"/>
          <w:lang w:eastAsia="ru-RU"/>
        </w:rPr>
        <w:t xml:space="preserve">в </w:t>
      </w:r>
      <w:proofErr w:type="gramStart"/>
      <w:r w:rsidRPr="009D0DFE">
        <w:rPr>
          <w:rFonts w:ascii="Times New Roman" w:eastAsia="MS Mincho" w:hAnsi="Times New Roman"/>
          <w:sz w:val="28"/>
          <w:szCs w:val="28"/>
          <w:lang w:eastAsia="ru-RU"/>
        </w:rPr>
        <w:t xml:space="preserve">качестве  </w:t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практиканта</w:t>
      </w:r>
      <w:proofErr w:type="gramEnd"/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</w:p>
    <w:p w:rsidR="002D04E4" w:rsidRPr="009D0DFE" w:rsidRDefault="002D04E4" w:rsidP="002D04E4">
      <w:pPr>
        <w:spacing w:after="0" w:line="240" w:lineRule="auto"/>
        <w:ind w:left="3540" w:firstLine="708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9D0DFE">
        <w:rPr>
          <w:rFonts w:ascii="Times New Roman" w:eastAsia="MS Mincho" w:hAnsi="Times New Roman"/>
          <w:sz w:val="20"/>
          <w:szCs w:val="20"/>
          <w:lang w:eastAsia="ru-RU"/>
        </w:rPr>
        <w:t>(должность)</w:t>
      </w:r>
    </w:p>
    <w:p w:rsidR="002D04E4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>Результаты работы</w:t>
      </w:r>
      <w:r w:rsidRPr="00917FAA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состоят в следующем: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6"/>
        <w:gridCol w:w="2505"/>
        <w:gridCol w:w="2775"/>
        <w:gridCol w:w="2499"/>
      </w:tblGrid>
      <w:tr w:rsidR="002D04E4" w:rsidRPr="0070039E" w:rsidTr="006B4F62">
        <w:tc>
          <w:tcPr>
            <w:tcW w:w="1566" w:type="dxa"/>
            <w:shd w:val="clear" w:color="auto" w:fill="auto"/>
          </w:tcPr>
          <w:p w:rsidR="002D04E4" w:rsidRPr="00FC2B61" w:rsidRDefault="002D04E4" w:rsidP="006B4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B61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2757" w:type="dxa"/>
            <w:shd w:val="clear" w:color="auto" w:fill="auto"/>
          </w:tcPr>
          <w:p w:rsidR="002D04E4" w:rsidRPr="00FC2B61" w:rsidRDefault="002D04E4" w:rsidP="006B4F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B61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компетенции</w:t>
            </w:r>
          </w:p>
        </w:tc>
        <w:tc>
          <w:tcPr>
            <w:tcW w:w="3080" w:type="dxa"/>
            <w:shd w:val="clear" w:color="auto" w:fill="auto"/>
          </w:tcPr>
          <w:p w:rsidR="002D04E4" w:rsidRPr="00FC2B61" w:rsidRDefault="002D04E4" w:rsidP="006B4F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B61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792" w:type="dxa"/>
          </w:tcPr>
          <w:p w:rsidR="002D04E4" w:rsidRPr="00FC2B61" w:rsidRDefault="002D04E4" w:rsidP="006B4F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B61">
              <w:rPr>
                <w:rFonts w:ascii="Times New Roman" w:hAnsi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2D04E4" w:rsidRPr="0070039E" w:rsidTr="006B4F62">
        <w:tc>
          <w:tcPr>
            <w:tcW w:w="1566" w:type="dxa"/>
            <w:shd w:val="clear" w:color="auto" w:fill="auto"/>
          </w:tcPr>
          <w:p w:rsidR="002D04E4" w:rsidRPr="0070039E" w:rsidRDefault="002D04E4" w:rsidP="006B4F6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</w:t>
            </w:r>
          </w:p>
        </w:tc>
        <w:tc>
          <w:tcPr>
            <w:tcW w:w="2757" w:type="dxa"/>
            <w:shd w:val="clear" w:color="auto" w:fill="auto"/>
          </w:tcPr>
          <w:p w:rsidR="002D04E4" w:rsidRPr="00C241DC" w:rsidRDefault="002D04E4" w:rsidP="006B4F62">
            <w:pPr>
              <w:rPr>
                <w:rFonts w:ascii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 представлять результаты проведенного исследования в виде научного отчета, статьи или доклада</w:t>
            </w:r>
          </w:p>
        </w:tc>
        <w:tc>
          <w:tcPr>
            <w:tcW w:w="3080" w:type="dxa"/>
            <w:shd w:val="clear" w:color="auto" w:fill="auto"/>
          </w:tcPr>
          <w:p w:rsidR="002D04E4" w:rsidRPr="00C241DC" w:rsidRDefault="002D04E4" w:rsidP="006B4F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и представление результатов исследования в виде автореферата диссертации</w:t>
            </w:r>
          </w:p>
        </w:tc>
        <w:tc>
          <w:tcPr>
            <w:tcW w:w="2792" w:type="dxa"/>
          </w:tcPr>
          <w:p w:rsidR="002D04E4" w:rsidRPr="0070039E" w:rsidRDefault="002D04E4" w:rsidP="006B4F62">
            <w:pPr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Выполнено полностью</w:t>
            </w:r>
          </w:p>
        </w:tc>
      </w:tr>
    </w:tbl>
    <w:p w:rsidR="002D04E4" w:rsidRPr="00BC246A" w:rsidRDefault="002D04E4" w:rsidP="002D04E4">
      <w:pPr>
        <w:tabs>
          <w:tab w:val="right" w:pos="10065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>Ответственн</w:t>
      </w:r>
      <w:r w:rsidR="00221A31">
        <w:rPr>
          <w:rFonts w:ascii="Times New Roman" w:eastAsia="MS Mincho" w:hAnsi="Times New Roman"/>
          <w:sz w:val="28"/>
          <w:szCs w:val="28"/>
          <w:u w:val="single"/>
          <w:lang w:eastAsia="ru-RU"/>
        </w:rPr>
        <w:t>ая</w:t>
      </w: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>, активн</w:t>
      </w:r>
      <w:r w:rsidR="00221A31">
        <w:rPr>
          <w:rFonts w:ascii="Times New Roman" w:eastAsia="MS Mincho" w:hAnsi="Times New Roman"/>
          <w:sz w:val="28"/>
          <w:szCs w:val="28"/>
          <w:u w:val="single"/>
          <w:lang w:eastAsia="ru-RU"/>
        </w:rPr>
        <w:t>ая</w:t>
      </w: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>, инициативн</w:t>
      </w:r>
      <w:r w:rsidR="00221A31">
        <w:rPr>
          <w:rFonts w:ascii="Times New Roman" w:eastAsia="MS Mincho" w:hAnsi="Times New Roman"/>
          <w:sz w:val="28"/>
          <w:szCs w:val="28"/>
          <w:u w:val="single"/>
          <w:lang w:eastAsia="ru-RU"/>
        </w:rPr>
        <w:t>ая</w:t>
      </w: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студент</w:t>
      </w:r>
      <w:r w:rsidR="00221A31">
        <w:rPr>
          <w:rFonts w:ascii="Times New Roman" w:eastAsia="MS Mincho" w:hAnsi="Times New Roman"/>
          <w:sz w:val="28"/>
          <w:szCs w:val="28"/>
          <w:u w:val="single"/>
          <w:lang w:eastAsia="ru-RU"/>
        </w:rPr>
        <w:t>ка</w:t>
      </w: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>, способн</w:t>
      </w:r>
      <w:r w:rsidR="00221A31">
        <w:rPr>
          <w:rFonts w:ascii="Times New Roman" w:eastAsia="MS Mincho" w:hAnsi="Times New Roman"/>
          <w:sz w:val="28"/>
          <w:szCs w:val="28"/>
          <w:u w:val="single"/>
          <w:lang w:eastAsia="ru-RU"/>
        </w:rPr>
        <w:t>ая</w:t>
      </w: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к научной и практической работе в области маркетинга. Выполнил</w:t>
      </w:r>
      <w:r w:rsidR="00221A31">
        <w:rPr>
          <w:rFonts w:ascii="Times New Roman" w:eastAsia="MS Mincho" w:hAnsi="Times New Roman"/>
          <w:sz w:val="28"/>
          <w:szCs w:val="28"/>
          <w:u w:val="single"/>
          <w:lang w:eastAsia="ru-RU"/>
        </w:rPr>
        <w:t>а</w:t>
      </w: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задание согласно установленным срокам, комплексно. Подготовил</w:t>
      </w:r>
      <w:r w:rsidR="00221A31">
        <w:rPr>
          <w:rFonts w:ascii="Times New Roman" w:eastAsia="MS Mincho" w:hAnsi="Times New Roman"/>
          <w:sz w:val="28"/>
          <w:szCs w:val="28"/>
          <w:u w:val="single"/>
          <w:lang w:eastAsia="ru-RU"/>
        </w:rPr>
        <w:t>а</w:t>
      </w: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результаты исследования в виде автореферата диссертации. Способ</w:t>
      </w:r>
      <w:r w:rsidR="00221A31">
        <w:rPr>
          <w:rFonts w:ascii="Times New Roman" w:eastAsia="MS Mincho" w:hAnsi="Times New Roman"/>
          <w:sz w:val="28"/>
          <w:szCs w:val="28"/>
          <w:u w:val="single"/>
          <w:lang w:eastAsia="ru-RU"/>
        </w:rPr>
        <w:t>на</w:t>
      </w: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формировать отчёты исследования.</w:t>
      </w:r>
      <w:r w:rsidRPr="00BC246A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:rsidR="002D04E4" w:rsidRDefault="002D04E4" w:rsidP="002D04E4">
      <w:pPr>
        <w:tabs>
          <w:tab w:val="right" w:pos="10065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 w:rsidRPr="00BC246A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:rsidR="002D04E4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</w:p>
    <w:p w:rsidR="002D04E4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</w:p>
    <w:p w:rsidR="002D04E4" w:rsidRPr="008D2BE4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Индивидуальное задание </w:t>
      </w:r>
      <w:r w:rsidRPr="008D2BE4">
        <w:rPr>
          <w:rFonts w:ascii="Times New Roman" w:eastAsia="MS Mincho" w:hAnsi="Times New Roman"/>
          <w:sz w:val="28"/>
          <w:szCs w:val="28"/>
          <w:lang w:eastAsia="ru-RU"/>
        </w:rPr>
        <w:t>выполнено</w:t>
      </w:r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полностью</w:t>
      </w:r>
      <w:r>
        <w:rPr>
          <w:rFonts w:ascii="Times New Roman" w:eastAsia="MS Mincho" w:hAnsi="Times New Roman"/>
          <w:sz w:val="28"/>
          <w:szCs w:val="28"/>
          <w:lang w:eastAsia="ru-RU"/>
        </w:rPr>
        <w:t>, частично, не выполнено</w:t>
      </w:r>
      <w:r w:rsidRPr="008D2BE4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</w:p>
    <w:p w:rsidR="002D04E4" w:rsidRPr="008D2BE4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8D2BE4">
        <w:rPr>
          <w:rFonts w:ascii="Times New Roman" w:eastAsia="MS Mincho" w:hAnsi="Times New Roman"/>
          <w:sz w:val="20"/>
          <w:szCs w:val="20"/>
          <w:lang w:eastAsia="ru-RU"/>
        </w:rPr>
        <w:t xml:space="preserve">                                                                                               (нужное подчеркнуть)</w:t>
      </w:r>
    </w:p>
    <w:p w:rsidR="002D04E4" w:rsidRPr="00917FAA" w:rsidRDefault="002D04E4" w:rsidP="002D04E4">
      <w:pPr>
        <w:spacing w:after="0" w:line="240" w:lineRule="auto"/>
        <w:jc w:val="both"/>
        <w:rPr>
          <w:rFonts w:ascii="Times New Roman" w:eastAsia="MS Mincho" w:hAnsi="Times New Roman"/>
          <w:spacing w:val="-20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М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агистрант </w:t>
      </w:r>
      <w:proofErr w:type="spellStart"/>
      <w:r w:rsidR="00865722">
        <w:rPr>
          <w:rFonts w:ascii="Times New Roman" w:eastAsia="MS Mincho" w:hAnsi="Times New Roman"/>
          <w:sz w:val="28"/>
          <w:szCs w:val="28"/>
          <w:u w:val="single"/>
          <w:lang w:eastAsia="ru-RU"/>
        </w:rPr>
        <w:t>Каспарян</w:t>
      </w:r>
      <w:proofErr w:type="spellEnd"/>
      <w:r w:rsidR="00865722"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="00865722">
        <w:rPr>
          <w:rFonts w:ascii="Times New Roman" w:eastAsia="MS Mincho" w:hAnsi="Times New Roman"/>
          <w:sz w:val="28"/>
          <w:szCs w:val="28"/>
          <w:u w:val="single"/>
          <w:lang w:eastAsia="ru-RU"/>
        </w:rPr>
        <w:t>Дайана</w:t>
      </w:r>
      <w:proofErr w:type="spellEnd"/>
      <w:r w:rsidR="00865722"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Ивановна</w:t>
      </w:r>
      <w:r w:rsidRPr="00917FAA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 заслуживает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оценки__</w:t>
      </w:r>
      <w:r w:rsidRPr="00D16D56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зачтено</w:t>
      </w:r>
      <w:proofErr w:type="spellEnd"/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</w:t>
      </w:r>
    </w:p>
    <w:p w:rsidR="002D04E4" w:rsidRPr="008D2BE4" w:rsidRDefault="002D04E4" w:rsidP="002D04E4">
      <w:pPr>
        <w:spacing w:after="0" w:line="240" w:lineRule="auto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                                       </w:t>
      </w:r>
      <w:r w:rsidRPr="008D2BE4">
        <w:rPr>
          <w:rFonts w:ascii="Times New Roman" w:eastAsia="MS Mincho" w:hAnsi="Times New Roman"/>
          <w:sz w:val="20"/>
          <w:szCs w:val="20"/>
          <w:lang w:eastAsia="ru-RU"/>
        </w:rPr>
        <w:t>(Ф.И.О. студента)</w:t>
      </w:r>
    </w:p>
    <w:p w:rsidR="002D04E4" w:rsidRPr="00917FAA" w:rsidRDefault="002D04E4" w:rsidP="002D04E4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Воронина Людмила </w:t>
      </w:r>
      <w:proofErr w:type="spellStart"/>
      <w:proofErr w:type="gramStart"/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>Анфимовна</w:t>
      </w:r>
      <w:proofErr w:type="spellEnd"/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>,  д</w:t>
      </w:r>
      <w:proofErr w:type="gramEnd"/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-р. </w:t>
      </w:r>
      <w:proofErr w:type="spellStart"/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>экон</w:t>
      </w:r>
      <w:proofErr w:type="spellEnd"/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>. наук, проф.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>_____________________</w:t>
      </w:r>
    </w:p>
    <w:p w:rsidR="002D04E4" w:rsidRPr="008D2BE4" w:rsidRDefault="002D04E4" w:rsidP="002D04E4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           </w:t>
      </w:r>
      <w:r w:rsidRPr="008D2BE4">
        <w:rPr>
          <w:rFonts w:ascii="Times New Roman" w:eastAsia="MS Mincho" w:hAnsi="Times New Roman"/>
          <w:sz w:val="20"/>
          <w:szCs w:val="20"/>
          <w:lang w:eastAsia="ru-RU"/>
        </w:rPr>
        <w:t>(Ф.И.О. должность руководителя практики)</w:t>
      </w:r>
      <w:r w:rsidRPr="008D2BE4">
        <w:rPr>
          <w:rFonts w:ascii="Times New Roman" w:eastAsia="MS Mincho" w:hAnsi="Times New Roman"/>
          <w:sz w:val="20"/>
          <w:szCs w:val="20"/>
          <w:lang w:eastAsia="ru-RU"/>
        </w:rPr>
        <w:tab/>
      </w:r>
      <w:r w:rsidRPr="008D2BE4">
        <w:rPr>
          <w:rFonts w:ascii="Times New Roman" w:eastAsia="MS Mincho" w:hAnsi="Times New Roman"/>
          <w:sz w:val="20"/>
          <w:szCs w:val="20"/>
          <w:lang w:eastAsia="ru-RU"/>
        </w:rPr>
        <w:tab/>
        <w:t xml:space="preserve">                      </w:t>
      </w:r>
    </w:p>
    <w:p w:rsidR="002D04E4" w:rsidRDefault="002D04E4" w:rsidP="002D04E4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>«</w:t>
      </w:r>
      <w:r>
        <w:rPr>
          <w:rFonts w:ascii="Times New Roman" w:eastAsia="MS Mincho" w:hAnsi="Times New Roman"/>
          <w:sz w:val="28"/>
          <w:szCs w:val="28"/>
          <w:lang w:eastAsia="ru-RU"/>
        </w:rPr>
        <w:t>15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>»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 июня 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>20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20 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г. </w:t>
      </w:r>
    </w:p>
    <w:p w:rsidR="002D04E4" w:rsidRPr="00086D5D" w:rsidRDefault="002D04E4" w:rsidP="002D04E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8D2BE4">
        <w:rPr>
          <w:rFonts w:ascii="Times New Roman" w:hAnsi="Times New Roman"/>
          <w:sz w:val="20"/>
          <w:szCs w:val="20"/>
        </w:rPr>
        <w:t>(подпись)</w:t>
      </w:r>
    </w:p>
    <w:p w:rsidR="00C05798" w:rsidRPr="00C05798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E31E82" w:rsidRPr="00E31E82" w:rsidRDefault="00E31E82" w:rsidP="00221A31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sectPr w:rsidR="00E31E82" w:rsidRPr="00E31E82" w:rsidSect="007D0C86">
      <w:footerReference w:type="even" r:id="rId18"/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46BE9" w:rsidRDefault="00246BE9" w:rsidP="007D0C86">
      <w:pPr>
        <w:spacing w:after="0" w:line="240" w:lineRule="auto"/>
      </w:pPr>
      <w:r>
        <w:separator/>
      </w:r>
    </w:p>
  </w:endnote>
  <w:endnote w:type="continuationSeparator" w:id="0">
    <w:p w:rsidR="00246BE9" w:rsidRDefault="00246BE9" w:rsidP="007D0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20B0604020202020204"/>
    <w:charset w:val="00"/>
    <w:family w:val="roman"/>
    <w:pitch w:val="default"/>
  </w:font>
  <w:font w:name="Times-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"/>
      </w:rPr>
      <w:id w:val="-1365978419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:rsidR="007D0C86" w:rsidRDefault="007D0C86" w:rsidP="007044AA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:rsidR="007D0C86" w:rsidRDefault="007D0C86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"/>
      </w:rPr>
      <w:id w:val="1521665783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:rsidR="007D0C86" w:rsidRDefault="007D0C86" w:rsidP="007044AA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separate"/>
        </w:r>
        <w:r>
          <w:rPr>
            <w:rStyle w:val="af"/>
            <w:noProof/>
          </w:rPr>
          <w:t>2</w:t>
        </w:r>
        <w:r>
          <w:rPr>
            <w:rStyle w:val="af"/>
          </w:rPr>
          <w:fldChar w:fldCharType="end"/>
        </w:r>
      </w:p>
    </w:sdtContent>
  </w:sdt>
  <w:p w:rsidR="007D0C86" w:rsidRDefault="007D0C8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46BE9" w:rsidRDefault="00246BE9" w:rsidP="007D0C86">
      <w:pPr>
        <w:spacing w:after="0" w:line="240" w:lineRule="auto"/>
      </w:pPr>
      <w:r>
        <w:separator/>
      </w:r>
    </w:p>
  </w:footnote>
  <w:footnote w:type="continuationSeparator" w:id="0">
    <w:p w:rsidR="00246BE9" w:rsidRDefault="00246BE9" w:rsidP="007D0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51BB4"/>
    <w:multiLevelType w:val="multilevel"/>
    <w:tmpl w:val="858A80A0"/>
    <w:lvl w:ilvl="0">
      <w:start w:val="1"/>
      <w:numFmt w:val="bullet"/>
      <w:suff w:val="space"/>
      <w:lvlText w:val="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" w15:restartNumberingAfterBreak="0">
    <w:nsid w:val="104D1EE5"/>
    <w:multiLevelType w:val="hybridMultilevel"/>
    <w:tmpl w:val="4BF427BE"/>
    <w:lvl w:ilvl="0" w:tplc="262268E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E4708"/>
    <w:multiLevelType w:val="hybridMultilevel"/>
    <w:tmpl w:val="1FDC8140"/>
    <w:lvl w:ilvl="0" w:tplc="A06CE8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D697411"/>
    <w:multiLevelType w:val="hybridMultilevel"/>
    <w:tmpl w:val="E2BE2576"/>
    <w:lvl w:ilvl="0" w:tplc="5BA8D848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FB17E35"/>
    <w:multiLevelType w:val="hybridMultilevel"/>
    <w:tmpl w:val="F12A691E"/>
    <w:lvl w:ilvl="0" w:tplc="00CE26A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1DC4CF9"/>
    <w:multiLevelType w:val="hybridMultilevel"/>
    <w:tmpl w:val="7004B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B07FA"/>
    <w:multiLevelType w:val="hybridMultilevel"/>
    <w:tmpl w:val="9C9EE1A8"/>
    <w:lvl w:ilvl="0" w:tplc="849494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A6D0024"/>
    <w:multiLevelType w:val="multilevel"/>
    <w:tmpl w:val="0024CE04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4B245EBB"/>
    <w:multiLevelType w:val="multilevel"/>
    <w:tmpl w:val="812622CE"/>
    <w:lvl w:ilvl="0">
      <w:start w:val="1"/>
      <w:numFmt w:val="decimal"/>
      <w:suff w:val="space"/>
      <w:lvlText w:val="%1."/>
      <w:lvlJc w:val="left"/>
      <w:pPr>
        <w:ind w:left="1070" w:hanging="360"/>
      </w:pPr>
    </w:lvl>
    <w:lvl w:ilvl="1">
      <w:start w:val="3"/>
      <w:numFmt w:val="decimal"/>
      <w:lvlText w:val="%1.%2."/>
      <w:lvlJc w:val="left"/>
      <w:pPr>
        <w:tabs>
          <w:tab w:val="num" w:pos="1430"/>
        </w:tabs>
        <w:ind w:left="1430" w:hanging="360"/>
      </w:pPr>
    </w:lvl>
    <w:lvl w:ilvl="2">
      <w:start w:val="1"/>
      <w:numFmt w:val="decimal"/>
      <w:lvlText w:val="%1.%2.%3."/>
      <w:lvlJc w:val="left"/>
      <w:pPr>
        <w:tabs>
          <w:tab w:val="num" w:pos="1790"/>
        </w:tabs>
        <w:ind w:left="1790" w:hanging="360"/>
      </w:pPr>
    </w:lvl>
    <w:lvl w:ilvl="3">
      <w:start w:val="1"/>
      <w:numFmt w:val="decimal"/>
      <w:lvlText w:val="%1.%2.%3.%4."/>
      <w:lvlJc w:val="left"/>
      <w:pPr>
        <w:tabs>
          <w:tab w:val="num" w:pos="2150"/>
        </w:tabs>
        <w:ind w:left="2150" w:hanging="360"/>
      </w:pPr>
    </w:lvl>
    <w:lvl w:ilvl="4">
      <w:start w:val="1"/>
      <w:numFmt w:val="decimal"/>
      <w:lvlText w:val="%1.%2.%3.%4.%5."/>
      <w:lvlJc w:val="left"/>
      <w:pPr>
        <w:tabs>
          <w:tab w:val="num" w:pos="2510"/>
        </w:tabs>
        <w:ind w:left="2510" w:hanging="360"/>
      </w:pPr>
    </w:lvl>
    <w:lvl w:ilvl="5">
      <w:start w:val="1"/>
      <w:numFmt w:val="decimal"/>
      <w:lvlText w:val="%1.%2.%3.%4.%5.%6."/>
      <w:lvlJc w:val="left"/>
      <w:pPr>
        <w:tabs>
          <w:tab w:val="num" w:pos="2870"/>
        </w:tabs>
        <w:ind w:left="2870" w:hanging="360"/>
      </w:pPr>
    </w:lvl>
    <w:lvl w:ilvl="6">
      <w:start w:val="1"/>
      <w:numFmt w:val="decimal"/>
      <w:lvlText w:val="%1.%2.%3.%4.%5.%6.%7."/>
      <w:lvlJc w:val="left"/>
      <w:pPr>
        <w:tabs>
          <w:tab w:val="num" w:pos="3230"/>
        </w:tabs>
        <w:ind w:left="323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590"/>
        </w:tabs>
        <w:ind w:left="359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950"/>
        </w:tabs>
        <w:ind w:left="3950" w:hanging="360"/>
      </w:pPr>
    </w:lvl>
  </w:abstractNum>
  <w:abstractNum w:abstractNumId="9" w15:restartNumberingAfterBreak="0">
    <w:nsid w:val="51835421"/>
    <w:multiLevelType w:val="hybridMultilevel"/>
    <w:tmpl w:val="E67A6B18"/>
    <w:lvl w:ilvl="0" w:tplc="DFCA0C86">
      <w:start w:val="1"/>
      <w:numFmt w:val="decimal"/>
      <w:suff w:val="space"/>
      <w:lvlText w:val="%1.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CE329AE"/>
    <w:multiLevelType w:val="hybridMultilevel"/>
    <w:tmpl w:val="F20A02AE"/>
    <w:lvl w:ilvl="0" w:tplc="00CE26A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3B9EAC64">
      <w:start w:val="1"/>
      <w:numFmt w:val="decimal"/>
      <w:suff w:val="space"/>
      <w:lvlText w:val="%4."/>
      <w:lvlJc w:val="left"/>
      <w:pPr>
        <w:ind w:left="1212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497E26"/>
    <w:multiLevelType w:val="hybridMultilevel"/>
    <w:tmpl w:val="C28C2914"/>
    <w:lvl w:ilvl="0" w:tplc="F992E884">
      <w:start w:val="1"/>
      <w:numFmt w:val="decimal"/>
      <w:suff w:val="space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3DA7CEE"/>
    <w:multiLevelType w:val="hybridMultilevel"/>
    <w:tmpl w:val="DBD61954"/>
    <w:lvl w:ilvl="0" w:tplc="20441E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73F3AAD"/>
    <w:multiLevelType w:val="hybridMultilevel"/>
    <w:tmpl w:val="A18E6248"/>
    <w:lvl w:ilvl="0" w:tplc="FCEE034A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8223465"/>
    <w:multiLevelType w:val="hybridMultilevel"/>
    <w:tmpl w:val="DEF84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40AAA"/>
    <w:multiLevelType w:val="hybridMultilevel"/>
    <w:tmpl w:val="E506C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91F7F"/>
    <w:multiLevelType w:val="hybridMultilevel"/>
    <w:tmpl w:val="86C23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1"/>
  </w:num>
  <w:num w:numId="5">
    <w:abstractNumId w:val="14"/>
  </w:num>
  <w:num w:numId="6">
    <w:abstractNumId w:val="15"/>
  </w:num>
  <w:num w:numId="7">
    <w:abstractNumId w:val="16"/>
  </w:num>
  <w:num w:numId="8">
    <w:abstractNumId w:val="6"/>
  </w:num>
  <w:num w:numId="9">
    <w:abstractNumId w:val="0"/>
  </w:num>
  <w:num w:numId="10">
    <w:abstractNumId w:val="3"/>
  </w:num>
  <w:num w:numId="11">
    <w:abstractNumId w:val="13"/>
  </w:num>
  <w:num w:numId="12">
    <w:abstractNumId w:val="7"/>
  </w:num>
  <w:num w:numId="13">
    <w:abstractNumId w:val="4"/>
  </w:num>
  <w:num w:numId="14">
    <w:abstractNumId w:val="10"/>
  </w:num>
  <w:num w:numId="15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E82"/>
    <w:rsid w:val="00041234"/>
    <w:rsid w:val="00147CC3"/>
    <w:rsid w:val="00167E3B"/>
    <w:rsid w:val="00221A31"/>
    <w:rsid w:val="00246BE9"/>
    <w:rsid w:val="002D04E4"/>
    <w:rsid w:val="002F543A"/>
    <w:rsid w:val="003118FB"/>
    <w:rsid w:val="003B206A"/>
    <w:rsid w:val="004127EF"/>
    <w:rsid w:val="00441012"/>
    <w:rsid w:val="006B4F62"/>
    <w:rsid w:val="007466CB"/>
    <w:rsid w:val="007D0C86"/>
    <w:rsid w:val="00864C21"/>
    <w:rsid w:val="00865722"/>
    <w:rsid w:val="00935A02"/>
    <w:rsid w:val="00950FB6"/>
    <w:rsid w:val="00965A1E"/>
    <w:rsid w:val="00A15037"/>
    <w:rsid w:val="00A354A7"/>
    <w:rsid w:val="00A7582D"/>
    <w:rsid w:val="00B05C38"/>
    <w:rsid w:val="00B80A49"/>
    <w:rsid w:val="00C05798"/>
    <w:rsid w:val="00C21B73"/>
    <w:rsid w:val="00D83904"/>
    <w:rsid w:val="00E31E82"/>
    <w:rsid w:val="00F61AB8"/>
    <w:rsid w:val="00FA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62636"/>
  <w15:chartTrackingRefBased/>
  <w15:docId w15:val="{5803D10B-ECD0-4FF4-A1E4-A275893E7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E8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rsid w:val="00E31E82"/>
    <w:pPr>
      <w:spacing w:after="120"/>
      <w:ind w:left="283"/>
    </w:pPr>
    <w:rPr>
      <w:lang w:val="x-none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E31E82"/>
    <w:rPr>
      <w:rFonts w:ascii="Calibri" w:eastAsia="Times New Roman" w:hAnsi="Calibri" w:cs="Times New Roman"/>
      <w:lang w:val="x-none"/>
    </w:rPr>
  </w:style>
  <w:style w:type="paragraph" w:styleId="1">
    <w:name w:val="toc 1"/>
    <w:basedOn w:val="a"/>
    <w:next w:val="a"/>
    <w:autoRedefine/>
    <w:uiPriority w:val="39"/>
    <w:rsid w:val="00E31E82"/>
  </w:style>
  <w:style w:type="character" w:styleId="a5">
    <w:name w:val="Hyperlink"/>
    <w:uiPriority w:val="99"/>
    <w:unhideWhenUsed/>
    <w:rsid w:val="00E31E82"/>
    <w:rPr>
      <w:color w:val="0563C1"/>
      <w:u w:val="single"/>
    </w:rPr>
  </w:style>
  <w:style w:type="paragraph" w:styleId="a6">
    <w:name w:val="List Paragraph"/>
    <w:basedOn w:val="a"/>
    <w:qFormat/>
    <w:rsid w:val="00E31E82"/>
    <w:pPr>
      <w:spacing w:after="0" w:line="360" w:lineRule="auto"/>
      <w:ind w:left="720" w:firstLine="709"/>
      <w:contextualSpacing/>
      <w:jc w:val="both"/>
    </w:pPr>
    <w:rPr>
      <w:rFonts w:ascii="Times New Roman" w:eastAsiaTheme="minorHAnsi" w:hAnsi="Times New Roman" w:cstheme="minorBidi"/>
      <w:sz w:val="28"/>
      <w:szCs w:val="24"/>
    </w:rPr>
  </w:style>
  <w:style w:type="table" w:styleId="a7">
    <w:name w:val="Table Grid"/>
    <w:basedOn w:val="a1"/>
    <w:uiPriority w:val="39"/>
    <w:rsid w:val="00A354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Основной"/>
    <w:basedOn w:val="a"/>
    <w:link w:val="a9"/>
    <w:qFormat/>
    <w:rsid w:val="00441012"/>
    <w:pPr>
      <w:spacing w:after="0" w:line="360" w:lineRule="auto"/>
      <w:ind w:firstLine="709"/>
      <w:jc w:val="both"/>
    </w:pPr>
    <w:rPr>
      <w:rFonts w:ascii="Times New Roman" w:eastAsia="Arial Unicode MS" w:hAnsi="Times New Roman" w:cs="Arial Unicode MS"/>
      <w:color w:val="000000"/>
      <w:sz w:val="28"/>
      <w:szCs w:val="28"/>
      <w:lang w:eastAsia="ru-RU"/>
    </w:rPr>
  </w:style>
  <w:style w:type="character" w:customStyle="1" w:styleId="a9">
    <w:name w:val="Основной Знак"/>
    <w:basedOn w:val="a0"/>
    <w:link w:val="a8"/>
    <w:rsid w:val="00441012"/>
    <w:rPr>
      <w:rFonts w:ascii="Times New Roman" w:eastAsia="Arial Unicode MS" w:hAnsi="Times New Roman" w:cs="Arial Unicode MS"/>
      <w:color w:val="000000"/>
      <w:sz w:val="28"/>
      <w:szCs w:val="28"/>
      <w:lang w:eastAsia="ru-RU"/>
    </w:rPr>
  </w:style>
  <w:style w:type="paragraph" w:customStyle="1" w:styleId="aa">
    <w:name w:val="Таблица"/>
    <w:basedOn w:val="a"/>
    <w:link w:val="ab"/>
    <w:qFormat/>
    <w:rsid w:val="00441012"/>
    <w:pPr>
      <w:widowControl w:val="0"/>
      <w:spacing w:after="0" w:line="240" w:lineRule="auto"/>
      <w:jc w:val="both"/>
    </w:pPr>
    <w:rPr>
      <w:rFonts w:ascii="Times New Roman" w:hAnsi="Times New Roman"/>
      <w:sz w:val="24"/>
      <w:szCs w:val="28"/>
      <w:lang w:eastAsia="ru-RU"/>
    </w:rPr>
  </w:style>
  <w:style w:type="character" w:customStyle="1" w:styleId="ab">
    <w:name w:val="Таблица Знак"/>
    <w:basedOn w:val="a0"/>
    <w:link w:val="aa"/>
    <w:rsid w:val="00441012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c">
    <w:name w:val="Основной текст + Полужирный;Курсив"/>
    <w:basedOn w:val="a0"/>
    <w:rsid w:val="0044101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  <w:shd w:val="clear" w:color="auto" w:fill="FFFFFF"/>
    </w:rPr>
  </w:style>
  <w:style w:type="paragraph" w:styleId="ad">
    <w:name w:val="footer"/>
    <w:basedOn w:val="a"/>
    <w:link w:val="ae"/>
    <w:uiPriority w:val="99"/>
    <w:unhideWhenUsed/>
    <w:rsid w:val="007D0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D0C86"/>
    <w:rPr>
      <w:rFonts w:ascii="Calibri" w:eastAsia="Times New Roman" w:hAnsi="Calibri" w:cs="Times New Roman"/>
    </w:rPr>
  </w:style>
  <w:style w:type="character" w:styleId="af">
    <w:name w:val="page number"/>
    <w:basedOn w:val="a0"/>
    <w:uiPriority w:val="99"/>
    <w:semiHidden/>
    <w:unhideWhenUsed/>
    <w:rsid w:val="007D0C86"/>
  </w:style>
  <w:style w:type="table" w:customStyle="1" w:styleId="10">
    <w:name w:val="Сетка таблицы1"/>
    <w:basedOn w:val="a1"/>
    <w:next w:val="a7"/>
    <w:uiPriority w:val="59"/>
    <w:rsid w:val="0004123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46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466CB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5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eb-canape.ru/business/sajt-stomatologicheskoj-kliniki-kak-bystro-i-bez-boli-privlech-paciento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58703-F21E-E546-8E57-4F3D9A65F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33</Pages>
  <Words>6283</Words>
  <Characters>35817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Paksyutkin</dc:creator>
  <cp:keywords/>
  <dc:description/>
  <cp:lastModifiedBy>Анастасия Шевченко</cp:lastModifiedBy>
  <cp:revision>18</cp:revision>
  <dcterms:created xsi:type="dcterms:W3CDTF">2020-06-15T15:08:00Z</dcterms:created>
  <dcterms:modified xsi:type="dcterms:W3CDTF">2020-06-24T18:43:00Z</dcterms:modified>
</cp:coreProperties>
</file>