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8A" w:rsidRDefault="009B4A8A" w:rsidP="009B4A8A">
      <w:pPr>
        <w:jc w:val="center"/>
        <w:rPr>
          <w:rFonts w:eastAsia="Times New Roman"/>
        </w:rPr>
      </w:pPr>
      <w:r>
        <w:rPr>
          <w:rFonts w:eastAsia="Times New Roman"/>
        </w:rPr>
        <w:t>СОДЕРЖАНИЕ</w:t>
      </w:r>
    </w:p>
    <w:p w:rsidR="009B4A8A" w:rsidRDefault="009B4A8A" w:rsidP="009B4A8A">
      <w:pPr>
        <w:tabs>
          <w:tab w:val="right" w:leader="dot" w:pos="9072"/>
        </w:tabs>
        <w:rPr>
          <w:rFonts w:eastAsia="Times New Roman"/>
        </w:rPr>
      </w:pPr>
      <w:r>
        <w:rPr>
          <w:rFonts w:eastAsia="Times New Roman"/>
        </w:rPr>
        <w:t xml:space="preserve">Введение </w:t>
      </w:r>
      <w:r>
        <w:rPr>
          <w:rFonts w:eastAsia="Times New Roman"/>
        </w:rPr>
        <w:tab/>
        <w:t>3</w:t>
      </w:r>
    </w:p>
    <w:p w:rsidR="009B4A8A" w:rsidRDefault="009B4A8A" w:rsidP="009B4A8A">
      <w:pPr>
        <w:tabs>
          <w:tab w:val="right" w:leader="dot" w:pos="9072"/>
        </w:tabs>
        <w:rPr>
          <w:rFonts w:eastAsia="Times New Roman"/>
        </w:rPr>
      </w:pPr>
      <w:r>
        <w:rPr>
          <w:rFonts w:eastAsia="Times New Roman"/>
        </w:rPr>
        <w:t xml:space="preserve">1 История создания и развития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5</w:t>
      </w:r>
    </w:p>
    <w:p w:rsidR="009B4A8A" w:rsidRDefault="009B4A8A" w:rsidP="00F50471">
      <w:pPr>
        <w:tabs>
          <w:tab w:val="right" w:leader="dot" w:pos="9072"/>
        </w:tabs>
        <w:ind w:right="424"/>
        <w:rPr>
          <w:rFonts w:eastAsia="Times New Roman"/>
        </w:rPr>
      </w:pPr>
      <w:r>
        <w:rPr>
          <w:rFonts w:eastAsia="Times New Roman"/>
        </w:rPr>
        <w:t>2</w:t>
      </w:r>
      <w:r w:rsidR="00F50471">
        <w:rPr>
          <w:rFonts w:eastAsia="Times New Roman"/>
        </w:rPr>
        <w:t xml:space="preserve"> Характеристика основных операций и видов деятельности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ab/>
        <w:t>8</w:t>
      </w:r>
    </w:p>
    <w:p w:rsidR="009B4A8A" w:rsidRDefault="009B4A8A" w:rsidP="00F50471">
      <w:pPr>
        <w:tabs>
          <w:tab w:val="right" w:leader="dot" w:pos="9072"/>
        </w:tabs>
        <w:ind w:right="283"/>
        <w:rPr>
          <w:rFonts w:eastAsia="Times New Roman"/>
        </w:rPr>
      </w:pPr>
      <w:r>
        <w:rPr>
          <w:rFonts w:eastAsia="Times New Roman"/>
        </w:rPr>
        <w:t xml:space="preserve">3 </w:t>
      </w:r>
      <w:r w:rsidR="00645B78">
        <w:rPr>
          <w:rFonts w:eastAsia="Times New Roman"/>
        </w:rPr>
        <w:t>Бухгалтерская отчетность и показатели финансовой деятельности АО «Альфа–Банк»</w:t>
      </w:r>
      <w:r>
        <w:rPr>
          <w:rFonts w:eastAsia="Times New Roman"/>
        </w:rPr>
        <w:tab/>
        <w:t>12</w:t>
      </w:r>
    </w:p>
    <w:p w:rsidR="00645B78" w:rsidRDefault="00645B78" w:rsidP="00645B78">
      <w:pPr>
        <w:tabs>
          <w:tab w:val="left" w:leader="dot" w:pos="8789"/>
          <w:tab w:val="left" w:leader="dot" w:pos="8931"/>
          <w:tab w:val="left" w:leader="dot" w:pos="9072"/>
          <w:tab w:val="left" w:leader="dot" w:pos="9356"/>
        </w:tabs>
        <w:ind w:right="566"/>
        <w:rPr>
          <w:rFonts w:eastAsia="Times New Roman"/>
        </w:rPr>
      </w:pPr>
      <w:r>
        <w:rPr>
          <w:rFonts w:eastAsia="Times New Roman"/>
        </w:rPr>
        <w:t>4  Порядок налогообложения АО «Альфа–Банк»  доходов по операциям ф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зических лиц с ценными бумагами </w:t>
      </w:r>
      <w:r>
        <w:rPr>
          <w:rFonts w:eastAsia="Times New Roman"/>
        </w:rPr>
        <w:tab/>
        <w:t>14</w:t>
      </w:r>
    </w:p>
    <w:p w:rsidR="009B4A8A" w:rsidRDefault="009B4A8A" w:rsidP="009B4A8A">
      <w:pPr>
        <w:tabs>
          <w:tab w:val="right" w:leader="dot" w:pos="9072"/>
        </w:tabs>
        <w:rPr>
          <w:rFonts w:eastAsia="Times New Roman"/>
        </w:rPr>
      </w:pPr>
      <w:r>
        <w:rPr>
          <w:rFonts w:eastAsia="Times New Roman"/>
        </w:rPr>
        <w:t xml:space="preserve">Заключение </w:t>
      </w:r>
      <w:r>
        <w:rPr>
          <w:rFonts w:eastAsia="Times New Roman"/>
        </w:rPr>
        <w:tab/>
        <w:t>17</w:t>
      </w:r>
    </w:p>
    <w:p w:rsidR="009B4A8A" w:rsidRDefault="009B4A8A" w:rsidP="009B4A8A">
      <w:pPr>
        <w:tabs>
          <w:tab w:val="right" w:leader="dot" w:pos="9072"/>
        </w:tabs>
        <w:rPr>
          <w:rFonts w:eastAsia="Times New Roman"/>
        </w:rPr>
      </w:pPr>
      <w:r>
        <w:rPr>
          <w:rFonts w:eastAsia="Times New Roman"/>
        </w:rPr>
        <w:t>Спис</w:t>
      </w:r>
      <w:r w:rsidR="00645B78">
        <w:rPr>
          <w:rFonts w:eastAsia="Times New Roman"/>
        </w:rPr>
        <w:t xml:space="preserve">ок использованных источников </w:t>
      </w:r>
      <w:r w:rsidR="00645B78">
        <w:rPr>
          <w:rFonts w:eastAsia="Times New Roman"/>
        </w:rPr>
        <w:tab/>
        <w:t>19</w:t>
      </w:r>
    </w:p>
    <w:p w:rsidR="009B4A8A" w:rsidRDefault="00645B78" w:rsidP="009B4A8A">
      <w:pPr>
        <w:tabs>
          <w:tab w:val="right" w:leader="dot" w:pos="9072"/>
        </w:tabs>
        <w:rPr>
          <w:rFonts w:eastAsia="Times New Roman"/>
        </w:rPr>
      </w:pPr>
      <w:r>
        <w:rPr>
          <w:rFonts w:eastAsia="Times New Roman"/>
        </w:rPr>
        <w:t xml:space="preserve">Приложения </w:t>
      </w:r>
      <w:r>
        <w:rPr>
          <w:rFonts w:eastAsia="Times New Roman"/>
        </w:rPr>
        <w:tab/>
        <w:t>20</w:t>
      </w:r>
    </w:p>
    <w:p w:rsidR="009B4A8A" w:rsidRDefault="009B4A8A" w:rsidP="009B4A8A">
      <w:pPr>
        <w:ind w:firstLine="709"/>
        <w:rPr>
          <w:rFonts w:eastAsia="Times New Roman"/>
        </w:rPr>
      </w:pPr>
    </w:p>
    <w:p w:rsidR="009B4A8A" w:rsidRDefault="009B4A8A" w:rsidP="009B4A8A">
      <w:pPr>
        <w:ind w:firstLine="709"/>
        <w:rPr>
          <w:rFonts w:eastAsia="Times New Roman"/>
        </w:rPr>
      </w:pPr>
    </w:p>
    <w:p w:rsidR="009B4A8A" w:rsidRDefault="009B4A8A" w:rsidP="009B4A8A">
      <w:pPr>
        <w:ind w:firstLine="709"/>
        <w:rPr>
          <w:rFonts w:eastAsia="Times New Roman"/>
        </w:rPr>
      </w:pPr>
    </w:p>
    <w:p w:rsidR="000B201C" w:rsidRDefault="000B201C" w:rsidP="009B4A8A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325A1C" w:rsidRDefault="000B201C" w:rsidP="00172EAA">
      <w:pPr>
        <w:spacing w:line="480" w:lineRule="auto"/>
        <w:jc w:val="center"/>
        <w:rPr>
          <w:rFonts w:eastAsia="Times New Roman"/>
        </w:rPr>
      </w:pPr>
      <w:r>
        <w:rPr>
          <w:rFonts w:eastAsia="Times New Roman"/>
        </w:rPr>
        <w:lastRenderedPageBreak/>
        <w:t>ВВЕДЕНИЕ</w:t>
      </w:r>
    </w:p>
    <w:p w:rsidR="00172EAA" w:rsidRDefault="00172EAA" w:rsidP="00172EAA">
      <w:pPr>
        <w:spacing w:line="480" w:lineRule="auto"/>
        <w:jc w:val="center"/>
        <w:rPr>
          <w:rFonts w:eastAsia="Times New Roman"/>
        </w:rPr>
      </w:pPr>
    </w:p>
    <w:p w:rsidR="0009764A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t>Одно из главных требований к подготовке специалистов высшей квалификации – её связь с практикой, знание конкретных задач, особе</w:t>
      </w:r>
      <w:r>
        <w:rPr>
          <w:rFonts w:eastAsia="Times New Roman"/>
        </w:rPr>
        <w:t>н</w:t>
      </w:r>
      <w:r>
        <w:rPr>
          <w:rFonts w:eastAsia="Times New Roman"/>
        </w:rPr>
        <w:t>ностей будущей практической деятельности. Важным звеном этой связи является производственная практика. Цели и задачи производственной практики – это систематизация, закрепление и углубление теоретич</w:t>
      </w:r>
      <w:r>
        <w:rPr>
          <w:rFonts w:eastAsia="Times New Roman"/>
        </w:rPr>
        <w:t>е</w:t>
      </w:r>
      <w:r>
        <w:rPr>
          <w:rFonts w:eastAsia="Times New Roman"/>
        </w:rPr>
        <w:t>ских знаний, получе</w:t>
      </w:r>
      <w:r>
        <w:rPr>
          <w:rFonts w:eastAsia="Times New Roman"/>
        </w:rPr>
        <w:t>н</w:t>
      </w:r>
      <w:r>
        <w:rPr>
          <w:rFonts w:eastAsia="Times New Roman"/>
        </w:rPr>
        <w:t>ных по дисциплинам специализации; приобретение практических навыков работы.</w:t>
      </w:r>
    </w:p>
    <w:p w:rsidR="0009764A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t>Основной целью настоящей производственной практики является финансово</w:t>
      </w:r>
      <w:r w:rsidR="00172EAA">
        <w:rPr>
          <w:rFonts w:eastAsia="Times New Roman"/>
        </w:rPr>
        <w:t>–</w:t>
      </w:r>
      <w:r>
        <w:rPr>
          <w:rFonts w:eastAsia="Times New Roman"/>
        </w:rPr>
        <w:t>экономический анализ деятельности коммерческого банка и разработка на его основе предложений по совершенствованию деятел</w:t>
      </w:r>
      <w:r>
        <w:rPr>
          <w:rFonts w:eastAsia="Times New Roman"/>
        </w:rPr>
        <w:t>ь</w:t>
      </w:r>
      <w:r>
        <w:rPr>
          <w:rFonts w:eastAsia="Times New Roman"/>
        </w:rPr>
        <w:t>ности ба</w:t>
      </w:r>
      <w:r>
        <w:rPr>
          <w:rFonts w:eastAsia="Times New Roman"/>
        </w:rPr>
        <w:t>н</w:t>
      </w:r>
      <w:r>
        <w:rPr>
          <w:rFonts w:eastAsia="Times New Roman"/>
        </w:rPr>
        <w:t>ка.</w:t>
      </w:r>
    </w:p>
    <w:p w:rsidR="0009764A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t xml:space="preserve">Анализируемый объект – 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 w:rsidR="0009764A">
        <w:rPr>
          <w:rFonts w:eastAsia="Times New Roman"/>
        </w:rPr>
        <w:t>.</w:t>
      </w:r>
    </w:p>
    <w:p w:rsidR="00325A1C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t>Анализируемые показатели:</w:t>
      </w:r>
    </w:p>
    <w:p w:rsidR="00325A1C" w:rsidRDefault="00645B78" w:rsidP="00645B78">
      <w:pPr>
        <w:tabs>
          <w:tab w:val="left" w:pos="142"/>
          <w:tab w:val="left" w:pos="426"/>
        </w:tabs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9764A">
        <w:rPr>
          <w:rFonts w:eastAsia="Times New Roman"/>
        </w:rPr>
        <w:t xml:space="preserve"> </w:t>
      </w:r>
      <w:r w:rsidR="000B201C">
        <w:rPr>
          <w:rFonts w:eastAsia="Times New Roman"/>
        </w:rPr>
        <w:t>показатели финансовых результатов (динамика и структура д</w:t>
      </w:r>
      <w:r w:rsidR="000B201C">
        <w:rPr>
          <w:rFonts w:eastAsia="Times New Roman"/>
        </w:rPr>
        <w:t>о</w:t>
      </w:r>
      <w:r w:rsidR="000B201C">
        <w:rPr>
          <w:rFonts w:eastAsia="Times New Roman"/>
        </w:rPr>
        <w:t>ходов и расходов банка; динамика показателей прибыли; коэффициенты рент</w:t>
      </w:r>
      <w:r w:rsidR="000B201C">
        <w:rPr>
          <w:rFonts w:eastAsia="Times New Roman"/>
        </w:rPr>
        <w:t>а</w:t>
      </w:r>
      <w:r w:rsidR="000B201C">
        <w:rPr>
          <w:rFonts w:eastAsia="Times New Roman"/>
        </w:rPr>
        <w:t>бельности);</w:t>
      </w:r>
    </w:p>
    <w:p w:rsidR="0009764A" w:rsidRDefault="00645B78" w:rsidP="00645B78">
      <w:pPr>
        <w:tabs>
          <w:tab w:val="left" w:pos="426"/>
        </w:tabs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9764A">
        <w:rPr>
          <w:rFonts w:eastAsia="Times New Roman"/>
        </w:rPr>
        <w:t xml:space="preserve"> </w:t>
      </w:r>
      <w:r w:rsidR="000B201C">
        <w:rPr>
          <w:rFonts w:eastAsia="Times New Roman"/>
        </w:rPr>
        <w:t>показатели финансового состояния (динамика объема и структуры собственных средств, показатели достаточности капитала, экономич</w:t>
      </w:r>
      <w:r w:rsidR="000B201C">
        <w:rPr>
          <w:rFonts w:eastAsia="Times New Roman"/>
        </w:rPr>
        <w:t>е</w:t>
      </w:r>
      <w:r>
        <w:rPr>
          <w:rFonts w:eastAsia="Times New Roman"/>
        </w:rPr>
        <w:t>ских нормативов, ликвидности).</w:t>
      </w:r>
    </w:p>
    <w:p w:rsidR="00325A1C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t>Основными задачами настоящей практики являются:</w:t>
      </w:r>
    </w:p>
    <w:p w:rsidR="00325A1C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</w:t>
      </w:r>
      <w:r w:rsidR="0009764A">
        <w:rPr>
          <w:rFonts w:eastAsia="Times New Roman"/>
        </w:rPr>
        <w:t xml:space="preserve"> </w:t>
      </w:r>
      <w:r w:rsidR="000B201C">
        <w:rPr>
          <w:rFonts w:eastAsia="Times New Roman"/>
        </w:rPr>
        <w:t xml:space="preserve">изучение Устава  </w:t>
      </w:r>
      <w:r w:rsidR="00160230">
        <w:rPr>
          <w:color w:val="000000"/>
          <w:sz w:val="27"/>
          <w:szCs w:val="27"/>
        </w:rPr>
        <w:t xml:space="preserve">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Банк»;</w:t>
      </w:r>
    </w:p>
    <w:p w:rsidR="00325A1C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9764A">
        <w:rPr>
          <w:rFonts w:eastAsia="Times New Roman"/>
        </w:rPr>
        <w:t xml:space="preserve"> </w:t>
      </w:r>
      <w:r w:rsidR="000B201C">
        <w:rPr>
          <w:rFonts w:eastAsia="Times New Roman"/>
        </w:rPr>
        <w:t>ознакомление с нормативными документами, регулирующими де</w:t>
      </w:r>
      <w:r w:rsidR="000B201C">
        <w:rPr>
          <w:rFonts w:eastAsia="Times New Roman"/>
        </w:rPr>
        <w:t>я</w:t>
      </w:r>
      <w:r w:rsidR="000B201C">
        <w:rPr>
          <w:rFonts w:eastAsia="Times New Roman"/>
        </w:rPr>
        <w:t xml:space="preserve">тельность 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 w:rsidR="000B201C">
        <w:rPr>
          <w:rFonts w:eastAsia="Times New Roman"/>
        </w:rPr>
        <w:t>;</w:t>
      </w:r>
    </w:p>
    <w:p w:rsidR="00325A1C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9764A">
        <w:rPr>
          <w:rFonts w:eastAsia="Times New Roman"/>
        </w:rPr>
        <w:t xml:space="preserve"> и</w:t>
      </w:r>
      <w:r w:rsidR="000B201C">
        <w:rPr>
          <w:rFonts w:eastAsia="Times New Roman"/>
        </w:rPr>
        <w:t>зучение системы статистической, бухгалтерской и финансовой отче</w:t>
      </w:r>
      <w:r w:rsidR="000B201C">
        <w:rPr>
          <w:rFonts w:eastAsia="Times New Roman"/>
        </w:rPr>
        <w:t>т</w:t>
      </w:r>
      <w:r w:rsidR="000B201C">
        <w:rPr>
          <w:rFonts w:eastAsia="Times New Roman"/>
        </w:rPr>
        <w:t xml:space="preserve">ности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 w:rsidR="000B201C">
        <w:rPr>
          <w:rFonts w:eastAsia="Times New Roman"/>
        </w:rPr>
        <w:t xml:space="preserve">; </w:t>
      </w:r>
    </w:p>
    <w:p w:rsidR="0009764A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9764A">
        <w:rPr>
          <w:rFonts w:eastAsia="Times New Roman"/>
        </w:rPr>
        <w:t xml:space="preserve"> </w:t>
      </w:r>
      <w:r w:rsidR="000B201C">
        <w:rPr>
          <w:rFonts w:eastAsia="Times New Roman"/>
        </w:rPr>
        <w:t>изучение и закрепление методов  анализа основных финансовых пок</w:t>
      </w:r>
      <w:r w:rsidR="000B201C">
        <w:rPr>
          <w:rFonts w:eastAsia="Times New Roman"/>
        </w:rPr>
        <w:t>а</w:t>
      </w:r>
      <w:r w:rsidR="000B201C">
        <w:rPr>
          <w:rFonts w:eastAsia="Times New Roman"/>
        </w:rPr>
        <w:t>зателей.</w:t>
      </w:r>
    </w:p>
    <w:p w:rsidR="00325A1C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lastRenderedPageBreak/>
        <w:t>В качестве информационной базы для анализа использована бу</w:t>
      </w:r>
      <w:r>
        <w:rPr>
          <w:rFonts w:eastAsia="Times New Roman"/>
        </w:rPr>
        <w:t>х</w:t>
      </w:r>
      <w:r>
        <w:rPr>
          <w:rFonts w:eastAsia="Times New Roman"/>
        </w:rPr>
        <w:t xml:space="preserve">галтерская отчетность 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 за 2018</w:t>
      </w:r>
      <w:r>
        <w:rPr>
          <w:rFonts w:eastAsia="Times New Roman"/>
        </w:rPr>
        <w:t>г:</w:t>
      </w:r>
    </w:p>
    <w:p w:rsidR="00325A1C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бухгалтерский баланс;</w:t>
      </w:r>
    </w:p>
    <w:p w:rsidR="00325A1C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 xml:space="preserve">– </w:t>
      </w:r>
      <w:r w:rsidR="000B201C">
        <w:rPr>
          <w:rFonts w:eastAsia="Times New Roman"/>
        </w:rPr>
        <w:t>отчет о прибылях и убытках;</w:t>
      </w:r>
    </w:p>
    <w:p w:rsidR="00325A1C" w:rsidRDefault="00645B78" w:rsidP="00645B78">
      <w:pPr>
        <w:contextualSpacing/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отчет о движении денежных средств.</w:t>
      </w:r>
    </w:p>
    <w:p w:rsidR="00325A1C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25A1C" w:rsidRDefault="00325A1C" w:rsidP="00172EAA">
      <w:pPr>
        <w:ind w:firstLine="709"/>
        <w:contextualSpacing/>
        <w:rPr>
          <w:rFonts w:eastAsia="Times New Roman"/>
        </w:rPr>
      </w:pPr>
    </w:p>
    <w:p w:rsidR="000B201C" w:rsidRDefault="000B201C" w:rsidP="00172EAA">
      <w:pPr>
        <w:ind w:firstLine="709"/>
        <w:contextualSpacing/>
        <w:rPr>
          <w:rFonts w:eastAsia="Times New Roman"/>
        </w:rPr>
      </w:pPr>
      <w:r>
        <w:rPr>
          <w:rFonts w:eastAsia="Times New Roman"/>
        </w:rPr>
        <w:br w:type="page"/>
      </w:r>
    </w:p>
    <w:p w:rsidR="00160230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1 История создания и развития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</w:p>
    <w:p w:rsidR="00172EAA" w:rsidRDefault="00172EAA">
      <w:pPr>
        <w:ind w:firstLine="709"/>
        <w:rPr>
          <w:rFonts w:eastAsia="Times New Roman"/>
        </w:rPr>
      </w:pPr>
    </w:p>
    <w:p w:rsidR="0009764A" w:rsidRDefault="00160230">
      <w:pPr>
        <w:ind w:firstLine="709"/>
        <w:rPr>
          <w:rFonts w:eastAsia="Times New Roman"/>
        </w:rPr>
      </w:pPr>
      <w:r>
        <w:rPr>
          <w:rFonts w:eastAsia="Times New Roman"/>
        </w:rPr>
        <w:t>Альфа</w:t>
      </w:r>
      <w:r w:rsidR="00172EAA">
        <w:rPr>
          <w:rFonts w:eastAsia="Times New Roman"/>
        </w:rPr>
        <w:t>–</w:t>
      </w:r>
      <w:r>
        <w:rPr>
          <w:rFonts w:eastAsia="Times New Roman"/>
        </w:rPr>
        <w:t xml:space="preserve">Банк </w:t>
      </w:r>
      <w:r w:rsidR="000B201C">
        <w:rPr>
          <w:rFonts w:eastAsia="Times New Roman"/>
        </w:rPr>
        <w:t xml:space="preserve">– </w:t>
      </w:r>
      <w:r w:rsidR="0009764A" w:rsidRPr="0009764A">
        <w:rPr>
          <w:szCs w:val="28"/>
          <w:shd w:val="clear" w:color="auto" w:fill="FFFFFF"/>
        </w:rPr>
        <w:t>один из крупнейших российских банков с развитой региональной сетью, основной актив одноименной финансовой корп</w:t>
      </w:r>
      <w:r w:rsidR="0009764A" w:rsidRPr="0009764A">
        <w:rPr>
          <w:szCs w:val="28"/>
          <w:shd w:val="clear" w:color="auto" w:fill="FFFFFF"/>
        </w:rPr>
        <w:t>о</w:t>
      </w:r>
      <w:r w:rsidR="0009764A" w:rsidRPr="0009764A">
        <w:rPr>
          <w:szCs w:val="28"/>
          <w:shd w:val="clear" w:color="auto" w:fill="FFFFFF"/>
        </w:rPr>
        <w:t>рации. Банк вполне можно назвать универсальным с уклоном в ста</w:t>
      </w:r>
      <w:r w:rsidR="0009764A" w:rsidRPr="0009764A">
        <w:rPr>
          <w:szCs w:val="28"/>
          <w:shd w:val="clear" w:color="auto" w:fill="FFFFFF"/>
        </w:rPr>
        <w:t>н</w:t>
      </w:r>
      <w:r w:rsidR="0009764A" w:rsidRPr="0009764A">
        <w:rPr>
          <w:szCs w:val="28"/>
          <w:shd w:val="clear" w:color="auto" w:fill="FFFFFF"/>
        </w:rPr>
        <w:t>дартные кредитование и обслуживание счетов физических и юридич</w:t>
      </w:r>
      <w:r w:rsidR="0009764A" w:rsidRPr="0009764A">
        <w:rPr>
          <w:szCs w:val="28"/>
          <w:shd w:val="clear" w:color="auto" w:fill="FFFFFF"/>
        </w:rPr>
        <w:t>е</w:t>
      </w:r>
      <w:r w:rsidR="0009764A" w:rsidRPr="0009764A">
        <w:rPr>
          <w:szCs w:val="28"/>
          <w:shd w:val="clear" w:color="auto" w:fill="FFFFFF"/>
        </w:rPr>
        <w:t>ских лиц</w:t>
      </w:r>
      <w:r>
        <w:rPr>
          <w:szCs w:val="28"/>
          <w:shd w:val="clear" w:color="auto" w:fill="FFFFFF"/>
        </w:rPr>
        <w:t xml:space="preserve">. </w:t>
      </w:r>
      <w:r w:rsidRPr="00160230">
        <w:rPr>
          <w:szCs w:val="28"/>
          <w:shd w:val="clear" w:color="auto" w:fill="FFFFFF"/>
        </w:rPr>
        <w:t xml:space="preserve"> </w:t>
      </w:r>
    </w:p>
    <w:p w:rsidR="00645B78" w:rsidRDefault="00645B78" w:rsidP="00160230">
      <w:pPr>
        <w:ind w:firstLine="709"/>
        <w:rPr>
          <w:szCs w:val="28"/>
          <w:shd w:val="clear" w:color="auto" w:fill="FFFFFF"/>
        </w:rPr>
      </w:pPr>
      <w:r w:rsidRPr="00645B78">
        <w:rPr>
          <w:szCs w:val="28"/>
          <w:shd w:val="clear" w:color="auto" w:fill="FFFFFF"/>
        </w:rPr>
        <w:t>АО «Альфа-Банк» по праву занимает позицию одного из кру</w:t>
      </w:r>
      <w:r w:rsidRPr="00645B78">
        <w:rPr>
          <w:szCs w:val="28"/>
          <w:shd w:val="clear" w:color="auto" w:fill="FFFFFF"/>
        </w:rPr>
        <w:t>п</w:t>
      </w:r>
      <w:r w:rsidRPr="00645B78">
        <w:rPr>
          <w:szCs w:val="28"/>
          <w:shd w:val="clear" w:color="auto" w:fill="FFFFFF"/>
        </w:rPr>
        <w:t>нейших универсальных банков РФ. Он входит в консорциум с почти о</w:t>
      </w:r>
      <w:r w:rsidRPr="00645B78">
        <w:rPr>
          <w:szCs w:val="28"/>
          <w:shd w:val="clear" w:color="auto" w:fill="FFFFFF"/>
        </w:rPr>
        <w:t>д</w:t>
      </w:r>
      <w:r w:rsidRPr="00645B78">
        <w:rPr>
          <w:szCs w:val="28"/>
          <w:shd w:val="clear" w:color="auto" w:fill="FFFFFF"/>
        </w:rPr>
        <w:t>ноименным названием – «Альфа-Групп». Во всех сегментах банковского рынка «Альфа-Банк» удерживает позиции лидера. Банк имеет довольно развитую сеть филиалов как в Москве, так и в десятках других крупных городов. Бенефициары данной организации: Alfa Capital Holdings (Cyprus) Limited с пакетом акций в 0,11% и ОАО «АБ Холдинг» с пак</w:t>
      </w:r>
      <w:r w:rsidRPr="00645B78">
        <w:rPr>
          <w:szCs w:val="28"/>
          <w:shd w:val="clear" w:color="auto" w:fill="FFFFFF"/>
        </w:rPr>
        <w:t>е</w:t>
      </w:r>
      <w:r w:rsidRPr="00645B78">
        <w:rPr>
          <w:szCs w:val="28"/>
          <w:shd w:val="clear" w:color="auto" w:fill="FFFFFF"/>
        </w:rPr>
        <w:t xml:space="preserve">том акций 99, 89%. </w:t>
      </w:r>
    </w:p>
    <w:p w:rsidR="00645B78" w:rsidRPr="00645B78" w:rsidRDefault="00645B78" w:rsidP="00645B78">
      <w:pPr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 w:rsidRPr="00645B78">
        <w:rPr>
          <w:szCs w:val="28"/>
          <w:shd w:val="clear" w:color="auto" w:fill="FFFFFF"/>
        </w:rPr>
        <w:t>Альфа-Банк был создан в начале 1991-го года. Город – Москва. Во главе банка стояли: бизнесмен Михаил Фридман и его деловые партн</w:t>
      </w:r>
      <w:r w:rsidRPr="00645B78">
        <w:rPr>
          <w:szCs w:val="28"/>
          <w:shd w:val="clear" w:color="auto" w:fill="FFFFFF"/>
        </w:rPr>
        <w:t>е</w:t>
      </w:r>
      <w:r w:rsidRPr="00645B78">
        <w:rPr>
          <w:szCs w:val="28"/>
          <w:shd w:val="clear" w:color="auto" w:fill="FFFFFF"/>
        </w:rPr>
        <w:t>ры. Спустя 5 лет, эта кредитная организация стала полноправным учас</w:t>
      </w:r>
      <w:r w:rsidRPr="00645B78">
        <w:rPr>
          <w:szCs w:val="28"/>
          <w:shd w:val="clear" w:color="auto" w:fill="FFFFFF"/>
        </w:rPr>
        <w:t>т</w:t>
      </w:r>
      <w:r w:rsidRPr="00645B78">
        <w:rPr>
          <w:szCs w:val="28"/>
          <w:shd w:val="clear" w:color="auto" w:fill="FFFFFF"/>
        </w:rPr>
        <w:t>ником системы страхования вкладов (2004 год).</w:t>
      </w:r>
    </w:p>
    <w:p w:rsidR="00645B78" w:rsidRPr="00645B78" w:rsidRDefault="00645B78" w:rsidP="00645B78">
      <w:pPr>
        <w:ind w:firstLine="709"/>
        <w:rPr>
          <w:szCs w:val="28"/>
          <w:shd w:val="clear" w:color="auto" w:fill="FFFFFF"/>
        </w:rPr>
      </w:pPr>
      <w:r w:rsidRPr="00645B78">
        <w:rPr>
          <w:szCs w:val="28"/>
          <w:shd w:val="clear" w:color="auto" w:fill="FFFFFF"/>
        </w:rPr>
        <w:t>Сегодня бенефициарами банка «Альфа-Банк» по-прежнему ост</w:t>
      </w:r>
      <w:r w:rsidRPr="00645B78">
        <w:rPr>
          <w:szCs w:val="28"/>
          <w:shd w:val="clear" w:color="auto" w:fill="FFFFFF"/>
        </w:rPr>
        <w:t>а</w:t>
      </w:r>
      <w:r w:rsidRPr="00645B78">
        <w:rPr>
          <w:szCs w:val="28"/>
          <w:shd w:val="clear" w:color="auto" w:fill="FFFFFF"/>
        </w:rPr>
        <w:t>ются: структура «Альфа-Групп» ABH Financial Limited (Кипр) с ее 99, 89% акций компании, а также Alfa Capital Holdings (Cyprus) Limited – акции которой составляют примерно 0,11% от общего пакета.</w:t>
      </w:r>
    </w:p>
    <w:p w:rsidR="00645B78" w:rsidRDefault="00645B78" w:rsidP="00645B78">
      <w:pPr>
        <w:ind w:firstLine="709"/>
        <w:rPr>
          <w:szCs w:val="28"/>
          <w:shd w:val="clear" w:color="auto" w:fill="FFFFFF"/>
        </w:rPr>
      </w:pPr>
      <w:r w:rsidRPr="00645B78">
        <w:rPr>
          <w:szCs w:val="28"/>
          <w:shd w:val="clear" w:color="auto" w:fill="FFFFFF"/>
        </w:rPr>
        <w:t>Альфа-банк РФ является ядром всех групп «Альфа» и включает в себя несколько межнациональных ответвлений: филиалы в США, на Кипре, в Казахстане, на Украине, в Нидерландах и в Белоруссии. Совл</w:t>
      </w:r>
      <w:r w:rsidRPr="00645B78">
        <w:rPr>
          <w:szCs w:val="28"/>
          <w:shd w:val="clear" w:color="auto" w:fill="FFFFFF"/>
        </w:rPr>
        <w:t>а</w:t>
      </w:r>
      <w:r w:rsidRPr="00645B78">
        <w:rPr>
          <w:szCs w:val="28"/>
          <w:shd w:val="clear" w:color="auto" w:fill="FFFFFF"/>
        </w:rPr>
        <w:t>дельцами столь внушительного по размерам банковского холдинга я</w:t>
      </w:r>
      <w:r w:rsidRPr="00645B78">
        <w:rPr>
          <w:szCs w:val="28"/>
          <w:shd w:val="clear" w:color="auto" w:fill="FFFFFF"/>
        </w:rPr>
        <w:t>в</w:t>
      </w:r>
      <w:r w:rsidRPr="00645B78">
        <w:rPr>
          <w:szCs w:val="28"/>
          <w:shd w:val="clear" w:color="auto" w:fill="FFFFFF"/>
        </w:rPr>
        <w:t xml:space="preserve">ляются: Алексей Кузьмичев с 18,12% акций, Михаил Фридман с 36, 47% акций и Герман Хан с 23,27% акций. В общество акционеров «Альфа-Банк» входят также: бывший топ-менеджер Алекс Кнастер с 4,3% акций, </w:t>
      </w:r>
      <w:r w:rsidRPr="00645B78">
        <w:rPr>
          <w:szCs w:val="28"/>
          <w:shd w:val="clear" w:color="auto" w:fill="FFFFFF"/>
        </w:rPr>
        <w:lastRenderedPageBreak/>
        <w:t>председатель совета директоров Петр Авен с 13,76% акций и Андрей Косогов с 4,08% акций.</w:t>
      </w:r>
    </w:p>
    <w:p w:rsidR="00325A1C" w:rsidRDefault="00645B78" w:rsidP="00645B78">
      <w:pPr>
        <w:ind w:firstLine="709"/>
        <w:rPr>
          <w:rFonts w:eastAsia="Times New Roman"/>
        </w:rPr>
      </w:pPr>
      <w:r w:rsidRPr="00645B78">
        <w:rPr>
          <w:szCs w:val="28"/>
          <w:shd w:val="clear" w:color="auto" w:fill="FFFFFF"/>
        </w:rPr>
        <w:t xml:space="preserve"> </w:t>
      </w:r>
      <w:r w:rsidRPr="00645B78">
        <w:rPr>
          <w:szCs w:val="28"/>
          <w:shd w:val="clear" w:color="auto" w:fill="FFFFFF"/>
        </w:rPr>
        <w:t>Сейчас АО «Альфа-Банк» обслуживает порядка 11-ти миллионов частных и больше 128-ми тысяч корпоративных клиентов. В совокупн</w:t>
      </w:r>
      <w:r w:rsidRPr="00645B78">
        <w:rPr>
          <w:szCs w:val="28"/>
          <w:shd w:val="clear" w:color="auto" w:fill="FFFFFF"/>
        </w:rPr>
        <w:t>о</w:t>
      </w:r>
      <w:r w:rsidRPr="00645B78">
        <w:rPr>
          <w:szCs w:val="28"/>
          <w:shd w:val="clear" w:color="auto" w:fill="FFFFFF"/>
        </w:rPr>
        <w:t>сти российских и зарубежных точек обслуживания банк имеет порядка 711 филиалов. Причем, в одной только столице РФ их насчитывается более 130. Держатели карт легко находят банкомат по бл</w:t>
      </w:r>
      <w:r w:rsidRPr="00645B78">
        <w:rPr>
          <w:szCs w:val="28"/>
          <w:shd w:val="clear" w:color="auto" w:fill="FFFFFF"/>
        </w:rPr>
        <w:t>и</w:t>
      </w:r>
      <w:r w:rsidRPr="00645B78">
        <w:rPr>
          <w:szCs w:val="28"/>
          <w:shd w:val="clear" w:color="auto" w:fill="FFFFFF"/>
        </w:rPr>
        <w:t>зости от дома и офиса. Специально для них было установлено около 4000 банкоматов на территории России. Путем долгих переговоров р</w:t>
      </w:r>
      <w:r w:rsidRPr="00645B78">
        <w:rPr>
          <w:szCs w:val="28"/>
          <w:shd w:val="clear" w:color="auto" w:fill="FFFFFF"/>
        </w:rPr>
        <w:t>у</w:t>
      </w:r>
      <w:r w:rsidRPr="00645B78">
        <w:rPr>
          <w:szCs w:val="28"/>
          <w:shd w:val="clear" w:color="auto" w:fill="FFFFFF"/>
        </w:rPr>
        <w:t>ководству «Альфа-Банк» уд</w:t>
      </w:r>
      <w:r w:rsidRPr="00645B78">
        <w:rPr>
          <w:szCs w:val="28"/>
          <w:shd w:val="clear" w:color="auto" w:fill="FFFFFF"/>
        </w:rPr>
        <w:t>а</w:t>
      </w:r>
      <w:r w:rsidRPr="00645B78">
        <w:rPr>
          <w:szCs w:val="28"/>
          <w:shd w:val="clear" w:color="auto" w:fill="FFFFFF"/>
        </w:rPr>
        <w:t>лось заключить договоры об объединении банкоматных сетей с такими банками, как Балтийский банк, Росбанк, Промсвязьбанк, МДМ банк, Россельхозбанк.</w:t>
      </w:r>
    </w:p>
    <w:p w:rsidR="00325A1C" w:rsidRDefault="00160230" w:rsidP="00645B78">
      <w:pPr>
        <w:ind w:firstLine="709"/>
        <w:rPr>
          <w:rFonts w:eastAsia="Times New Roman"/>
        </w:rPr>
      </w:pPr>
      <w:r>
        <w:rPr>
          <w:szCs w:val="28"/>
          <w:shd w:val="clear" w:color="auto" w:fill="FFFFFF"/>
        </w:rPr>
        <w:t xml:space="preserve">  </w:t>
      </w:r>
      <w:r w:rsidR="00645B78">
        <w:t>Банк является универсальным банком, осуществляющим все о</w:t>
      </w:r>
      <w:r w:rsidR="00645B78">
        <w:t>с</w:t>
      </w:r>
      <w:r w:rsidR="00645B78">
        <w:t>новные виды банковских операций, представленных на рынке финанс</w:t>
      </w:r>
      <w:r w:rsidR="00645B78">
        <w:t>о</w:t>
      </w:r>
      <w:r w:rsidR="00645B78">
        <w:t>вых услуг, включая обслуживание частных и корпоративных клиентов, инвестиционный банковский бизнес, торговое финансирование и упра</w:t>
      </w:r>
      <w:r w:rsidR="00645B78">
        <w:t>в</w:t>
      </w:r>
      <w:r w:rsidR="00645B78">
        <w:t>ление активами. Банк осуществляет деятельность во всех секторах ро</w:t>
      </w:r>
      <w:r w:rsidR="00645B78">
        <w:t>с</w:t>
      </w:r>
      <w:r w:rsidR="00645B78">
        <w:t>сийского финансового рынка, включая межбанковские, корпоративные и розничные кредиты и депозиты, валюто–обменные операции и бирж</w:t>
      </w:r>
      <w:r w:rsidR="00645B78">
        <w:t>е</w:t>
      </w:r>
      <w:r w:rsidR="00645B78">
        <w:t>вые операции с долговыми и долевыми ценными бумагами. Кроме этого, Банк предоставляет своим клиентам полный спектр банковских услуг в российских рублях и иностранных валютах. 16 декабря 2004 года Банк стал участником государственной программы страхования вкладов. Г</w:t>
      </w:r>
      <w:r w:rsidR="00645B78">
        <w:t>о</w:t>
      </w:r>
      <w:r w:rsidR="00645B78">
        <w:t>сударственная система страхования вкладов гарантирует выплату 100% возмещения по вкладам, размер которых не превышает 1 400 тысяч ру</w:t>
      </w:r>
      <w:r w:rsidR="00645B78">
        <w:t>б</w:t>
      </w:r>
      <w:r w:rsidR="00645B78">
        <w:t>лей на одно физическое лицо, в случае отзыва у банка лицензии или вв</w:t>
      </w:r>
      <w:r w:rsidR="00645B78">
        <w:t>е</w:t>
      </w:r>
      <w:r w:rsidR="00645B78">
        <w:t>дения Банком России моратория на платежи. Банк сохраняет позицию крупнейшего российского частного банка по размеру совокупных акт</w:t>
      </w:r>
      <w:r w:rsidR="00645B78">
        <w:t>и</w:t>
      </w:r>
      <w:r w:rsidR="00645B78">
        <w:t xml:space="preserve">вов, совокупному капиталу, кредитному портфелю и размеру депозитов. Акционерами Банка являются АО «АБ Холдинг» – 99.8864% и «ALFA </w:t>
      </w:r>
      <w:r w:rsidR="00645B78">
        <w:lastRenderedPageBreak/>
        <w:t>CAPITAL HOLDINGS (CYPRUS) LIMITED» – 0.1136%. В течение 1 п</w:t>
      </w:r>
      <w:r w:rsidR="00645B78">
        <w:t>о</w:t>
      </w:r>
      <w:r w:rsidR="00645B78">
        <w:t>лугодия 2018 года изменений в составе акционеров Банка не было. Банк входит в перечень десяти системно значимых банков, ежегодно утве</w:t>
      </w:r>
      <w:r w:rsidR="00645B78">
        <w:t>р</w:t>
      </w:r>
      <w:r w:rsidR="00645B78">
        <w:t>ждаемый Банком России. По состоянию на 1 июля 2018 года на террит</w:t>
      </w:r>
      <w:r w:rsidR="00645B78">
        <w:t>о</w:t>
      </w:r>
      <w:r w:rsidR="00645B78">
        <w:t>рии Российской Федерации у Банка открыты 7 филиалов: «Екатери</w:t>
      </w:r>
      <w:r w:rsidR="00645B78">
        <w:t>н</w:t>
      </w:r>
      <w:r w:rsidR="00645B78">
        <w:t>бургский», «Нижегородский», «Новосибирский», «Ростовский», «Санкт–Петербургский», «Ставропольский» и «Хабаровский».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25A1C" w:rsidRDefault="00325A1C">
      <w:pPr>
        <w:ind w:firstLine="709"/>
        <w:rPr>
          <w:rFonts w:eastAsia="Times New Roman"/>
        </w:rPr>
      </w:pPr>
    </w:p>
    <w:p w:rsidR="000B201C" w:rsidRDefault="000B201C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2 </w:t>
      </w:r>
      <w:r w:rsidR="00F50471">
        <w:rPr>
          <w:rFonts w:eastAsia="Times New Roman"/>
        </w:rPr>
        <w:t xml:space="preserve"> Характеристика основных операций и видов деятельности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</w:p>
    <w:p w:rsidR="0009764A" w:rsidRDefault="000B201C" w:rsidP="0009764A">
      <w:pPr>
        <w:ind w:firstLine="709"/>
        <w:rPr>
          <w:rFonts w:eastAsia="Times New Roman"/>
        </w:rPr>
      </w:pPr>
      <w:r>
        <w:rPr>
          <w:rFonts w:eastAsia="Times New Roman"/>
        </w:rPr>
        <w:t>ПАО «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 xml:space="preserve">» </w:t>
      </w:r>
      <w:r w:rsidR="00645B78">
        <w:rPr>
          <w:rFonts w:eastAsia="Times New Roman"/>
        </w:rPr>
        <w:t>–</w:t>
      </w:r>
      <w:r>
        <w:rPr>
          <w:rFonts w:eastAsia="Times New Roman"/>
        </w:rPr>
        <w:t xml:space="preserve"> кредитная организация, которая де</w:t>
      </w:r>
      <w:r>
        <w:rPr>
          <w:rFonts w:eastAsia="Times New Roman"/>
        </w:rPr>
        <w:t>й</w:t>
      </w:r>
      <w:r>
        <w:rPr>
          <w:rFonts w:eastAsia="Times New Roman"/>
        </w:rPr>
        <w:t>ствует в форме публичного акционерного общества.</w:t>
      </w:r>
      <w:bookmarkStart w:id="0" w:name="930"/>
    </w:p>
    <w:p w:rsidR="0009764A" w:rsidRDefault="0009764A" w:rsidP="0009764A">
      <w:pPr>
        <w:ind w:firstLine="709"/>
        <w:rPr>
          <w:color w:val="000000"/>
          <w:szCs w:val="28"/>
          <w:shd w:val="clear" w:color="auto" w:fill="FFFFFF"/>
        </w:rPr>
      </w:pPr>
      <w:r w:rsidRPr="0009764A">
        <w:rPr>
          <w:color w:val="000000"/>
          <w:szCs w:val="28"/>
          <w:shd w:val="clear" w:color="auto" w:fill="FFFFFF"/>
        </w:rPr>
        <w:t>Банк является юридическим лицом, имеет в собственности об</w:t>
      </w:r>
      <w:r w:rsidRPr="0009764A">
        <w:rPr>
          <w:color w:val="000000"/>
          <w:szCs w:val="28"/>
          <w:shd w:val="clear" w:color="auto" w:fill="FFFFFF"/>
        </w:rPr>
        <w:t>о</w:t>
      </w:r>
      <w:r w:rsidRPr="0009764A">
        <w:rPr>
          <w:color w:val="000000"/>
          <w:szCs w:val="28"/>
          <w:shd w:val="clear" w:color="auto" w:fill="FFFFFF"/>
        </w:rPr>
        <w:t>собленное имущество, учитываемое на самостоятельном балансе, отв</w:t>
      </w:r>
      <w:r w:rsidRPr="0009764A">
        <w:rPr>
          <w:color w:val="000000"/>
          <w:szCs w:val="28"/>
          <w:shd w:val="clear" w:color="auto" w:fill="FFFFFF"/>
        </w:rPr>
        <w:t>е</w:t>
      </w:r>
      <w:r w:rsidRPr="0009764A">
        <w:rPr>
          <w:color w:val="000000"/>
          <w:szCs w:val="28"/>
          <w:shd w:val="clear" w:color="auto" w:fill="FFFFFF"/>
        </w:rPr>
        <w:t>чает по своим обязательствам всем своим имуществом, на которое м</w:t>
      </w:r>
      <w:r w:rsidRPr="0009764A">
        <w:rPr>
          <w:color w:val="000000"/>
          <w:szCs w:val="28"/>
          <w:shd w:val="clear" w:color="auto" w:fill="FFFFFF"/>
        </w:rPr>
        <w:t>о</w:t>
      </w:r>
      <w:r w:rsidRPr="0009764A">
        <w:rPr>
          <w:color w:val="000000"/>
          <w:szCs w:val="28"/>
          <w:shd w:val="clear" w:color="auto" w:fill="FFFFFF"/>
        </w:rPr>
        <w:t>жет быть обращено взыскание, может от своего имени приобретать и осуществлять имуществе</w:t>
      </w:r>
      <w:r w:rsidRPr="0009764A">
        <w:rPr>
          <w:color w:val="000000"/>
          <w:szCs w:val="28"/>
          <w:shd w:val="clear" w:color="auto" w:fill="FFFFFF"/>
        </w:rPr>
        <w:t>н</w:t>
      </w:r>
      <w:r w:rsidRPr="0009764A">
        <w:rPr>
          <w:color w:val="000000"/>
          <w:szCs w:val="28"/>
          <w:shd w:val="clear" w:color="auto" w:fill="FFFFFF"/>
        </w:rPr>
        <w:t>ные и личные неимущественные права, нести обязанности, быть истцом и о</w:t>
      </w:r>
      <w:r w:rsidRPr="0009764A">
        <w:rPr>
          <w:color w:val="000000"/>
          <w:szCs w:val="28"/>
          <w:shd w:val="clear" w:color="auto" w:fill="FFFFFF"/>
        </w:rPr>
        <w:t>т</w:t>
      </w:r>
      <w:r w:rsidRPr="0009764A">
        <w:rPr>
          <w:color w:val="000000"/>
          <w:szCs w:val="28"/>
          <w:shd w:val="clear" w:color="auto" w:fill="FFFFFF"/>
        </w:rPr>
        <w:t>ветчиком в суде.</w:t>
      </w:r>
    </w:p>
    <w:p w:rsidR="0009764A" w:rsidRDefault="0009764A" w:rsidP="0009764A">
      <w:pPr>
        <w:ind w:firstLine="709"/>
        <w:rPr>
          <w:color w:val="000000"/>
          <w:szCs w:val="28"/>
          <w:shd w:val="clear" w:color="auto" w:fill="FFFFFF"/>
        </w:rPr>
      </w:pPr>
      <w:r w:rsidRPr="0009764A">
        <w:rPr>
          <w:color w:val="000000"/>
          <w:szCs w:val="28"/>
          <w:shd w:val="clear" w:color="auto" w:fill="FFFFFF"/>
        </w:rPr>
        <w:t>Акционерами Банка могут быть юридические и (или) физические лица. Акционеры Банка не отвечают по обязательствам Банка и несут риск убытков, связанных с его деятельностью, в пределах стоимости принадлежащих им акций. Банк не отвечает по обязательствам своих а</w:t>
      </w:r>
      <w:r w:rsidRPr="0009764A">
        <w:rPr>
          <w:color w:val="000000"/>
          <w:szCs w:val="28"/>
          <w:shd w:val="clear" w:color="auto" w:fill="FFFFFF"/>
        </w:rPr>
        <w:t>к</w:t>
      </w:r>
      <w:r w:rsidRPr="0009764A">
        <w:rPr>
          <w:color w:val="000000"/>
          <w:szCs w:val="28"/>
          <w:shd w:val="clear" w:color="auto" w:fill="FFFFFF"/>
        </w:rPr>
        <w:t>ционеров.</w:t>
      </w:r>
    </w:p>
    <w:p w:rsidR="0009764A" w:rsidRDefault="0009764A" w:rsidP="0009764A">
      <w:pPr>
        <w:ind w:firstLine="709"/>
        <w:rPr>
          <w:color w:val="000000"/>
          <w:szCs w:val="28"/>
          <w:shd w:val="clear" w:color="auto" w:fill="FFFFFF"/>
        </w:rPr>
      </w:pPr>
      <w:r w:rsidRPr="0009764A">
        <w:rPr>
          <w:color w:val="000000"/>
          <w:szCs w:val="28"/>
          <w:shd w:val="clear" w:color="auto" w:fill="FFFFFF"/>
        </w:rPr>
        <w:t>Банк вправе в установленном законодательством порядке:</w:t>
      </w:r>
    </w:p>
    <w:p w:rsidR="0009764A" w:rsidRDefault="0009764A" w:rsidP="00645B78">
      <w:pPr>
        <w:rPr>
          <w:color w:val="000000"/>
          <w:szCs w:val="28"/>
          <w:shd w:val="clear" w:color="auto" w:fill="FFFFFF"/>
        </w:rPr>
      </w:pPr>
      <w:r w:rsidRPr="0009764A">
        <w:rPr>
          <w:color w:val="000000"/>
          <w:szCs w:val="28"/>
          <w:shd w:val="clear" w:color="auto" w:fill="FFFFFF"/>
        </w:rPr>
        <w:t>1) открывать корреспондентские счета в иных кредитных орган</w:t>
      </w:r>
      <w:r w:rsidRPr="0009764A">
        <w:rPr>
          <w:color w:val="000000"/>
          <w:szCs w:val="28"/>
          <w:shd w:val="clear" w:color="auto" w:fill="FFFFFF"/>
        </w:rPr>
        <w:t>и</w:t>
      </w:r>
      <w:r w:rsidRPr="0009764A">
        <w:rPr>
          <w:color w:val="000000"/>
          <w:szCs w:val="28"/>
          <w:shd w:val="clear" w:color="auto" w:fill="FFFFFF"/>
        </w:rPr>
        <w:t>зациях в целях осуществления своей деятельности;</w:t>
      </w:r>
    </w:p>
    <w:p w:rsidR="0009764A" w:rsidRDefault="0009764A" w:rsidP="00645B78">
      <w:pPr>
        <w:rPr>
          <w:color w:val="000000"/>
          <w:szCs w:val="28"/>
          <w:shd w:val="clear" w:color="auto" w:fill="FFFFFF"/>
        </w:rPr>
      </w:pPr>
      <w:r w:rsidRPr="0009764A">
        <w:rPr>
          <w:color w:val="000000"/>
          <w:szCs w:val="28"/>
          <w:shd w:val="clear" w:color="auto" w:fill="FFFFFF"/>
        </w:rPr>
        <w:t>2) открывать филиалы и представительства на территории Росси</w:t>
      </w:r>
      <w:r w:rsidRPr="0009764A">
        <w:rPr>
          <w:color w:val="000000"/>
          <w:szCs w:val="28"/>
          <w:shd w:val="clear" w:color="auto" w:fill="FFFFFF"/>
        </w:rPr>
        <w:t>й</w:t>
      </w:r>
      <w:r w:rsidRPr="0009764A">
        <w:rPr>
          <w:color w:val="000000"/>
          <w:szCs w:val="28"/>
          <w:shd w:val="clear" w:color="auto" w:fill="FFFFFF"/>
        </w:rPr>
        <w:t>ской Федерации и за рубежом и наделять их правами в пределах уставных положений Банка без наделения их правами юридического лица;</w:t>
      </w:r>
    </w:p>
    <w:p w:rsidR="0009764A" w:rsidRDefault="0009764A" w:rsidP="00645B78">
      <w:pPr>
        <w:rPr>
          <w:color w:val="000000"/>
          <w:szCs w:val="28"/>
          <w:shd w:val="clear" w:color="auto" w:fill="FFFFFF"/>
        </w:rPr>
      </w:pPr>
      <w:r w:rsidRPr="0009764A">
        <w:rPr>
          <w:color w:val="000000"/>
          <w:szCs w:val="28"/>
          <w:shd w:val="clear" w:color="auto" w:fill="FFFFFF"/>
        </w:rPr>
        <w:t>3) самостоятельно или совместно с другими юридическими и физич</w:t>
      </w:r>
      <w:r w:rsidRPr="0009764A">
        <w:rPr>
          <w:color w:val="000000"/>
          <w:szCs w:val="28"/>
          <w:shd w:val="clear" w:color="auto" w:fill="FFFFFF"/>
        </w:rPr>
        <w:t>е</w:t>
      </w:r>
      <w:r w:rsidRPr="0009764A">
        <w:rPr>
          <w:color w:val="000000"/>
          <w:szCs w:val="28"/>
          <w:shd w:val="clear" w:color="auto" w:fill="FFFFFF"/>
        </w:rPr>
        <w:t>скими лицами, иностранными и международными организациями учас</w:t>
      </w:r>
      <w:r w:rsidRPr="0009764A">
        <w:rPr>
          <w:color w:val="000000"/>
          <w:szCs w:val="28"/>
          <w:shd w:val="clear" w:color="auto" w:fill="FFFFFF"/>
        </w:rPr>
        <w:t>т</w:t>
      </w:r>
      <w:r w:rsidRPr="0009764A">
        <w:rPr>
          <w:color w:val="000000"/>
          <w:szCs w:val="28"/>
          <w:shd w:val="clear" w:color="auto" w:fill="FFFFFF"/>
        </w:rPr>
        <w:t>вовать в деятельности иных юридических лиц и их объединений в Ро</w:t>
      </w:r>
      <w:r w:rsidRPr="0009764A">
        <w:rPr>
          <w:color w:val="000000"/>
          <w:szCs w:val="28"/>
          <w:shd w:val="clear" w:color="auto" w:fill="FFFFFF"/>
        </w:rPr>
        <w:t>с</w:t>
      </w:r>
      <w:r w:rsidRPr="0009764A">
        <w:rPr>
          <w:color w:val="000000"/>
          <w:szCs w:val="28"/>
          <w:shd w:val="clear" w:color="auto" w:fill="FFFFFF"/>
        </w:rPr>
        <w:t>сийской Федерации и за ее пределами в соответствии с действующим законодательством Российской Федерации и соответствующего ин</w:t>
      </w:r>
      <w:r w:rsidRPr="0009764A">
        <w:rPr>
          <w:color w:val="000000"/>
          <w:szCs w:val="28"/>
          <w:shd w:val="clear" w:color="auto" w:fill="FFFFFF"/>
        </w:rPr>
        <w:t>о</w:t>
      </w:r>
      <w:r w:rsidRPr="0009764A">
        <w:rPr>
          <w:color w:val="000000"/>
          <w:szCs w:val="28"/>
          <w:shd w:val="clear" w:color="auto" w:fill="FFFFFF"/>
        </w:rPr>
        <w:t>странного государства;</w:t>
      </w:r>
    </w:p>
    <w:p w:rsidR="0009764A" w:rsidRDefault="0009764A" w:rsidP="00645B78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</w:t>
      </w:r>
      <w:r w:rsidRPr="0009764A">
        <w:rPr>
          <w:color w:val="000000"/>
          <w:szCs w:val="28"/>
          <w:shd w:val="clear" w:color="auto" w:fill="FFFFFF"/>
        </w:rPr>
        <w:t>) осуществлять внешнеэкономическую деятельность, участвовать в деятельности и сотрудничать в иной форме с международными орган</w:t>
      </w:r>
      <w:r w:rsidRPr="0009764A">
        <w:rPr>
          <w:color w:val="000000"/>
          <w:szCs w:val="28"/>
          <w:shd w:val="clear" w:color="auto" w:fill="FFFFFF"/>
        </w:rPr>
        <w:t>и</w:t>
      </w:r>
      <w:r w:rsidRPr="0009764A">
        <w:rPr>
          <w:color w:val="000000"/>
          <w:szCs w:val="28"/>
          <w:shd w:val="clear" w:color="auto" w:fill="FFFFFF"/>
        </w:rPr>
        <w:t>зациями;</w:t>
      </w:r>
    </w:p>
    <w:p w:rsidR="0009764A" w:rsidRDefault="0009764A" w:rsidP="00645B78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5</w:t>
      </w:r>
      <w:r w:rsidRPr="0009764A">
        <w:rPr>
          <w:color w:val="000000"/>
          <w:szCs w:val="28"/>
          <w:shd w:val="clear" w:color="auto" w:fill="FFFFFF"/>
        </w:rPr>
        <w:t>) самостоятельно устанавливать форму, систему и порядок оплаты тр</w:t>
      </w:r>
      <w:r w:rsidRPr="0009764A">
        <w:rPr>
          <w:color w:val="000000"/>
          <w:szCs w:val="28"/>
          <w:shd w:val="clear" w:color="auto" w:fill="FFFFFF"/>
        </w:rPr>
        <w:t>у</w:t>
      </w:r>
      <w:r w:rsidRPr="0009764A">
        <w:rPr>
          <w:color w:val="000000"/>
          <w:szCs w:val="28"/>
          <w:shd w:val="clear" w:color="auto" w:fill="FFFFFF"/>
        </w:rPr>
        <w:t>да сотрудников Банка</w:t>
      </w:r>
      <w:bookmarkEnd w:id="0"/>
      <w:r>
        <w:rPr>
          <w:color w:val="000000"/>
          <w:szCs w:val="28"/>
          <w:shd w:val="clear" w:color="auto" w:fill="FFFFFF"/>
        </w:rPr>
        <w:t>.</w:t>
      </w:r>
    </w:p>
    <w:p w:rsidR="00325A1C" w:rsidRPr="0009764A" w:rsidRDefault="000B201C">
      <w:pPr>
        <w:ind w:firstLine="709"/>
        <w:rPr>
          <w:color w:val="000000"/>
          <w:szCs w:val="28"/>
          <w:shd w:val="clear" w:color="auto" w:fill="FFFFFF"/>
        </w:rPr>
      </w:pPr>
      <w:r>
        <w:rPr>
          <w:rFonts w:eastAsia="Times New Roman"/>
        </w:rPr>
        <w:t>ПАО «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» внесено в Единый государственный р</w:t>
      </w:r>
      <w:r>
        <w:rPr>
          <w:rFonts w:eastAsia="Times New Roman"/>
        </w:rPr>
        <w:t>е</w:t>
      </w:r>
      <w:r>
        <w:rPr>
          <w:rFonts w:eastAsia="Times New Roman"/>
        </w:rPr>
        <w:t>естр юридических лиц Управлением Министерства Российской Федер</w:t>
      </w:r>
      <w:r>
        <w:rPr>
          <w:rFonts w:eastAsia="Times New Roman"/>
        </w:rPr>
        <w:t>а</w:t>
      </w:r>
      <w:r>
        <w:rPr>
          <w:rFonts w:eastAsia="Times New Roman"/>
        </w:rPr>
        <w:t>ции по налогам и сборам по Республике Башкортостан за № 1020280000190 от 08.08.2002 г. Свидетельство серии 02 № 004606023.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ПАО «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» имеет Генеральную лицензию Це</w:t>
      </w:r>
      <w:r>
        <w:rPr>
          <w:rFonts w:eastAsia="Times New Roman"/>
        </w:rPr>
        <w:t>н</w:t>
      </w:r>
      <w:r>
        <w:rPr>
          <w:rFonts w:eastAsia="Times New Roman"/>
        </w:rPr>
        <w:t>трального банка Российской Федерации на осуществление банковских операций № 30 от 10.09.2015 г. без ограничения срока действия и ос</w:t>
      </w:r>
      <w:r>
        <w:rPr>
          <w:rFonts w:eastAsia="Times New Roman"/>
        </w:rPr>
        <w:t>у</w:t>
      </w:r>
      <w:r>
        <w:rPr>
          <w:rFonts w:eastAsia="Times New Roman"/>
        </w:rPr>
        <w:t>ществляет свою де</w:t>
      </w:r>
      <w:r>
        <w:rPr>
          <w:rFonts w:eastAsia="Times New Roman"/>
        </w:rPr>
        <w:t>я</w:t>
      </w:r>
      <w:r>
        <w:rPr>
          <w:rFonts w:eastAsia="Times New Roman"/>
        </w:rPr>
        <w:t>тельность в соответствии с Федеральным законом № 395</w:t>
      </w:r>
      <w:r w:rsidR="00645B78">
        <w:rPr>
          <w:rFonts w:eastAsia="Times New Roman"/>
        </w:rPr>
        <w:t>–</w:t>
      </w:r>
      <w:r>
        <w:rPr>
          <w:rFonts w:eastAsia="Times New Roman"/>
        </w:rPr>
        <w:t>1 и другими зак</w:t>
      </w:r>
      <w:r>
        <w:rPr>
          <w:rFonts w:eastAsia="Times New Roman"/>
        </w:rPr>
        <w:t>о</w:t>
      </w:r>
      <w:r>
        <w:rPr>
          <w:rFonts w:eastAsia="Times New Roman"/>
        </w:rPr>
        <w:t>нодательными актами Российской Федерации.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Фирменное (полное официальное) наименование Банка: Публи</w:t>
      </w:r>
      <w:r>
        <w:rPr>
          <w:rFonts w:eastAsia="Times New Roman"/>
        </w:rPr>
        <w:t>ч</w:t>
      </w:r>
      <w:r>
        <w:rPr>
          <w:rFonts w:eastAsia="Times New Roman"/>
        </w:rPr>
        <w:t>ное ак</w:t>
      </w:r>
      <w:r w:rsidR="00160230">
        <w:rPr>
          <w:rFonts w:eastAsia="Times New Roman"/>
        </w:rPr>
        <w:t>ционерное общество</w:t>
      </w:r>
      <w:r>
        <w:rPr>
          <w:rFonts w:eastAsia="Times New Roman"/>
        </w:rPr>
        <w:t xml:space="preserve">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». Сокращенное наим</w:t>
      </w:r>
      <w:r>
        <w:rPr>
          <w:rFonts w:eastAsia="Times New Roman"/>
        </w:rPr>
        <w:t>е</w:t>
      </w:r>
      <w:r>
        <w:rPr>
          <w:rFonts w:eastAsia="Times New Roman"/>
        </w:rPr>
        <w:t>нова</w:t>
      </w:r>
      <w:r w:rsidR="00160230">
        <w:rPr>
          <w:rFonts w:eastAsia="Times New Roman"/>
        </w:rPr>
        <w:t xml:space="preserve">ние Банка: </w:t>
      </w:r>
      <w:r>
        <w:rPr>
          <w:rFonts w:eastAsia="Times New Roman"/>
        </w:rPr>
        <w:t>«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 xml:space="preserve">». 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Органами управления Банком являются: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1) Общее собрание акционеров Банка;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2) Наблюдательный совет Банка;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3) Единоличный исполнительный орган – Председатель Правления Ба</w:t>
      </w:r>
      <w:r>
        <w:rPr>
          <w:rFonts w:eastAsia="Times New Roman"/>
        </w:rPr>
        <w:t>н</w:t>
      </w:r>
      <w:r>
        <w:rPr>
          <w:rFonts w:eastAsia="Times New Roman"/>
        </w:rPr>
        <w:t>ка;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 xml:space="preserve">4) Коллегиальный исполнительный орган </w:t>
      </w:r>
      <w:r w:rsidR="0009764A">
        <w:rPr>
          <w:rFonts w:eastAsia="Times New Roman"/>
        </w:rPr>
        <w:t>—</w:t>
      </w:r>
      <w:r>
        <w:rPr>
          <w:rFonts w:eastAsia="Times New Roman"/>
        </w:rPr>
        <w:t xml:space="preserve"> Правление Банка</w:t>
      </w:r>
      <w:r w:rsidR="00645B78">
        <w:rPr>
          <w:rFonts w:eastAsia="Times New Roman"/>
        </w:rPr>
        <w:t>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Высшим органом управления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 xml:space="preserve"> является О</w:t>
      </w:r>
      <w:r>
        <w:rPr>
          <w:rFonts w:eastAsia="Times New Roman"/>
        </w:rPr>
        <w:t>б</w:t>
      </w:r>
      <w:r>
        <w:rPr>
          <w:rFonts w:eastAsia="Times New Roman"/>
        </w:rPr>
        <w:t>щее собрание акционеров, созываемое для проведения ежегодных и вн</w:t>
      </w:r>
      <w:r>
        <w:rPr>
          <w:rFonts w:eastAsia="Times New Roman"/>
        </w:rPr>
        <w:t>е</w:t>
      </w:r>
      <w:r>
        <w:rPr>
          <w:rFonts w:eastAsia="Times New Roman"/>
        </w:rPr>
        <w:t>очередных собраний. Общее собрание акционеров принимает стратег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ческие решения относительно деятельности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. О</w:t>
      </w:r>
      <w:r>
        <w:rPr>
          <w:rFonts w:eastAsia="Times New Roman"/>
        </w:rPr>
        <w:t>б</w:t>
      </w:r>
      <w:r>
        <w:rPr>
          <w:rFonts w:eastAsia="Times New Roman"/>
        </w:rPr>
        <w:t>щее собрание а</w:t>
      </w:r>
      <w:r>
        <w:rPr>
          <w:rFonts w:eastAsia="Times New Roman"/>
        </w:rPr>
        <w:t>к</w:t>
      </w:r>
      <w:r>
        <w:rPr>
          <w:rFonts w:eastAsia="Times New Roman"/>
        </w:rPr>
        <w:t>ционеров определяет состав Наблюдательного совета. Наблюдательный совет несет ответственность за общее управление де</w:t>
      </w:r>
      <w:r>
        <w:rPr>
          <w:rFonts w:eastAsia="Times New Roman"/>
        </w:rPr>
        <w:t>я</w:t>
      </w:r>
      <w:r>
        <w:rPr>
          <w:rFonts w:eastAsia="Times New Roman"/>
        </w:rPr>
        <w:t xml:space="preserve">тельностью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. Законодательством Российской Ф</w:t>
      </w:r>
      <w:r>
        <w:rPr>
          <w:rFonts w:eastAsia="Times New Roman"/>
        </w:rPr>
        <w:t>е</w:t>
      </w:r>
      <w:r>
        <w:rPr>
          <w:rFonts w:eastAsia="Times New Roman"/>
        </w:rPr>
        <w:t xml:space="preserve">дерации и уставом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 xml:space="preserve"> определены перечни решений, которые принимаются исключительно Общим собранием акционеров, и решений, которые принимаются Наблюд</w:t>
      </w:r>
      <w:r>
        <w:rPr>
          <w:rFonts w:eastAsia="Times New Roman"/>
        </w:rPr>
        <w:t>а</w:t>
      </w:r>
      <w:r>
        <w:rPr>
          <w:rFonts w:eastAsia="Times New Roman"/>
        </w:rPr>
        <w:t xml:space="preserve">тельным советом. 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Банк имеет исключительное право использования своего фирме</w:t>
      </w:r>
      <w:r>
        <w:rPr>
          <w:rFonts w:eastAsia="Times New Roman"/>
        </w:rPr>
        <w:t>н</w:t>
      </w:r>
      <w:r>
        <w:rPr>
          <w:rFonts w:eastAsia="Times New Roman"/>
        </w:rPr>
        <w:t>ного и сокращенного наименования. Банк имеет круглую печать со св</w:t>
      </w:r>
      <w:r>
        <w:rPr>
          <w:rFonts w:eastAsia="Times New Roman"/>
        </w:rPr>
        <w:t>о</w:t>
      </w:r>
      <w:r>
        <w:rPr>
          <w:rFonts w:eastAsia="Times New Roman"/>
        </w:rPr>
        <w:t>им фирменным (полным официальным) наименованием на русском яз</w:t>
      </w:r>
      <w:r>
        <w:rPr>
          <w:rFonts w:eastAsia="Times New Roman"/>
        </w:rPr>
        <w:t>ы</w:t>
      </w:r>
      <w:r>
        <w:rPr>
          <w:rFonts w:eastAsia="Times New Roman"/>
        </w:rPr>
        <w:t>ке и указанием местонахождения, штампы, бланки со своим наименов</w:t>
      </w:r>
      <w:r>
        <w:rPr>
          <w:rFonts w:eastAsia="Times New Roman"/>
        </w:rPr>
        <w:t>а</w:t>
      </w:r>
      <w:r>
        <w:rPr>
          <w:rFonts w:eastAsia="Times New Roman"/>
        </w:rPr>
        <w:t>нием, собственную эмблему и другие средства визуальной идентифик</w:t>
      </w:r>
      <w:r>
        <w:rPr>
          <w:rFonts w:eastAsia="Times New Roman"/>
        </w:rPr>
        <w:t>а</w:t>
      </w:r>
      <w:r>
        <w:rPr>
          <w:rFonts w:eastAsia="Times New Roman"/>
        </w:rPr>
        <w:t>ции. Банк входит в банковскую систему Российской Федерации и в св</w:t>
      </w:r>
      <w:r>
        <w:rPr>
          <w:rFonts w:eastAsia="Times New Roman"/>
        </w:rPr>
        <w:t>о</w:t>
      </w:r>
      <w:r>
        <w:rPr>
          <w:rFonts w:eastAsia="Times New Roman"/>
        </w:rPr>
        <w:t>ей деятельности руководствуется законодательством Российской Фед</w:t>
      </w:r>
      <w:r>
        <w:rPr>
          <w:rFonts w:eastAsia="Times New Roman"/>
        </w:rPr>
        <w:t>е</w:t>
      </w:r>
      <w:r>
        <w:rPr>
          <w:rFonts w:eastAsia="Times New Roman"/>
        </w:rPr>
        <w:t>рации, нормативными актами Банк</w:t>
      </w:r>
      <w:r w:rsidR="00160230">
        <w:rPr>
          <w:rFonts w:eastAsia="Times New Roman"/>
        </w:rPr>
        <w:t xml:space="preserve">а России, а также Уставом </w:t>
      </w:r>
      <w:r>
        <w:rPr>
          <w:rFonts w:eastAsia="Times New Roman"/>
        </w:rPr>
        <w:t xml:space="preserve">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».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Банк является юридическим лицом, имеет в собственности об</w:t>
      </w:r>
      <w:r>
        <w:rPr>
          <w:rFonts w:eastAsia="Times New Roman"/>
        </w:rPr>
        <w:t>о</w:t>
      </w:r>
      <w:r>
        <w:rPr>
          <w:rFonts w:eastAsia="Times New Roman"/>
        </w:rPr>
        <w:t>собленное имущество, учитываемое на самостоятельном балансе, отв</w:t>
      </w:r>
      <w:r>
        <w:rPr>
          <w:rFonts w:eastAsia="Times New Roman"/>
        </w:rPr>
        <w:t>е</w:t>
      </w:r>
      <w:r>
        <w:rPr>
          <w:rFonts w:eastAsia="Times New Roman"/>
        </w:rPr>
        <w:t>чает по своим обязательствам всем своим имуществом, на которое м</w:t>
      </w:r>
      <w:r>
        <w:rPr>
          <w:rFonts w:eastAsia="Times New Roman"/>
        </w:rPr>
        <w:t>о</w:t>
      </w:r>
      <w:r>
        <w:rPr>
          <w:rFonts w:eastAsia="Times New Roman"/>
        </w:rPr>
        <w:t>жет быть обращено взыскание, может от своего имени приобретать и осуществлять имуществе</w:t>
      </w:r>
      <w:r>
        <w:rPr>
          <w:rFonts w:eastAsia="Times New Roman"/>
        </w:rPr>
        <w:t>н</w:t>
      </w:r>
      <w:r>
        <w:rPr>
          <w:rFonts w:eastAsia="Times New Roman"/>
        </w:rPr>
        <w:t>ные и личные неимущественные права, нести обязанности, быть истцом и о</w:t>
      </w:r>
      <w:r>
        <w:rPr>
          <w:rFonts w:eastAsia="Times New Roman"/>
        </w:rPr>
        <w:t>т</w:t>
      </w:r>
      <w:r>
        <w:rPr>
          <w:rFonts w:eastAsia="Times New Roman"/>
        </w:rPr>
        <w:t>ветчиком в суде.</w:t>
      </w:r>
    </w:p>
    <w:p w:rsidR="0009764A" w:rsidRDefault="000B201C" w:rsidP="0009764A">
      <w:pPr>
        <w:ind w:firstLine="709"/>
        <w:rPr>
          <w:rFonts w:eastAsia="Times New Roman"/>
        </w:rPr>
      </w:pPr>
      <w:r>
        <w:rPr>
          <w:rFonts w:eastAsia="Times New Roman"/>
        </w:rPr>
        <w:t>Акционерами Банка могут быть юридические и (или) физические лица. Акционеры Банка не отвечают по обязательствам Банка и несут риск убытков, связанных с его деятельностью, в пределах стоимости принадлежащих им акций. Банк не отвечает по обязательствам своих а</w:t>
      </w:r>
      <w:r>
        <w:rPr>
          <w:rFonts w:eastAsia="Times New Roman"/>
        </w:rPr>
        <w:t>к</w:t>
      </w:r>
      <w:r>
        <w:rPr>
          <w:rFonts w:eastAsia="Times New Roman"/>
        </w:rPr>
        <w:t>ционеров.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Банк вправе в установленном законодательством порядке: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1) открывать корреспондентские счета в иных кредитных орган</w:t>
      </w:r>
      <w:r>
        <w:rPr>
          <w:rFonts w:eastAsia="Times New Roman"/>
        </w:rPr>
        <w:t>и</w:t>
      </w:r>
      <w:r>
        <w:rPr>
          <w:rFonts w:eastAsia="Times New Roman"/>
        </w:rPr>
        <w:t>зациях в целях осуществления своей деятельности;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2) открывать филиалы и представительства на территории Росси</w:t>
      </w:r>
      <w:r>
        <w:rPr>
          <w:rFonts w:eastAsia="Times New Roman"/>
        </w:rPr>
        <w:t>й</w:t>
      </w:r>
      <w:r>
        <w:rPr>
          <w:rFonts w:eastAsia="Times New Roman"/>
        </w:rPr>
        <w:t>ской Федерации и за рубежом и наделять их правами в пределах уставных положений Банка без наделения их правами юридического лица;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3) самостоятельно или совместно с другими юридическими и физич</w:t>
      </w:r>
      <w:r>
        <w:rPr>
          <w:rFonts w:eastAsia="Times New Roman"/>
        </w:rPr>
        <w:t>е</w:t>
      </w:r>
      <w:r>
        <w:rPr>
          <w:rFonts w:eastAsia="Times New Roman"/>
        </w:rPr>
        <w:t>скими лицами, иностранными и международными организациями учас</w:t>
      </w:r>
      <w:r>
        <w:rPr>
          <w:rFonts w:eastAsia="Times New Roman"/>
        </w:rPr>
        <w:t>т</w:t>
      </w:r>
      <w:r>
        <w:rPr>
          <w:rFonts w:eastAsia="Times New Roman"/>
        </w:rPr>
        <w:t>вовать в деятельности иных юридических лиц и их объединений в Ро</w:t>
      </w:r>
      <w:r>
        <w:rPr>
          <w:rFonts w:eastAsia="Times New Roman"/>
        </w:rPr>
        <w:t>с</w:t>
      </w:r>
      <w:r>
        <w:rPr>
          <w:rFonts w:eastAsia="Times New Roman"/>
        </w:rPr>
        <w:t xml:space="preserve">сийской Федерации и за ее пределами в соответствии с действующим </w:t>
      </w:r>
      <w:r>
        <w:rPr>
          <w:rFonts w:eastAsia="Times New Roman"/>
        </w:rPr>
        <w:lastRenderedPageBreak/>
        <w:t>законодательством Российской Федерации и соответствующего ин</w:t>
      </w:r>
      <w:r>
        <w:rPr>
          <w:rFonts w:eastAsia="Times New Roman"/>
        </w:rPr>
        <w:t>о</w:t>
      </w:r>
      <w:r>
        <w:rPr>
          <w:rFonts w:eastAsia="Times New Roman"/>
        </w:rPr>
        <w:t>странного государства;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4) создавать службу безопасности Банка;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5) осуществлять внешнеэкономическую деятельность, участвовать в деятельности и сотрудничать в иной форме с международными орган</w:t>
      </w:r>
      <w:r>
        <w:rPr>
          <w:rFonts w:eastAsia="Times New Roman"/>
        </w:rPr>
        <w:t>и</w:t>
      </w:r>
      <w:r>
        <w:rPr>
          <w:rFonts w:eastAsia="Times New Roman"/>
        </w:rPr>
        <w:t>зациями;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6) издавать локальные (внутренние) акты, регламентирующие деятел</w:t>
      </w:r>
      <w:r>
        <w:rPr>
          <w:rFonts w:eastAsia="Times New Roman"/>
        </w:rPr>
        <w:t>ь</w:t>
      </w:r>
      <w:r>
        <w:rPr>
          <w:rFonts w:eastAsia="Times New Roman"/>
        </w:rPr>
        <w:t>ность Банка;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7) самостоятельно устанавливать форму, систему и порядок оплаты тр</w:t>
      </w:r>
      <w:r>
        <w:rPr>
          <w:rFonts w:eastAsia="Times New Roman"/>
        </w:rPr>
        <w:t>у</w:t>
      </w:r>
      <w:r>
        <w:rPr>
          <w:rFonts w:eastAsia="Times New Roman"/>
        </w:rPr>
        <w:t>да сотрудников Банка;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8) создавать учебное подразделение Банка.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Банк, помимо перечисленных выше банковских операций, вправе ос</w:t>
      </w:r>
      <w:r>
        <w:rPr>
          <w:rFonts w:eastAsia="Times New Roman"/>
        </w:rPr>
        <w:t>у</w:t>
      </w:r>
      <w:r>
        <w:rPr>
          <w:rFonts w:eastAsia="Times New Roman"/>
        </w:rPr>
        <w:t>ществлять следующие сделки: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1) выдавать поручительства за третьих лиц, предусматривающих испо</w:t>
      </w:r>
      <w:r>
        <w:rPr>
          <w:rFonts w:eastAsia="Times New Roman"/>
        </w:rPr>
        <w:t>л</w:t>
      </w:r>
      <w:r>
        <w:rPr>
          <w:rFonts w:eastAsia="Times New Roman"/>
        </w:rPr>
        <w:t>нение обязательств в денежной форме;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2) приобретать права требования от третьих лиц исполнения обяз</w:t>
      </w:r>
      <w:r>
        <w:rPr>
          <w:rFonts w:eastAsia="Times New Roman"/>
        </w:rPr>
        <w:t>а</w:t>
      </w:r>
      <w:r>
        <w:rPr>
          <w:rFonts w:eastAsia="Times New Roman"/>
        </w:rPr>
        <w:t>тельств в денежной форме;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3) осуществлять доверительное управление денежными средствами и иным имуществом по договору с физическими и юридическими лицами;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4) осуществлять операции с драгоценными металлами и драгоце</w:t>
      </w:r>
      <w:r>
        <w:rPr>
          <w:rFonts w:eastAsia="Times New Roman"/>
        </w:rPr>
        <w:t>н</w:t>
      </w:r>
      <w:r>
        <w:rPr>
          <w:rFonts w:eastAsia="Times New Roman"/>
        </w:rPr>
        <w:t>ными камнями в соответствии с законодательством Российской Федер</w:t>
      </w:r>
      <w:r>
        <w:rPr>
          <w:rFonts w:eastAsia="Times New Roman"/>
        </w:rPr>
        <w:t>а</w:t>
      </w:r>
      <w:r>
        <w:rPr>
          <w:rFonts w:eastAsia="Times New Roman"/>
        </w:rPr>
        <w:t>ции;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5) предоставлять в аренду физическим и юридическим лицам специал</w:t>
      </w:r>
      <w:r>
        <w:rPr>
          <w:rFonts w:eastAsia="Times New Roman"/>
        </w:rPr>
        <w:t>ь</w:t>
      </w:r>
      <w:r>
        <w:rPr>
          <w:rFonts w:eastAsia="Times New Roman"/>
        </w:rPr>
        <w:t>ные помещения или находящиеся консультационные и информ</w:t>
      </w:r>
      <w:r>
        <w:rPr>
          <w:rFonts w:eastAsia="Times New Roman"/>
        </w:rPr>
        <w:t>а</w:t>
      </w:r>
      <w:r>
        <w:rPr>
          <w:rFonts w:eastAsia="Times New Roman"/>
        </w:rPr>
        <w:t>ционные услуги.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6) лизинговые операции;</w:t>
      </w:r>
    </w:p>
    <w:p w:rsidR="00325A1C" w:rsidRDefault="000B201C" w:rsidP="00645B78">
      <w:pPr>
        <w:rPr>
          <w:rFonts w:eastAsia="Times New Roman"/>
        </w:rPr>
      </w:pPr>
      <w:r>
        <w:rPr>
          <w:rFonts w:eastAsia="Times New Roman"/>
        </w:rPr>
        <w:t>7) оказывать консультационные и информационные услуги.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В соответствии с лицензией Банка России на осуществление ба</w:t>
      </w:r>
      <w:r>
        <w:rPr>
          <w:rFonts w:eastAsia="Times New Roman"/>
        </w:rPr>
        <w:t>н</w:t>
      </w:r>
      <w:r>
        <w:rPr>
          <w:rFonts w:eastAsia="Times New Roman"/>
        </w:rPr>
        <w:t>ковских операций Банк вправе осуществлять в них сейфы для хранения док</w:t>
      </w:r>
      <w:r>
        <w:rPr>
          <w:rFonts w:eastAsia="Times New Roman"/>
        </w:rPr>
        <w:t>у</w:t>
      </w:r>
      <w:r>
        <w:rPr>
          <w:rFonts w:eastAsia="Times New Roman"/>
        </w:rPr>
        <w:t>ментов и ценностей;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25A1C" w:rsidRDefault="00325A1C">
      <w:pPr>
        <w:ind w:firstLine="709"/>
        <w:rPr>
          <w:rFonts w:eastAsia="Times New Roman"/>
        </w:rPr>
      </w:pPr>
    </w:p>
    <w:p w:rsidR="000B201C" w:rsidRDefault="000B201C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9B4A8A" w:rsidRDefault="000B201C" w:rsidP="0009764A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 xml:space="preserve">3 </w:t>
      </w:r>
      <w:r w:rsidR="00F50471">
        <w:rPr>
          <w:rFonts w:eastAsia="Times New Roman"/>
        </w:rPr>
        <w:t xml:space="preserve"> </w:t>
      </w:r>
      <w:r w:rsidR="00645B78">
        <w:rPr>
          <w:rFonts w:eastAsia="Times New Roman"/>
        </w:rPr>
        <w:t>Бухгалтерская отчетность и показатели финансовой деятельн</w:t>
      </w:r>
      <w:r w:rsidR="00645B78">
        <w:rPr>
          <w:rFonts w:eastAsia="Times New Roman"/>
        </w:rPr>
        <w:t>о</w:t>
      </w:r>
      <w:r w:rsidR="00645B78">
        <w:rPr>
          <w:rFonts w:eastAsia="Times New Roman"/>
        </w:rPr>
        <w:t>сти АО «Альфа–Банк»</w:t>
      </w:r>
    </w:p>
    <w:p w:rsidR="00645B78" w:rsidRDefault="00645B78" w:rsidP="0009764A">
      <w:pPr>
        <w:ind w:firstLine="709"/>
        <w:rPr>
          <w:rFonts w:eastAsia="Times New Roman"/>
        </w:rPr>
      </w:pPr>
    </w:p>
    <w:p w:rsidR="00645B78" w:rsidRDefault="009B4A8A" w:rsidP="00645B78">
      <w:pPr>
        <w:ind w:firstLine="709"/>
      </w:pPr>
      <w:r>
        <w:rPr>
          <w:rFonts w:eastAsia="Times New Roman"/>
        </w:rPr>
        <w:t xml:space="preserve"> </w:t>
      </w:r>
      <w:r w:rsidR="00645B78">
        <w:t>Полное фирменное наименование Банка: АКЦИОНЕРНОЕ О</w:t>
      </w:r>
      <w:r w:rsidR="00645B78">
        <w:t>Б</w:t>
      </w:r>
      <w:r w:rsidR="00645B78">
        <w:t xml:space="preserve">ЩЕСТВО «АЛЬФА–БАНК». </w:t>
      </w:r>
    </w:p>
    <w:p w:rsidR="00645B78" w:rsidRDefault="00645B78" w:rsidP="00645B78">
      <w:pPr>
        <w:ind w:firstLine="709"/>
      </w:pPr>
      <w:r>
        <w:t xml:space="preserve">Сокращенное фирменное наименование Банка: АО «АЛЬФА–БАНК». </w:t>
      </w:r>
    </w:p>
    <w:p w:rsidR="00645B78" w:rsidRDefault="00645B78" w:rsidP="00645B78">
      <w:pPr>
        <w:ind w:firstLine="709"/>
      </w:pPr>
      <w:r>
        <w:t>Юридический адрес: 107078, г. Москва, ул. Каланчевская, д.27</w:t>
      </w:r>
    </w:p>
    <w:p w:rsidR="00645B78" w:rsidRDefault="00645B78" w:rsidP="00645B78">
      <w:pPr>
        <w:ind w:firstLine="709"/>
      </w:pPr>
      <w:r>
        <w:t>Промежуточная бухгалтерская (финансовая) отчетность АО «АЛЬФА–БАНК» включает: бухгалтерский баланс; отчет о финансовых результатах; отчет об уровне достаточности капитала для покрытия ри</w:t>
      </w:r>
      <w:r>
        <w:t>с</w:t>
      </w:r>
      <w:r>
        <w:t>ков; отчет об изменениях в капитале; сведения об обязательных норм</w:t>
      </w:r>
      <w:r>
        <w:t>а</w:t>
      </w:r>
      <w:r>
        <w:t>тивах, показателе финансового рычага и нормативе краткосрочной ли</w:t>
      </w:r>
      <w:r>
        <w:t>к</w:t>
      </w:r>
      <w:r>
        <w:t>видности; отчет о движении денежных средств и пояснительную и</w:t>
      </w:r>
      <w:r>
        <w:t>н</w:t>
      </w:r>
      <w:r>
        <w:t xml:space="preserve">формацию. </w:t>
      </w:r>
    </w:p>
    <w:p w:rsidR="000B201C" w:rsidRPr="00645B78" w:rsidRDefault="00645B78" w:rsidP="00645B78">
      <w:pPr>
        <w:ind w:firstLine="709"/>
      </w:pPr>
      <w:r>
        <w:t>В первом полугодии 2018 года банковский сектор оперировал в условиях восстанавливающийся экономической активности, что отраз</w:t>
      </w:r>
      <w:r>
        <w:t>и</w:t>
      </w:r>
      <w:r>
        <w:t>лось в устойчивом росте сегмента потребительского кредитования. По данным Росстата по итогам 2017 года ВВП вырос на 1,5%, в 1 квартале 2018 года на 1,3%. По предварительной оценке Министерства эконом</w:t>
      </w:r>
      <w:r>
        <w:t>и</w:t>
      </w:r>
      <w:r>
        <w:t>ческого развития, рост ВВП во 2 квартале 2018 года составил 1,8% и 1,7% за 1 полугодие 2018 года. Рост экономики отражает довольно сил</w:t>
      </w:r>
      <w:r>
        <w:t>ь</w:t>
      </w:r>
      <w:r>
        <w:t>ную дин</w:t>
      </w:r>
      <w:r>
        <w:t>а</w:t>
      </w:r>
      <w:r>
        <w:t>мику потребления: оно выросло на 3,4% по итогам 2017 года и на 2,7% в 1 квартале 2018 года. Несмотря на то, что цены на нефть пр</w:t>
      </w:r>
      <w:r>
        <w:t>о</w:t>
      </w:r>
      <w:r>
        <w:t>должают расти и по итогам 1 полугодия этого года составляли в среднем уже 71 $/баррель, Россия продолжает оперировать в условиях ужесточ</w:t>
      </w:r>
      <w:r>
        <w:t>е</w:t>
      </w:r>
      <w:r>
        <w:t>ния санкционного давления, что создает неопределенность для бизнес–условий в последующие годы. За 2017 год Банк России добился знач</w:t>
      </w:r>
      <w:r>
        <w:t>и</w:t>
      </w:r>
      <w:r>
        <w:t xml:space="preserve">тельных успехов в снижении инфляции, которая по итогам 2017 года снизилась с 5,4% до 2,5% и на июль 2018 года составляет 2,3%. Кроме </w:t>
      </w:r>
      <w:r>
        <w:lastRenderedPageBreak/>
        <w:t>того, ключевая ставка была снижена за 2017 год с 10,00% до 7,75% и за 1 полугодие 2018 года еще два раза: 9 февраля 2018 года – до 7,50% и 23 марта 2018 года – до 7,25%. Однако в связи с геополитической напр</w:t>
      </w:r>
      <w:r>
        <w:t>я</w:t>
      </w:r>
      <w:r>
        <w:t>женностью вокруг Ро</w:t>
      </w:r>
      <w:r>
        <w:t>с</w:t>
      </w:r>
      <w:r>
        <w:t>сии и сохранением в связи с этим высокой премии за риск, а также роста инфляционных рисков, регулятор вынужден пр</w:t>
      </w:r>
      <w:r>
        <w:t>и</w:t>
      </w:r>
      <w:r>
        <w:t>держиваться осторо</w:t>
      </w:r>
      <w:r>
        <w:t>ж</w:t>
      </w:r>
      <w:r>
        <w:t>ного подхода к понижению ставки. Позитивным моментом для России является сохранение макроэкономической ст</w:t>
      </w:r>
      <w:r>
        <w:t>а</w:t>
      </w:r>
      <w:r>
        <w:t>бильности. Государственный долг составляет всего 13% ВВП, в том числе внешний около 3% ВВП. Важным событием начала 2018 года стал пересмотр суверенного рейтинга РФ агентством Standard &amp; Poor’s до инвестиционного уровня (BBB–), тем самым обеспечивая привлекател</w:t>
      </w:r>
      <w:r>
        <w:t>ь</w:t>
      </w:r>
      <w:r>
        <w:t>ность российских фина</w:t>
      </w:r>
      <w:r>
        <w:t>н</w:t>
      </w:r>
      <w:r>
        <w:t>совых рынков для инвесторов. Однако в целом, финансовые рынки о</w:t>
      </w:r>
      <w:r>
        <w:t>с</w:t>
      </w:r>
      <w:r>
        <w:t>таются волатильными и характеризуются частыми существенными колебаниями цен и увеличившимися торговыми спр</w:t>
      </w:r>
      <w:r>
        <w:t>э</w:t>
      </w:r>
      <w:r>
        <w:t>дами, что представл</w:t>
      </w:r>
      <w:r>
        <w:t>я</w:t>
      </w:r>
      <w:r>
        <w:t>ет собой фактор нервозности в банковском секторе. Санация Банком России нескольких крупных частных банков через н</w:t>
      </w:r>
      <w:r>
        <w:t>о</w:t>
      </w:r>
      <w:r>
        <w:t>вый Фонд консолидации банковского сектора стал дополнительным в</w:t>
      </w:r>
      <w:r>
        <w:t>ы</w:t>
      </w:r>
      <w:r>
        <w:t>зовом для участников банковского рынка: хотя в долгосрочной перспе</w:t>
      </w:r>
      <w:r>
        <w:t>к</w:t>
      </w:r>
      <w:r>
        <w:t>тиве процесс консолидации сектора является здоровым, пока основными бенефициарами этого процесса выглядят государственные игроки, н</w:t>
      </w:r>
      <w:r>
        <w:t>а</w:t>
      </w:r>
      <w:r>
        <w:t>ращивающие свою долю рынка. Банком предпринимаются все необх</w:t>
      </w:r>
      <w:r>
        <w:t>о</w:t>
      </w:r>
      <w:r>
        <w:t>димые меры для поддержки устойчивости бизнеса и его развития в сл</w:t>
      </w:r>
      <w:r>
        <w:t>о</w:t>
      </w:r>
      <w:r>
        <w:t>жившихся обсто</w:t>
      </w:r>
      <w:r>
        <w:t>я</w:t>
      </w:r>
      <w:r>
        <w:t>тельствах.</w:t>
      </w:r>
      <w:r>
        <w:rPr>
          <w:rFonts w:eastAsia="Times New Roman"/>
        </w:rPr>
        <w:br w:type="page"/>
      </w:r>
    </w:p>
    <w:p w:rsidR="00645B78" w:rsidRDefault="00645B78" w:rsidP="00645B78">
      <w:pPr>
        <w:ind w:firstLine="709"/>
        <w:rPr>
          <w:rFonts w:eastAsia="Times New Roman"/>
        </w:rPr>
      </w:pPr>
      <w:r>
        <w:rPr>
          <w:rFonts w:eastAsia="Times New Roman"/>
        </w:rPr>
        <w:lastRenderedPageBreak/>
        <w:t>4 Порядок налогообложения АО «Альфа–Банк»  доходов по оп</w:t>
      </w:r>
      <w:r>
        <w:rPr>
          <w:rFonts w:eastAsia="Times New Roman"/>
        </w:rPr>
        <w:t>е</w:t>
      </w:r>
      <w:r>
        <w:rPr>
          <w:rFonts w:eastAsia="Times New Roman"/>
        </w:rPr>
        <w:t>рациям ф</w:t>
      </w:r>
      <w:r>
        <w:rPr>
          <w:rFonts w:eastAsia="Times New Roman"/>
        </w:rPr>
        <w:t>и</w:t>
      </w:r>
      <w:r>
        <w:rPr>
          <w:rFonts w:eastAsia="Times New Roman"/>
        </w:rPr>
        <w:t>зических лиц с ценными бумагами</w:t>
      </w:r>
    </w:p>
    <w:p w:rsidR="00645B78" w:rsidRDefault="00645B78" w:rsidP="00645B78">
      <w:pPr>
        <w:ind w:firstLine="709"/>
        <w:rPr>
          <w:rFonts w:eastAsia="Times New Roman"/>
        </w:rPr>
      </w:pP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Альфа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>Банк уведомляет о применяемом Банком порядке налог</w:t>
      </w:r>
      <w:r w:rsidRPr="00645B78">
        <w:rPr>
          <w:rFonts w:eastAsia="Times New Roman"/>
        </w:rPr>
        <w:t>о</w:t>
      </w:r>
      <w:r w:rsidRPr="00645B78">
        <w:rPr>
          <w:rFonts w:eastAsia="Times New Roman"/>
        </w:rPr>
        <w:t>обложения доходов физических лиц п</w:t>
      </w:r>
      <w:r>
        <w:rPr>
          <w:rFonts w:eastAsia="Times New Roman"/>
        </w:rPr>
        <w:t>о операциям с ценными бумагами.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1. Законодательные акты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Банк производит налогообложение доходов физических лиц по операциям с ценными бумагами в соответствии с порядком, установле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ным Налоговым кодексом Российской Федерации. Особенности опред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ления налоговой базы, исчисления и уплаты налога на доходы по опер</w:t>
      </w:r>
      <w:r w:rsidRPr="00645B78">
        <w:rPr>
          <w:rFonts w:eastAsia="Times New Roman"/>
        </w:rPr>
        <w:t>а</w:t>
      </w:r>
      <w:r w:rsidRPr="00645B78">
        <w:rPr>
          <w:rFonts w:eastAsia="Times New Roman"/>
        </w:rPr>
        <w:t xml:space="preserve">циям с ценными бумагами определены </w:t>
      </w:r>
      <w:r>
        <w:rPr>
          <w:rFonts w:eastAsia="Times New Roman"/>
        </w:rPr>
        <w:t>в ст. 214.1 Налогового кодекса.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 xml:space="preserve">2. </w:t>
      </w:r>
      <w:r>
        <w:rPr>
          <w:rFonts w:eastAsia="Times New Roman"/>
        </w:rPr>
        <w:t xml:space="preserve"> </w:t>
      </w:r>
      <w:r w:rsidRPr="00645B78">
        <w:rPr>
          <w:rFonts w:eastAsia="Times New Roman"/>
        </w:rPr>
        <w:t>Исполнение Б</w:t>
      </w:r>
      <w:r>
        <w:rPr>
          <w:rFonts w:eastAsia="Times New Roman"/>
        </w:rPr>
        <w:t>анком функций налогового агента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Банк, как источник выплаты дохода физическим лицам во испо</w:t>
      </w:r>
      <w:r w:rsidRPr="00645B78">
        <w:rPr>
          <w:rFonts w:eastAsia="Times New Roman"/>
        </w:rPr>
        <w:t>л</w:t>
      </w:r>
      <w:r w:rsidRPr="00645B78">
        <w:rPr>
          <w:rFonts w:eastAsia="Times New Roman"/>
        </w:rPr>
        <w:t>нение Генеральных соглашений на комплексное обслуживание на ры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ках ценных бумаг, является налоговым агентом по операциям физич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ских лиц. В обязанности Банка входит определить налоговую базу, и</w:t>
      </w:r>
      <w:r w:rsidRPr="00645B78">
        <w:rPr>
          <w:rFonts w:eastAsia="Times New Roman"/>
        </w:rPr>
        <w:t>с</w:t>
      </w:r>
      <w:r w:rsidRPr="00645B78">
        <w:rPr>
          <w:rFonts w:eastAsia="Times New Roman"/>
        </w:rPr>
        <w:t>числить, удержать из денежных средств налогоплательщика и уплатить в бюджет налог на доходы физических лиц, полученных от совершения операций с ценными бумагами. Налогообложение доходов по операциям с ценн</w:t>
      </w:r>
      <w:r w:rsidRPr="00645B78">
        <w:rPr>
          <w:rFonts w:eastAsia="Times New Roman"/>
        </w:rPr>
        <w:t>ы</w:t>
      </w:r>
      <w:r w:rsidRPr="00645B78">
        <w:rPr>
          <w:rFonts w:eastAsia="Times New Roman"/>
        </w:rPr>
        <w:t xml:space="preserve">ми бумагами физических лиц 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 xml:space="preserve"> резидентов РФ производится по ставке </w:t>
      </w:r>
      <w:r>
        <w:rPr>
          <w:rFonts w:eastAsia="Times New Roman"/>
        </w:rPr>
        <w:t>13%, нерезидентов по ставке 30%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Налогоплательщику не предоставлено право выбора уплаты нал</w:t>
      </w:r>
      <w:r w:rsidRPr="00645B78">
        <w:rPr>
          <w:rFonts w:eastAsia="Times New Roman"/>
        </w:rPr>
        <w:t>о</w:t>
      </w:r>
      <w:r w:rsidRPr="00645B78">
        <w:rPr>
          <w:rFonts w:eastAsia="Times New Roman"/>
        </w:rPr>
        <w:t>га у источника выплаты дохода или самостоятельно, при пода</w:t>
      </w:r>
      <w:r>
        <w:rPr>
          <w:rFonts w:eastAsia="Times New Roman"/>
        </w:rPr>
        <w:t>че налог</w:t>
      </w:r>
      <w:r>
        <w:rPr>
          <w:rFonts w:eastAsia="Times New Roman"/>
        </w:rPr>
        <w:t>о</w:t>
      </w:r>
      <w:r>
        <w:rPr>
          <w:rFonts w:eastAsia="Times New Roman"/>
        </w:rPr>
        <w:t>вой декларации.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3. Доходы по операциям с ценными бумагами, не подлежащие налог</w:t>
      </w:r>
      <w:r w:rsidRPr="00645B78">
        <w:rPr>
          <w:rFonts w:eastAsia="Times New Roman"/>
        </w:rPr>
        <w:t>о</w:t>
      </w:r>
      <w:r>
        <w:rPr>
          <w:rFonts w:eastAsia="Times New Roman"/>
        </w:rPr>
        <w:t>обложению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Не облагаются налогом следующие доходы физических лиц по операци</w:t>
      </w:r>
      <w:r>
        <w:rPr>
          <w:rFonts w:eastAsia="Times New Roman"/>
        </w:rPr>
        <w:t>ям с ценными бумагами: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купонный доход по государственным процентным облигациям (ОФЗ) за время владения ценной бумагой физическим лицом;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– </w:t>
      </w:r>
      <w:r w:rsidRPr="00645B78">
        <w:rPr>
          <w:rFonts w:eastAsia="Times New Roman"/>
        </w:rPr>
        <w:t>купонный доход по процентным облигациям субъектов РФ и о</w:t>
      </w:r>
      <w:r w:rsidRPr="00645B78">
        <w:rPr>
          <w:rFonts w:eastAsia="Times New Roman"/>
        </w:rPr>
        <w:t>р</w:t>
      </w:r>
      <w:r w:rsidRPr="00645B78">
        <w:rPr>
          <w:rFonts w:eastAsia="Times New Roman"/>
        </w:rPr>
        <w:t>га</w:t>
      </w:r>
      <w:r>
        <w:rPr>
          <w:rFonts w:eastAsia="Times New Roman"/>
        </w:rPr>
        <w:t>нов местного самоуправления;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доход от погашения государственных дисконтных и процентных обл</w:t>
      </w:r>
      <w:r w:rsidRPr="00645B78">
        <w:rPr>
          <w:rFonts w:eastAsia="Times New Roman"/>
        </w:rPr>
        <w:t>и</w:t>
      </w:r>
      <w:r>
        <w:rPr>
          <w:rFonts w:eastAsia="Times New Roman"/>
        </w:rPr>
        <w:t>гаций 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Также Банк не удерживает налог с дивидендов по акциям, пер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числяемых по поручению эмитента акций, т.к. налог с дивидендов уде</w:t>
      </w:r>
      <w:r w:rsidRPr="00645B78">
        <w:rPr>
          <w:rFonts w:eastAsia="Times New Roman"/>
        </w:rPr>
        <w:t>р</w:t>
      </w:r>
      <w:r w:rsidRPr="00645B78">
        <w:rPr>
          <w:rFonts w:eastAsia="Times New Roman"/>
        </w:rPr>
        <w:t>живает</w:t>
      </w:r>
      <w:r>
        <w:rPr>
          <w:rFonts w:eastAsia="Times New Roman"/>
        </w:rPr>
        <w:t>ся самим эмитентом.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4. Налогооблагаемая база по операциям с ценными бумагами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Налогооблагаемая база по операциям купли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>продажи ценных б</w:t>
      </w:r>
      <w:r w:rsidRPr="00645B78">
        <w:rPr>
          <w:rFonts w:eastAsia="Times New Roman"/>
        </w:rPr>
        <w:t>у</w:t>
      </w:r>
      <w:r w:rsidRPr="00645B78">
        <w:rPr>
          <w:rFonts w:eastAsia="Times New Roman"/>
        </w:rPr>
        <w:t>маг определяется как разница между суммой дохода, полученного от реализации ценных бумаг, и суммой предоставляемого налогового в</w:t>
      </w:r>
      <w:r w:rsidRPr="00645B78">
        <w:rPr>
          <w:rFonts w:eastAsia="Times New Roman"/>
        </w:rPr>
        <w:t>ы</w:t>
      </w:r>
      <w:r w:rsidRPr="00645B78">
        <w:rPr>
          <w:rFonts w:eastAsia="Times New Roman"/>
        </w:rPr>
        <w:t>чета. Налогооблагаемая база уменьшается на сумму убытков, получе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ных по операциям, соверше</w:t>
      </w:r>
      <w:r>
        <w:rPr>
          <w:rFonts w:eastAsia="Times New Roman"/>
        </w:rPr>
        <w:t>нным в одном налоговом периоде.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При определении налоговой базы по доходам по операциям с це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ными бумагами и по операциям с финансовыми инструментами срочных сд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лок учитываются доходы, пол</w:t>
      </w:r>
      <w:r>
        <w:rPr>
          <w:rFonts w:eastAsia="Times New Roman"/>
        </w:rPr>
        <w:t>ученные по следующим операциям: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1) с ценными бумагами, обращающимися на орг</w:t>
      </w:r>
      <w:r>
        <w:rPr>
          <w:rFonts w:eastAsia="Times New Roman"/>
        </w:rPr>
        <w:t>анизованном рынке ценных бумаг;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2) с ценными бумагами, не обращающимися на орг</w:t>
      </w:r>
      <w:r>
        <w:rPr>
          <w:rFonts w:eastAsia="Times New Roman"/>
        </w:rPr>
        <w:t>анизованном рынке ценных бумаг;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3) с финансовыми инструментами срочных сделок, обращаю</w:t>
      </w:r>
      <w:r>
        <w:rPr>
          <w:rFonts w:eastAsia="Times New Roman"/>
        </w:rPr>
        <w:t>щ</w:t>
      </w:r>
      <w:r>
        <w:rPr>
          <w:rFonts w:eastAsia="Times New Roman"/>
        </w:rPr>
        <w:t>и</w:t>
      </w:r>
      <w:r>
        <w:rPr>
          <w:rFonts w:eastAsia="Times New Roman"/>
        </w:rPr>
        <w:t>мися на организованном рынке;</w:t>
      </w:r>
    </w:p>
    <w:p w:rsidR="00645B78" w:rsidRPr="00645B78" w:rsidRDefault="00645B78" w:rsidP="00645B78">
      <w:pPr>
        <w:rPr>
          <w:rFonts w:eastAsia="Times New Roman"/>
        </w:rPr>
      </w:pPr>
      <w:r w:rsidRPr="00645B78">
        <w:rPr>
          <w:rFonts w:eastAsia="Times New Roman"/>
        </w:rPr>
        <w:t>4) с финансовыми инструментами срочных сделок, не обраща</w:t>
      </w:r>
      <w:r w:rsidRPr="00645B78">
        <w:rPr>
          <w:rFonts w:eastAsia="Times New Roman"/>
        </w:rPr>
        <w:t>ю</w:t>
      </w:r>
      <w:r>
        <w:rPr>
          <w:rFonts w:eastAsia="Times New Roman"/>
        </w:rPr>
        <w:t>щимися на организованном рынке.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Определение налогооблагаемой базы и исчисление налога за т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кущий отчётный год производится Банком на ежедневной основе. Нал</w:t>
      </w:r>
      <w:r w:rsidRPr="00645B78">
        <w:rPr>
          <w:rFonts w:eastAsia="Times New Roman"/>
        </w:rPr>
        <w:t>о</w:t>
      </w:r>
      <w:r w:rsidRPr="00645B78">
        <w:rPr>
          <w:rFonts w:eastAsia="Times New Roman"/>
        </w:rPr>
        <w:t>говый отчет за текущий отчётный год с расчетами сумм доходов и ра</w:t>
      </w:r>
      <w:r w:rsidRPr="00645B78">
        <w:rPr>
          <w:rFonts w:eastAsia="Times New Roman"/>
        </w:rPr>
        <w:t>с</w:t>
      </w:r>
      <w:r w:rsidRPr="00645B78">
        <w:rPr>
          <w:rFonts w:eastAsia="Times New Roman"/>
        </w:rPr>
        <w:t>ходов, начисленной и удержанной суммы налога доступен клиентам системы «Альфа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 xml:space="preserve">Директ» в течение всего текущего года и отражает все операции текущего года. 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lastRenderedPageBreak/>
        <w:t>5. Налоговый вычет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В соответствии с НК РФ Альфа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>Банк предоставляет клиентам только налоговый вычет в виде совокупной суммы фактически произв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денных и документально подтвержденных расходов, связанных с прио</w:t>
      </w:r>
      <w:r w:rsidRPr="00645B78">
        <w:rPr>
          <w:rFonts w:eastAsia="Times New Roman"/>
        </w:rPr>
        <w:t>б</w:t>
      </w:r>
      <w:r w:rsidRPr="00645B78">
        <w:rPr>
          <w:rFonts w:eastAsia="Times New Roman"/>
        </w:rPr>
        <w:t>ретением, хранен</w:t>
      </w:r>
      <w:r>
        <w:rPr>
          <w:rFonts w:eastAsia="Times New Roman"/>
        </w:rPr>
        <w:t>ием и реализацией ценных бумаг.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В</w:t>
      </w:r>
      <w:r>
        <w:rPr>
          <w:rFonts w:eastAsia="Times New Roman"/>
        </w:rPr>
        <w:t xml:space="preserve"> качестве расходов принимаются: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Суммы, уплаченные з</w:t>
      </w:r>
      <w:r>
        <w:rPr>
          <w:rFonts w:eastAsia="Times New Roman"/>
        </w:rPr>
        <w:t>а ценные бумаги при их покупке;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Суммы комиссионного вознаграждения, уплаченные</w:t>
      </w:r>
      <w:r>
        <w:rPr>
          <w:rFonts w:eastAsia="Times New Roman"/>
        </w:rPr>
        <w:t xml:space="preserve"> </w:t>
      </w:r>
      <w:r w:rsidRPr="00645B78">
        <w:rPr>
          <w:rFonts w:eastAsia="Times New Roman"/>
        </w:rPr>
        <w:t>Банку за оказа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ные депозитарные услуги Банка и/или в качестве компенсации за у</w:t>
      </w:r>
      <w:r w:rsidRPr="00645B78">
        <w:rPr>
          <w:rFonts w:eastAsia="Times New Roman"/>
        </w:rPr>
        <w:t>с</w:t>
      </w:r>
      <w:r w:rsidRPr="00645B78">
        <w:rPr>
          <w:rFonts w:eastAsia="Times New Roman"/>
        </w:rPr>
        <w:t>луги расчетны</w:t>
      </w:r>
      <w:r>
        <w:rPr>
          <w:rFonts w:eastAsia="Times New Roman"/>
        </w:rPr>
        <w:t>х депозитариев торговых систем;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Суммы комиссионного вознаграждения, уплаченные Банку за оказа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ные брокерские услуги;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Биржевые сборы ( к</w:t>
      </w:r>
      <w:r>
        <w:rPr>
          <w:rFonts w:eastAsia="Times New Roman"/>
        </w:rPr>
        <w:t>омиссия торговых систем/бирж );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 xml:space="preserve">– </w:t>
      </w:r>
      <w:r w:rsidRPr="00645B78">
        <w:rPr>
          <w:rFonts w:eastAsia="Times New Roman"/>
        </w:rPr>
        <w:t>Другие расходы, непосредственно связанные с куплей, продажей и хранением ценны</w:t>
      </w:r>
      <w:r>
        <w:rPr>
          <w:rFonts w:eastAsia="Times New Roman"/>
        </w:rPr>
        <w:t>х бумаг, оплаченные через Банк.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Если расходы не могут быть непосредственно отнесены на умен</w:t>
      </w:r>
      <w:r w:rsidRPr="00645B78">
        <w:rPr>
          <w:rFonts w:eastAsia="Times New Roman"/>
        </w:rPr>
        <w:t>ь</w:t>
      </w:r>
      <w:r w:rsidRPr="00645B78">
        <w:rPr>
          <w:rFonts w:eastAsia="Times New Roman"/>
        </w:rPr>
        <w:t>шение дохода по сделкам с ценными бумагами соответствующего в</w:t>
      </w:r>
      <w:r w:rsidRPr="00645B78">
        <w:rPr>
          <w:rFonts w:eastAsia="Times New Roman"/>
        </w:rPr>
        <w:t>ы</w:t>
      </w:r>
      <w:r w:rsidRPr="00645B78">
        <w:rPr>
          <w:rFonts w:eastAsia="Times New Roman"/>
        </w:rPr>
        <w:t>пуска, например, расходы по фиксированным брокерским тарифам или по хранению ценных бумаг, то такие расходы относятся на сделки пр</w:t>
      </w:r>
      <w:r w:rsidRPr="00645B78">
        <w:rPr>
          <w:rFonts w:eastAsia="Times New Roman"/>
        </w:rPr>
        <w:t>о</w:t>
      </w:r>
      <w:r w:rsidRPr="00645B78">
        <w:rPr>
          <w:rFonts w:eastAsia="Times New Roman"/>
        </w:rPr>
        <w:t>порционально стоимостно</w:t>
      </w:r>
      <w:r>
        <w:rPr>
          <w:rFonts w:eastAsia="Times New Roman"/>
        </w:rPr>
        <w:t>й оценке бумаг на дату покупки.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В случае если физическое лицо реализует ценные бумаги, ранее приобретенные через Банк, вычеты в размере фактически произведе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ных расходов предоставляются Банком на основании собственных да</w:t>
      </w:r>
      <w:r w:rsidRPr="00645B78">
        <w:rPr>
          <w:rFonts w:eastAsia="Times New Roman"/>
        </w:rPr>
        <w:t>н</w:t>
      </w:r>
      <w:r w:rsidRPr="00645B78">
        <w:rPr>
          <w:rFonts w:eastAsia="Times New Roman"/>
        </w:rPr>
        <w:t>ных Банка о произведе</w:t>
      </w:r>
      <w:r>
        <w:rPr>
          <w:rFonts w:eastAsia="Times New Roman"/>
        </w:rPr>
        <w:t>нных физическим лицом расходах.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В случае если физическое лицо реализует ценные бумаги, ранее приобретенные не через Банк, вычеты в размере фактически произв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денных расходов предоставляются</w:t>
      </w:r>
      <w:r>
        <w:rPr>
          <w:rFonts w:eastAsia="Times New Roman"/>
        </w:rPr>
        <w:t xml:space="preserve"> Банком по заявлению клиента</w:t>
      </w:r>
      <w:r w:rsidRPr="00645B78">
        <w:rPr>
          <w:rFonts w:eastAsia="Times New Roman"/>
        </w:rPr>
        <w:t xml:space="preserve"> на о</w:t>
      </w:r>
      <w:r w:rsidRPr="00645B78">
        <w:rPr>
          <w:rFonts w:eastAsia="Times New Roman"/>
        </w:rPr>
        <w:t>с</w:t>
      </w:r>
      <w:r w:rsidRPr="00645B78">
        <w:rPr>
          <w:rFonts w:eastAsia="Times New Roman"/>
        </w:rPr>
        <w:t>новании документов, подтверждающих расходы.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>
        <w:rPr>
          <w:rFonts w:eastAsia="Times New Roman"/>
        </w:rPr>
        <w:t>Такими документами являются: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lastRenderedPageBreak/>
        <w:t>–</w:t>
      </w:r>
      <w:r w:rsidRPr="00645B78">
        <w:rPr>
          <w:rFonts w:eastAsia="Times New Roman"/>
        </w:rPr>
        <w:t xml:space="preserve"> договор купли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>продажи данных ценных бумаг и документ об их опл</w:t>
      </w:r>
      <w:r w:rsidRPr="00645B78">
        <w:rPr>
          <w:rFonts w:eastAsia="Times New Roman"/>
        </w:rPr>
        <w:t>а</w:t>
      </w:r>
      <w:r w:rsidRPr="00645B78">
        <w:rPr>
          <w:rFonts w:eastAsia="Times New Roman"/>
        </w:rPr>
        <w:t>те (приходно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>кассовый ордер, платежное поручение, расписки</w:t>
      </w:r>
      <w:r>
        <w:rPr>
          <w:rFonts w:eastAsia="Times New Roman"/>
        </w:rPr>
        <w:t xml:space="preserve"> в пол</w:t>
      </w:r>
      <w:r>
        <w:rPr>
          <w:rFonts w:eastAsia="Times New Roman"/>
        </w:rPr>
        <w:t>у</w:t>
      </w:r>
      <w:r>
        <w:rPr>
          <w:rFonts w:eastAsia="Times New Roman"/>
        </w:rPr>
        <w:t>чении денежных средств);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Pr="00645B78">
        <w:rPr>
          <w:rFonts w:eastAsia="Times New Roman"/>
        </w:rPr>
        <w:t xml:space="preserve"> отчет брокера о совершенных операциях (заверенный подписью и п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чатью брокера, через которого были ра</w:t>
      </w:r>
      <w:r>
        <w:rPr>
          <w:rFonts w:eastAsia="Times New Roman"/>
        </w:rPr>
        <w:t>нее приобретены ценные б</w:t>
      </w:r>
      <w:r>
        <w:rPr>
          <w:rFonts w:eastAsia="Times New Roman"/>
        </w:rPr>
        <w:t>у</w:t>
      </w:r>
      <w:r>
        <w:rPr>
          <w:rFonts w:eastAsia="Times New Roman"/>
        </w:rPr>
        <w:t>маги).</w:t>
      </w:r>
    </w:p>
    <w:p w:rsidR="00645B78" w:rsidRPr="00645B78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Pr="00645B78">
        <w:rPr>
          <w:rFonts w:eastAsia="Times New Roman"/>
        </w:rPr>
        <w:t xml:space="preserve"> другие документы, подтверждающие расходы по приобретению и хр</w:t>
      </w:r>
      <w:r w:rsidRPr="00645B78">
        <w:rPr>
          <w:rFonts w:eastAsia="Times New Roman"/>
        </w:rPr>
        <w:t>а</w:t>
      </w:r>
      <w:r>
        <w:rPr>
          <w:rFonts w:eastAsia="Times New Roman"/>
        </w:rPr>
        <w:t>нению ценных бумаг.</w:t>
      </w:r>
    </w:p>
    <w:p w:rsidR="00645B78" w:rsidRP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Указанные документы должны быть представлены физическим лицом в оригинале после подачи поручения на зачисление ценных бумаг на свои счета депо, подаваемым по системе «Альфа</w:t>
      </w:r>
      <w:r>
        <w:rPr>
          <w:rFonts w:eastAsia="Times New Roman"/>
        </w:rPr>
        <w:t>–</w:t>
      </w:r>
      <w:r w:rsidRPr="00645B78">
        <w:rPr>
          <w:rFonts w:eastAsia="Times New Roman"/>
        </w:rPr>
        <w:t>Директ».</w:t>
      </w:r>
    </w:p>
    <w:p w:rsidR="00645B78" w:rsidRDefault="00645B78" w:rsidP="00645B78">
      <w:pPr>
        <w:ind w:firstLine="709"/>
        <w:rPr>
          <w:rFonts w:eastAsia="Times New Roman"/>
        </w:rPr>
      </w:pPr>
      <w:r w:rsidRPr="00645B78">
        <w:rPr>
          <w:rFonts w:eastAsia="Times New Roman"/>
        </w:rPr>
        <w:t>В случае если документы, подтверждающие расходы по приобр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тению ценных бумаг, представлены клиентом после того, как Банк пр</w:t>
      </w:r>
      <w:r w:rsidRPr="00645B78">
        <w:rPr>
          <w:rFonts w:eastAsia="Times New Roman"/>
        </w:rPr>
        <w:t>о</w:t>
      </w:r>
      <w:r w:rsidRPr="00645B78">
        <w:rPr>
          <w:rFonts w:eastAsia="Times New Roman"/>
        </w:rPr>
        <w:t>извел удержание и уплату налога, расчет и удержание налога при посл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дующих выводах денежных средств производится с учетом указанных расходов, либо возврат налога производится по окончании налогового п</w:t>
      </w:r>
      <w:r w:rsidRPr="00645B78">
        <w:rPr>
          <w:rFonts w:eastAsia="Times New Roman"/>
        </w:rPr>
        <w:t>е</w:t>
      </w:r>
      <w:r w:rsidRPr="00645B78">
        <w:rPr>
          <w:rFonts w:eastAsia="Times New Roman"/>
        </w:rPr>
        <w:t>риода.</w:t>
      </w:r>
    </w:p>
    <w:p w:rsidR="00645B78" w:rsidRDefault="00645B78" w:rsidP="00645B78">
      <w:pPr>
        <w:ind w:firstLine="709"/>
        <w:rPr>
          <w:rFonts w:eastAsia="Times New Roman"/>
        </w:rPr>
      </w:pPr>
      <w:r>
        <w:rPr>
          <w:rFonts w:eastAsia="Times New Roman"/>
        </w:rPr>
        <w:br w:type="page"/>
      </w:r>
    </w:p>
    <w:p w:rsidR="00325A1C" w:rsidRDefault="000B201C">
      <w:pPr>
        <w:ind w:firstLine="709"/>
        <w:jc w:val="center"/>
        <w:rPr>
          <w:rFonts w:eastAsia="Times New Roman"/>
        </w:rPr>
      </w:pPr>
      <w:r>
        <w:rPr>
          <w:rFonts w:eastAsia="Times New Roman"/>
        </w:rPr>
        <w:lastRenderedPageBreak/>
        <w:t>ЗАКЛЮЧЕНИЕ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Банковское дело </w:t>
      </w:r>
      <w:r w:rsidR="0009764A">
        <w:rPr>
          <w:rFonts w:eastAsia="Times New Roman"/>
        </w:rPr>
        <w:t>—</w:t>
      </w:r>
      <w:r>
        <w:rPr>
          <w:rFonts w:eastAsia="Times New Roman"/>
        </w:rPr>
        <w:t xml:space="preserve"> профессия, которая сегодня имеет огромное значение. А значит, квалифицированные работники необходимы. Любая экономически развитая страна не в состоянии процветать без специал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стов, которые способны наладить этот механизм </w:t>
      </w:r>
      <w:r w:rsidR="0009764A">
        <w:rPr>
          <w:rFonts w:eastAsia="Times New Roman"/>
        </w:rPr>
        <w:t>—</w:t>
      </w:r>
      <w:r>
        <w:rPr>
          <w:rFonts w:eastAsia="Times New Roman"/>
        </w:rPr>
        <w:t xml:space="preserve"> осуществление д</w:t>
      </w:r>
      <w:r>
        <w:rPr>
          <w:rFonts w:eastAsia="Times New Roman"/>
        </w:rPr>
        <w:t>е</w:t>
      </w:r>
      <w:r>
        <w:rPr>
          <w:rFonts w:eastAsia="Times New Roman"/>
        </w:rPr>
        <w:t>нежных операций и внутри, и за пределами государства. Это целый ра</w:t>
      </w:r>
      <w:r>
        <w:rPr>
          <w:rFonts w:eastAsia="Times New Roman"/>
        </w:rPr>
        <w:t>з</w:t>
      </w:r>
      <w:r>
        <w:rPr>
          <w:rFonts w:eastAsia="Times New Roman"/>
        </w:rPr>
        <w:t>дел экономической науки, посвященный банковскому сектору и его с</w:t>
      </w:r>
      <w:r>
        <w:rPr>
          <w:rFonts w:eastAsia="Times New Roman"/>
        </w:rPr>
        <w:t>о</w:t>
      </w:r>
      <w:r>
        <w:rPr>
          <w:rFonts w:eastAsia="Times New Roman"/>
        </w:rPr>
        <w:t>временному функционированию. Банковское дело позволяет понять, как и для чего используется банковский сектор, как он развивается, орган</w:t>
      </w:r>
      <w:r>
        <w:rPr>
          <w:rFonts w:eastAsia="Times New Roman"/>
        </w:rPr>
        <w:t>и</w:t>
      </w:r>
      <w:r>
        <w:rPr>
          <w:rFonts w:eastAsia="Times New Roman"/>
        </w:rPr>
        <w:t>зуется, регулируется.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Суть банковского дела заключается в постепенном накоплении, надежном хранении, приумножении капиталов посредством управления активами и пассивами, оказания сберегательных, инвестиционных, кр</w:t>
      </w:r>
      <w:r>
        <w:rPr>
          <w:rFonts w:eastAsia="Times New Roman"/>
        </w:rPr>
        <w:t>е</w:t>
      </w:r>
      <w:r>
        <w:rPr>
          <w:rFonts w:eastAsia="Times New Roman"/>
        </w:rPr>
        <w:t>дитных услуг, а также операций по обмену валюты, по обращению це</w:t>
      </w:r>
      <w:r>
        <w:rPr>
          <w:rFonts w:eastAsia="Times New Roman"/>
        </w:rPr>
        <w:t>н</w:t>
      </w:r>
      <w:r>
        <w:rPr>
          <w:rFonts w:eastAsia="Times New Roman"/>
        </w:rPr>
        <w:t>ных бумаг, по безн</w:t>
      </w:r>
      <w:r>
        <w:rPr>
          <w:rFonts w:eastAsia="Times New Roman"/>
        </w:rPr>
        <w:t>а</w:t>
      </w:r>
      <w:r>
        <w:rPr>
          <w:rFonts w:eastAsia="Times New Roman"/>
        </w:rPr>
        <w:t>личному расчету.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Об</w:t>
      </w:r>
      <w:r w:rsidR="00645B78">
        <w:rPr>
          <w:rFonts w:eastAsia="Times New Roman"/>
        </w:rPr>
        <w:t>ъект производственной практики –</w:t>
      </w:r>
      <w:r>
        <w:rPr>
          <w:rFonts w:eastAsia="Times New Roman"/>
        </w:rPr>
        <w:t xml:space="preserve"> деятельность 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Пре</w:t>
      </w:r>
      <w:r w:rsidR="00645B78">
        <w:rPr>
          <w:rFonts w:eastAsia="Times New Roman"/>
        </w:rPr>
        <w:t>дмет производственной практики –</w:t>
      </w:r>
      <w:r>
        <w:rPr>
          <w:rFonts w:eastAsia="Times New Roman"/>
        </w:rPr>
        <w:t xml:space="preserve"> особенности функцион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рования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 xml:space="preserve"> в целом, а также его филиалов и отделов.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>Цель практики заключается в исследовании и анализе организац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онной структуры </w:t>
      </w:r>
      <w:r w:rsidR="00160230">
        <w:rPr>
          <w:rFonts w:eastAsia="Times New Roman"/>
        </w:rPr>
        <w:t>АО «Альфа</w:t>
      </w:r>
      <w:r w:rsidR="00172EAA">
        <w:rPr>
          <w:rFonts w:eastAsia="Times New Roman"/>
        </w:rPr>
        <w:t>–</w:t>
      </w:r>
      <w:r w:rsidR="00160230">
        <w:rPr>
          <w:rFonts w:eastAsia="Times New Roman"/>
        </w:rPr>
        <w:t>Банк»</w:t>
      </w:r>
      <w:r>
        <w:rPr>
          <w:rFonts w:eastAsia="Times New Roman"/>
        </w:rPr>
        <w:t>.</w:t>
      </w:r>
    </w:p>
    <w:p w:rsidR="00325A1C" w:rsidRDefault="000B201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В соответствии с данной целью будут решены следующие задачи: </w:t>
      </w:r>
    </w:p>
    <w:p w:rsidR="00325A1C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собрать общие сведения об истории создания и развития пре</w:t>
      </w:r>
      <w:r w:rsidR="000B201C">
        <w:rPr>
          <w:rFonts w:eastAsia="Times New Roman"/>
        </w:rPr>
        <w:t>д</w:t>
      </w:r>
      <w:r w:rsidR="000B201C">
        <w:rPr>
          <w:rFonts w:eastAsia="Times New Roman"/>
        </w:rPr>
        <w:t>приятия;</w:t>
      </w:r>
    </w:p>
    <w:p w:rsidR="00325A1C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изучить положения и нормативные документ организации;</w:t>
      </w:r>
    </w:p>
    <w:p w:rsidR="00160230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проанализировать структуру функционирования Банка;</w:t>
      </w:r>
    </w:p>
    <w:p w:rsidR="00160230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рассмотреть положения предприятия на отечественном и мировом рынках;</w:t>
      </w:r>
    </w:p>
    <w:p w:rsidR="009B4A8A" w:rsidRDefault="00645B78" w:rsidP="00645B78">
      <w:pPr>
        <w:rPr>
          <w:rFonts w:eastAsia="Times New Roman"/>
        </w:rPr>
      </w:pPr>
      <w:r>
        <w:rPr>
          <w:rFonts w:eastAsia="Times New Roman"/>
        </w:rPr>
        <w:t>–</w:t>
      </w:r>
      <w:r w:rsidR="000B201C">
        <w:rPr>
          <w:rFonts w:eastAsia="Times New Roman"/>
        </w:rPr>
        <w:t xml:space="preserve"> получить практические навыки работы в избранном отделе Ба</w:t>
      </w:r>
      <w:r w:rsidR="000B201C">
        <w:rPr>
          <w:rFonts w:eastAsia="Times New Roman"/>
        </w:rPr>
        <w:t>н</w:t>
      </w:r>
      <w:r w:rsidR="000B201C">
        <w:rPr>
          <w:rFonts w:eastAsia="Times New Roman"/>
        </w:rPr>
        <w:t xml:space="preserve">ка. </w:t>
      </w:r>
      <w:r w:rsidR="009B4A8A">
        <w:rPr>
          <w:rFonts w:eastAsia="Times New Roman"/>
        </w:rPr>
        <w:br w:type="page"/>
      </w:r>
    </w:p>
    <w:p w:rsidR="009B4A8A" w:rsidRDefault="009B4A8A" w:rsidP="009B4A8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СПИСОК ИСПОЛЬЗОВАННЫХ ИСТОЧНИКОВ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9B4A8A">
        <w:rPr>
          <w:color w:val="000000"/>
          <w:sz w:val="28"/>
          <w:szCs w:val="28"/>
        </w:rPr>
        <w:t>Банковское дело / под ред. О.И. Лаврушина М.: Финансы и стат</w:t>
      </w:r>
      <w:r w:rsidRPr="009B4A8A">
        <w:rPr>
          <w:color w:val="000000"/>
          <w:sz w:val="28"/>
          <w:szCs w:val="28"/>
        </w:rPr>
        <w:t>и</w:t>
      </w:r>
      <w:r w:rsidRPr="009B4A8A">
        <w:rPr>
          <w:color w:val="000000"/>
          <w:sz w:val="28"/>
          <w:szCs w:val="28"/>
        </w:rPr>
        <w:t>стика, 2005. 672 с.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2D2611">
        <w:rPr>
          <w:sz w:val="28"/>
          <w:szCs w:val="28"/>
        </w:rPr>
        <w:t xml:space="preserve">Максютов А.А. Основы банковского дела. </w:t>
      </w:r>
      <w:r w:rsidR="00172EAA">
        <w:rPr>
          <w:sz w:val="28"/>
          <w:szCs w:val="28"/>
        </w:rPr>
        <w:t>–</w:t>
      </w:r>
      <w:r w:rsidRPr="002D2611">
        <w:rPr>
          <w:sz w:val="28"/>
          <w:szCs w:val="28"/>
        </w:rPr>
        <w:t xml:space="preserve"> М.: Бератор</w:t>
      </w:r>
      <w:r w:rsidR="00172EAA">
        <w:rPr>
          <w:sz w:val="28"/>
          <w:szCs w:val="28"/>
        </w:rPr>
        <w:t>–</w:t>
      </w:r>
      <w:r w:rsidRPr="002D2611">
        <w:rPr>
          <w:sz w:val="28"/>
          <w:szCs w:val="28"/>
        </w:rPr>
        <w:t xml:space="preserve">Пресс, 2016. </w:t>
      </w:r>
      <w:r w:rsidR="00172EAA">
        <w:rPr>
          <w:sz w:val="28"/>
          <w:szCs w:val="28"/>
        </w:rPr>
        <w:t>–</w:t>
      </w:r>
      <w:r w:rsidRPr="002D2611">
        <w:rPr>
          <w:sz w:val="28"/>
          <w:szCs w:val="28"/>
        </w:rPr>
        <w:t xml:space="preserve"> 384с.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D07C5D">
        <w:rPr>
          <w:sz w:val="28"/>
          <w:szCs w:val="28"/>
        </w:rPr>
        <w:t xml:space="preserve">Устав Публичного акционерного общества </w:t>
      </w:r>
      <w:r w:rsidR="00160230">
        <w:rPr>
          <w:sz w:val="28"/>
          <w:szCs w:val="28"/>
        </w:rPr>
        <w:t>АО «АЛЬФА</w:t>
      </w:r>
      <w:r w:rsidR="00172EAA">
        <w:rPr>
          <w:sz w:val="28"/>
          <w:szCs w:val="28"/>
        </w:rPr>
        <w:t>–</w:t>
      </w:r>
      <w:r w:rsidR="00160230">
        <w:rPr>
          <w:sz w:val="28"/>
          <w:szCs w:val="28"/>
        </w:rPr>
        <w:t>БАНК»</w:t>
      </w:r>
      <w:r w:rsidRPr="00D07C5D">
        <w:rPr>
          <w:sz w:val="28"/>
          <w:szCs w:val="28"/>
        </w:rPr>
        <w:t>»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9B4A8A">
        <w:rPr>
          <w:sz w:val="28"/>
          <w:szCs w:val="28"/>
        </w:rPr>
        <w:t xml:space="preserve">Информация о принимаемых рисках, процедурах их оценки, управления рисками и капиталом </w:t>
      </w:r>
      <w:r w:rsidR="00160230">
        <w:rPr>
          <w:sz w:val="28"/>
          <w:szCs w:val="28"/>
        </w:rPr>
        <w:t>АО «АЛЬФА</w:t>
      </w:r>
      <w:r w:rsidR="00172EAA">
        <w:rPr>
          <w:sz w:val="28"/>
          <w:szCs w:val="28"/>
        </w:rPr>
        <w:t>–</w:t>
      </w:r>
      <w:r w:rsidR="00160230">
        <w:rPr>
          <w:sz w:val="28"/>
          <w:szCs w:val="28"/>
        </w:rPr>
        <w:t>БАНК»</w:t>
      </w:r>
      <w:r w:rsidRPr="009B4A8A">
        <w:rPr>
          <w:sz w:val="28"/>
          <w:szCs w:val="28"/>
        </w:rPr>
        <w:t xml:space="preserve"> за 2016 год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9B4A8A">
        <w:rPr>
          <w:color w:val="000000"/>
          <w:sz w:val="28"/>
          <w:szCs w:val="28"/>
        </w:rPr>
        <w:t>Гелета И.В., Калинская Е.С., Кофанов А.А. Экономика организ</w:t>
      </w:r>
      <w:r w:rsidRPr="009B4A8A">
        <w:rPr>
          <w:color w:val="000000"/>
          <w:sz w:val="28"/>
          <w:szCs w:val="28"/>
        </w:rPr>
        <w:t>а</w:t>
      </w:r>
      <w:r w:rsidRPr="009B4A8A">
        <w:rPr>
          <w:color w:val="000000"/>
          <w:sz w:val="28"/>
          <w:szCs w:val="28"/>
        </w:rPr>
        <w:t>ции (предприятия): уч. пос. – М.: Магистр, 2010. – 303с.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color w:val="000000"/>
          <w:sz w:val="27"/>
          <w:szCs w:val="27"/>
        </w:rPr>
      </w:pPr>
      <w:r w:rsidRPr="003901E2">
        <w:rPr>
          <w:sz w:val="28"/>
          <w:szCs w:val="28"/>
        </w:rPr>
        <w:t>Положение об Отделе оформления кредитных и залоговых опер</w:t>
      </w:r>
      <w:r w:rsidRPr="003901E2">
        <w:rPr>
          <w:sz w:val="28"/>
          <w:szCs w:val="28"/>
        </w:rPr>
        <w:t>а</w:t>
      </w:r>
      <w:r w:rsidRPr="003901E2">
        <w:rPr>
          <w:sz w:val="28"/>
          <w:szCs w:val="28"/>
        </w:rPr>
        <w:t>ций Управления кредитования корпоративных клиентов Открыт</w:t>
      </w:r>
      <w:r w:rsidR="00160230">
        <w:rPr>
          <w:sz w:val="28"/>
          <w:szCs w:val="28"/>
        </w:rPr>
        <w:t>ого а</w:t>
      </w:r>
      <w:r w:rsidR="00160230">
        <w:rPr>
          <w:sz w:val="28"/>
          <w:szCs w:val="28"/>
        </w:rPr>
        <w:t>к</w:t>
      </w:r>
      <w:r w:rsidR="00160230">
        <w:rPr>
          <w:sz w:val="28"/>
          <w:szCs w:val="28"/>
        </w:rPr>
        <w:t>ционерного общества АО «АЛЬФА</w:t>
      </w:r>
      <w:r w:rsidR="00172EAA">
        <w:rPr>
          <w:sz w:val="28"/>
          <w:szCs w:val="28"/>
        </w:rPr>
        <w:t>–</w:t>
      </w:r>
      <w:r w:rsidR="00160230">
        <w:rPr>
          <w:sz w:val="28"/>
          <w:szCs w:val="28"/>
        </w:rPr>
        <w:t>БАНК»</w:t>
      </w:r>
      <w:r w:rsidRPr="003901E2">
        <w:rPr>
          <w:sz w:val="28"/>
          <w:szCs w:val="28"/>
        </w:rPr>
        <w:t>»</w:t>
      </w:r>
      <w:r>
        <w:rPr>
          <w:color w:val="000000"/>
          <w:sz w:val="27"/>
          <w:szCs w:val="27"/>
        </w:rPr>
        <w:t xml:space="preserve"> </w:t>
      </w:r>
    </w:p>
    <w:p w:rsid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3901E2">
        <w:rPr>
          <w:sz w:val="28"/>
          <w:szCs w:val="28"/>
        </w:rPr>
        <w:t xml:space="preserve">Костерина Т.М. Банковское дело. </w:t>
      </w:r>
      <w:r w:rsidR="00172EAA">
        <w:rPr>
          <w:sz w:val="28"/>
          <w:szCs w:val="28"/>
        </w:rPr>
        <w:t>–</w:t>
      </w:r>
      <w:r w:rsidRPr="003901E2">
        <w:rPr>
          <w:sz w:val="28"/>
          <w:szCs w:val="28"/>
        </w:rPr>
        <w:t xml:space="preserve"> М.: Юрайт, 2016. </w:t>
      </w:r>
      <w:r w:rsidR="00172EAA">
        <w:rPr>
          <w:sz w:val="28"/>
          <w:szCs w:val="28"/>
        </w:rPr>
        <w:t>–</w:t>
      </w:r>
      <w:r w:rsidRPr="003901E2">
        <w:rPr>
          <w:sz w:val="28"/>
          <w:szCs w:val="28"/>
        </w:rPr>
        <w:t xml:space="preserve"> 332с.</w:t>
      </w:r>
    </w:p>
    <w:p w:rsidR="009B4A8A" w:rsidRP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color w:val="000000"/>
          <w:sz w:val="27"/>
          <w:szCs w:val="27"/>
        </w:rPr>
      </w:pPr>
      <w:r w:rsidRPr="00FF302B">
        <w:rPr>
          <w:sz w:val="28"/>
          <w:szCs w:val="28"/>
        </w:rPr>
        <w:t xml:space="preserve">Годовой отчёт </w:t>
      </w:r>
      <w:r w:rsidR="00160230">
        <w:rPr>
          <w:sz w:val="28"/>
          <w:szCs w:val="28"/>
        </w:rPr>
        <w:t>АО «АЛЬФА</w:t>
      </w:r>
      <w:r w:rsidR="00172EAA">
        <w:rPr>
          <w:sz w:val="28"/>
          <w:szCs w:val="28"/>
        </w:rPr>
        <w:t>–</w:t>
      </w:r>
      <w:r w:rsidR="00160230">
        <w:rPr>
          <w:sz w:val="28"/>
          <w:szCs w:val="28"/>
        </w:rPr>
        <w:t>БАНК»</w:t>
      </w:r>
      <w:r w:rsidRPr="00FF302B">
        <w:rPr>
          <w:sz w:val="28"/>
          <w:szCs w:val="28"/>
        </w:rPr>
        <w:t xml:space="preserve"> за 2016 финансовый год</w:t>
      </w:r>
    </w:p>
    <w:p w:rsidR="009B4A8A" w:rsidRPr="009B4A8A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color w:val="000000"/>
          <w:sz w:val="27"/>
          <w:szCs w:val="27"/>
        </w:rPr>
      </w:pPr>
      <w:r w:rsidRPr="009B4A8A">
        <w:rPr>
          <w:sz w:val="28"/>
          <w:szCs w:val="28"/>
        </w:rPr>
        <w:t xml:space="preserve">Жарковская Е.П. Банковское дело. </w:t>
      </w:r>
      <w:r w:rsidR="00172EAA">
        <w:rPr>
          <w:sz w:val="28"/>
          <w:szCs w:val="28"/>
        </w:rPr>
        <w:t>–</w:t>
      </w:r>
      <w:r w:rsidRPr="009B4A8A">
        <w:rPr>
          <w:sz w:val="28"/>
          <w:szCs w:val="28"/>
        </w:rPr>
        <w:t xml:space="preserve"> М.: Омега</w:t>
      </w:r>
      <w:r w:rsidR="00172EAA">
        <w:rPr>
          <w:sz w:val="28"/>
          <w:szCs w:val="28"/>
        </w:rPr>
        <w:t>–</w:t>
      </w:r>
      <w:r w:rsidRPr="009B4A8A">
        <w:rPr>
          <w:sz w:val="28"/>
          <w:szCs w:val="28"/>
        </w:rPr>
        <w:t xml:space="preserve">Л, 2015. </w:t>
      </w:r>
      <w:r w:rsidR="00172EAA">
        <w:rPr>
          <w:sz w:val="28"/>
          <w:szCs w:val="28"/>
        </w:rPr>
        <w:t>–</w:t>
      </w:r>
      <w:r w:rsidRPr="009B4A8A">
        <w:rPr>
          <w:sz w:val="28"/>
          <w:szCs w:val="28"/>
        </w:rPr>
        <w:t xml:space="preserve"> 476с.</w:t>
      </w:r>
    </w:p>
    <w:p w:rsidR="009B4A8A" w:rsidRPr="00160230" w:rsidRDefault="009B4A8A" w:rsidP="009B4A8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rPr>
          <w:color w:val="000000"/>
          <w:sz w:val="27"/>
          <w:szCs w:val="27"/>
        </w:rPr>
      </w:pPr>
      <w:r w:rsidRPr="009B4A8A">
        <w:rPr>
          <w:color w:val="000000"/>
          <w:sz w:val="28"/>
          <w:szCs w:val="28"/>
        </w:rPr>
        <w:t>Лутошкина Н.К. Банковская конкуренция и конкурентоспосо</w:t>
      </w:r>
      <w:r w:rsidRPr="009B4A8A">
        <w:rPr>
          <w:color w:val="000000"/>
          <w:sz w:val="28"/>
          <w:szCs w:val="28"/>
        </w:rPr>
        <w:t>б</w:t>
      </w:r>
      <w:r w:rsidRPr="009B4A8A">
        <w:rPr>
          <w:color w:val="000000"/>
          <w:sz w:val="28"/>
          <w:szCs w:val="28"/>
        </w:rPr>
        <w:t>ность: сущность, понятие, специ</w:t>
      </w:r>
      <w:r w:rsidR="00645B78">
        <w:rPr>
          <w:color w:val="000000"/>
          <w:sz w:val="28"/>
          <w:szCs w:val="28"/>
        </w:rPr>
        <w:t>фика. //Финансы и кредит. — 2016</w:t>
      </w:r>
      <w:r w:rsidRPr="009B4A8A">
        <w:rPr>
          <w:color w:val="000000"/>
          <w:sz w:val="28"/>
          <w:szCs w:val="28"/>
        </w:rPr>
        <w:t>. — № 46. — С. 50—53.</w:t>
      </w:r>
    </w:p>
    <w:p w:rsidR="009B4A8A" w:rsidRPr="009B4A8A" w:rsidRDefault="009B4A8A" w:rsidP="009B4A8A">
      <w:pPr>
        <w:pStyle w:val="a3"/>
        <w:rPr>
          <w:sz w:val="28"/>
          <w:szCs w:val="28"/>
        </w:rPr>
      </w:pPr>
    </w:p>
    <w:p w:rsidR="009B4A8A" w:rsidRDefault="009B4A8A" w:rsidP="009B4A8A">
      <w:pPr>
        <w:pStyle w:val="a3"/>
        <w:rPr>
          <w:sz w:val="28"/>
          <w:szCs w:val="28"/>
        </w:rPr>
      </w:pPr>
    </w:p>
    <w:p w:rsidR="009B4A8A" w:rsidRPr="00D07C5D" w:rsidRDefault="009B4A8A" w:rsidP="009B4A8A">
      <w:pPr>
        <w:pStyle w:val="a3"/>
        <w:rPr>
          <w:sz w:val="28"/>
          <w:szCs w:val="28"/>
        </w:rPr>
      </w:pPr>
    </w:p>
    <w:p w:rsidR="009B4A8A" w:rsidRPr="009B4A8A" w:rsidRDefault="009B4A8A" w:rsidP="009B4A8A">
      <w:pPr>
        <w:pStyle w:val="a3"/>
        <w:rPr>
          <w:color w:val="000000"/>
          <w:sz w:val="28"/>
          <w:szCs w:val="28"/>
        </w:rPr>
      </w:pPr>
    </w:p>
    <w:p w:rsidR="009B4A8A" w:rsidRPr="009B4A8A" w:rsidRDefault="009B4A8A" w:rsidP="009B4A8A">
      <w:pPr>
        <w:pStyle w:val="a3"/>
        <w:rPr>
          <w:color w:val="000000"/>
          <w:sz w:val="28"/>
          <w:szCs w:val="28"/>
        </w:rPr>
      </w:pPr>
    </w:p>
    <w:p w:rsidR="00325A1C" w:rsidRDefault="00325A1C">
      <w:pPr>
        <w:ind w:firstLine="709"/>
        <w:rPr>
          <w:rFonts w:eastAsia="Times New Roman"/>
        </w:rPr>
      </w:pPr>
    </w:p>
    <w:sectPr w:rsidR="00325A1C" w:rsidSect="009B4A8A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2B" w:rsidRDefault="00D9772B" w:rsidP="009B4A8A">
      <w:pPr>
        <w:spacing w:line="240" w:lineRule="auto"/>
      </w:pPr>
      <w:r>
        <w:separator/>
      </w:r>
    </w:p>
  </w:endnote>
  <w:endnote w:type="continuationSeparator" w:id="1">
    <w:p w:rsidR="00D9772B" w:rsidRDefault="00D9772B" w:rsidP="009B4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8092"/>
      <w:docPartObj>
        <w:docPartGallery w:val="Page Numbers (Bottom of Page)"/>
        <w:docPartUnique/>
      </w:docPartObj>
    </w:sdtPr>
    <w:sdtContent>
      <w:p w:rsidR="009B4A8A" w:rsidRDefault="00726725">
        <w:pPr>
          <w:pStyle w:val="a8"/>
          <w:jc w:val="center"/>
        </w:pPr>
        <w:fldSimple w:instr=" PAGE   \* MERGEFORMAT ">
          <w:r w:rsidR="00645B78">
            <w:rPr>
              <w:noProof/>
            </w:rPr>
            <w:t>8</w:t>
          </w:r>
        </w:fldSimple>
      </w:p>
    </w:sdtContent>
  </w:sdt>
  <w:p w:rsidR="009B4A8A" w:rsidRDefault="009B4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2B" w:rsidRDefault="00D9772B" w:rsidP="009B4A8A">
      <w:pPr>
        <w:spacing w:line="240" w:lineRule="auto"/>
      </w:pPr>
      <w:r>
        <w:separator/>
      </w:r>
    </w:p>
  </w:footnote>
  <w:footnote w:type="continuationSeparator" w:id="1">
    <w:p w:rsidR="00D9772B" w:rsidRDefault="00D9772B" w:rsidP="009B4A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15A5"/>
    <w:multiLevelType w:val="hybridMultilevel"/>
    <w:tmpl w:val="0AD6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20DC"/>
    <w:multiLevelType w:val="hybridMultilevel"/>
    <w:tmpl w:val="6840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17711"/>
    <w:multiLevelType w:val="hybridMultilevel"/>
    <w:tmpl w:val="89B2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5A1C"/>
    <w:rsid w:val="0009764A"/>
    <w:rsid w:val="000B201C"/>
    <w:rsid w:val="00160230"/>
    <w:rsid w:val="00172EAA"/>
    <w:rsid w:val="00286DAB"/>
    <w:rsid w:val="002E7573"/>
    <w:rsid w:val="00325A1C"/>
    <w:rsid w:val="00606BC7"/>
    <w:rsid w:val="00645B78"/>
    <w:rsid w:val="00726725"/>
    <w:rsid w:val="009B4A8A"/>
    <w:rsid w:val="00AF54D8"/>
    <w:rsid w:val="00B65E1D"/>
    <w:rsid w:val="00B80B6D"/>
    <w:rsid w:val="00D34F68"/>
    <w:rsid w:val="00D9772B"/>
    <w:rsid w:val="00F5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line="360" w:lineRule="auto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0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20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4A8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4A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A8A"/>
  </w:style>
  <w:style w:type="paragraph" w:styleId="a8">
    <w:name w:val="footer"/>
    <w:basedOn w:val="a"/>
    <w:link w:val="a9"/>
    <w:uiPriority w:val="99"/>
    <w:unhideWhenUsed/>
    <w:rsid w:val="009B4A8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D6E17C8-D427-4523-8AF6-F2FC171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3529</Words>
  <Characters>20118</Characters>
  <Application>Microsoft Office Word</Application>
  <DocSecurity>0</DocSecurity>
  <Lines>167</Lines>
  <Paragraphs>47</Paragraphs>
  <ScaleCrop>false</ScaleCrop>
  <Company>Microsoft</Company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6</cp:revision>
  <dcterms:created xsi:type="dcterms:W3CDTF">2018-03-04T18:40:00Z</dcterms:created>
  <dcterms:modified xsi:type="dcterms:W3CDTF">2018-10-12T07:10:00Z</dcterms:modified>
</cp:coreProperties>
</file>